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474980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107315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92710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97790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780" w:type="dxa"/>
            <w:vAlign w:val="bottom"/>
            <w:vMerge w:val="restart"/>
          </w:tcPr>
          <w:p>
            <w:pPr>
              <w:jc w:val="center"/>
              <w:ind w:left="156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320"/>
        </w:trPr>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80" w:type="dxa"/>
            <w:vAlign w:val="bottom"/>
          </w:tcPr>
          <w:p>
            <w:pPr>
              <w:jc w:val="center"/>
              <w:ind w:left="1543"/>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300" w:type="dxa"/>
            <w:vAlign w:val="bottom"/>
          </w:tcPr>
          <w:p>
            <w:pPr>
              <w:jc w:val="center"/>
              <w:ind w:right="206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78"/>
        </w:trPr>
        <w:tc>
          <w:tcPr>
            <w:tcW w:w="3780" w:type="dxa"/>
            <w:vAlign w:val="bottom"/>
          </w:tcPr>
          <w:p>
            <w:pPr>
              <w:jc w:val="center"/>
              <w:ind w:left="15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9"/>
        </w:trPr>
        <w:tc>
          <w:tcPr>
            <w:tcW w:w="3780" w:type="dxa"/>
            <w:vAlign w:val="bottom"/>
          </w:tcPr>
          <w:p>
            <w:pPr>
              <w:jc w:val="center"/>
              <w:ind w:left="1543"/>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jc w:val="center"/>
              <w:ind w:left="1543"/>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jc w:val="center"/>
              <w:ind w:left="1543"/>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190"/>
        </w:trPr>
        <w:tc>
          <w:tcPr>
            <w:tcW w:w="74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8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660" w:type="dxa"/>
            <w:vAlign w:val="bottom"/>
            <w:gridSpan w:val="4"/>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5"/>
        </w:trPr>
        <w:tc>
          <w:tcPr>
            <w:tcW w:w="3780" w:type="dxa"/>
            <w:vAlign w:val="bottom"/>
          </w:tcPr>
          <w:p>
            <w:pPr>
              <w:spacing w:after="0"/>
              <w:rPr>
                <w:sz w:val="24"/>
                <w:szCs w:val="24"/>
                <w:color w:val="auto"/>
              </w:rPr>
            </w:pPr>
          </w:p>
        </w:tc>
        <w:tc>
          <w:tcPr>
            <w:tcW w:w="36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780" w:type="dxa"/>
            <w:vAlign w:val="bottom"/>
          </w:tcPr>
          <w:p>
            <w:pPr>
              <w:jc w:val="center"/>
              <w:ind w:left="603"/>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tcPr>
          <w:p>
            <w:pPr>
              <w:jc w:val="center"/>
              <w:ind w:left="603"/>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r>
        <w:trPr>
          <w:trHeight w:val="485"/>
        </w:trPr>
        <w:tc>
          <w:tcPr>
            <w:tcW w:w="3780" w:type="dxa"/>
            <w:vAlign w:val="bottom"/>
          </w:tcPr>
          <w:p>
            <w:pPr>
              <w:spacing w:after="0"/>
              <w:rPr>
                <w:sz w:val="24"/>
                <w:szCs w:val="24"/>
                <w:color w:val="auto"/>
              </w:rPr>
            </w:pPr>
          </w:p>
        </w:tc>
        <w:tc>
          <w:tcPr>
            <w:tcW w:w="4160" w:type="dxa"/>
            <w:vAlign w:val="bottom"/>
            <w:gridSpan w:val="8"/>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3460" w:type="dxa"/>
            <w:vAlign w:val="bottom"/>
            <w:tcBorders>
              <w:bottom w:val="single" w:sz="8" w:color="auto"/>
            </w:tcBorders>
            <w:gridSpan w:val="5"/>
          </w:tcPr>
          <w:p>
            <w:pPr>
              <w:spacing w:after="0"/>
              <w:rPr>
                <w:sz w:val="10"/>
                <w:szCs w:val="10"/>
                <w:color w:val="auto"/>
              </w:rPr>
            </w:pPr>
          </w:p>
        </w:tc>
        <w:tc>
          <w:tcPr>
            <w:tcW w:w="38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11240" w:type="dxa"/>
            <w:vAlign w:val="bottom"/>
            <w:gridSpan w:val="10"/>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54"/>
        </w:trPr>
        <w:tc>
          <w:tcPr>
            <w:tcW w:w="79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firstLine="16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5" w:lineRule="exact"/>
        <w:rPr>
          <w:sz w:val="24"/>
          <w:szCs w:val="24"/>
          <w:color w:val="auto"/>
        </w:rPr>
      </w:pPr>
    </w:p>
    <w:p>
      <w:pPr>
        <w:jc w:val="both"/>
        <w:ind w:firstLine="162"/>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p>
      <w:pPr>
        <w:ind w:left="420"/>
        <w:spacing w:after="0" w:line="322" w:lineRule="exact"/>
        <w:tabs>
          <w:tab w:leader="none" w:pos="2000" w:val="left"/>
          <w:tab w:leader="none" w:pos="2440" w:val="left"/>
          <w:tab w:leader="none" w:pos="3780" w:val="left"/>
          <w:tab w:leader="none" w:pos="4220" w:val="left"/>
          <w:tab w:leader="none" w:pos="5980" w:val="left"/>
          <w:tab w:leader="none" w:pos="6440" w:val="left"/>
          <w:tab w:leader="none" w:pos="8380" w:val="left"/>
          <w:tab w:leader="none" w:pos="884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28"/>
          <w:szCs w:val="28"/>
          <w:color w:val="auto"/>
          <w:vertAlign w:val="subscript"/>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1"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8"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$227 million as of March 31, 2020, based upon the closing price on the NASDAQ Global Market on that date. For purposes of the calculation above only, all directors, executive officers and beneficial owners of 5% or more of the outstanding shares of the registrant's common stock are considered to be “affiliates.”</w:t>
      </w:r>
    </w:p>
    <w:p>
      <w:pPr>
        <w:spacing w:after="0" w:line="1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7, 2020, there were 11,646,173 outstanding shares of the registrant’s common stock, par value $0.01 per share.</w:t>
      </w:r>
    </w:p>
    <w:p>
      <w:pPr>
        <w:spacing w:after="0" w:line="3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4"/>
          <w:szCs w:val="24"/>
          <w:color w:val="auto"/>
        </w:rPr>
      </w:pPr>
    </w:p>
    <w:p>
      <w:pPr>
        <w:ind w:right="540" w:firstLine="162"/>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2020 annual meeting of stockholders to be filed not later than 120 days after September 30,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87630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53340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24" w:right="339" w:bottom="382"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80" w:type="dxa"/>
            <w:vAlign w:val="bottom"/>
          </w:tcPr>
          <w:p>
            <w:pPr>
              <w:spacing w:after="0"/>
              <w:rPr>
                <w:sz w:val="16"/>
                <w:szCs w:val="16"/>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Cautionary Statement Regarding Forward-Looking Statements; Risk Factors</w:t>
              </w:r>
            </w:hyperlink>
          </w:p>
        </w:tc>
        <w:tc>
          <w:tcPr>
            <w:tcW w:w="72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Pr>
          <w:p>
            <w:pPr>
              <w:jc w:val="center"/>
              <w:ind w:left="90"/>
              <w:spacing w:after="0"/>
              <w:rPr>
                <w:rFonts w:ascii="Times New Roman" w:cs="Times New Roman" w:eastAsia="Times New Roman" w:hAnsi="Times New Roman"/>
                <w:sz w:val="18"/>
                <w:szCs w:val="18"/>
                <w:b w:val="1"/>
                <w:bCs w:val="1"/>
                <w:u w:val="single" w:color="auto"/>
                <w:color w:val="0000FF"/>
                <w:w w:val="95"/>
              </w:rPr>
            </w:pPr>
            <w:hyperlink w:anchor="page3">
              <w:r>
                <w:rPr>
                  <w:rFonts w:ascii="Times New Roman" w:cs="Times New Roman" w:eastAsia="Times New Roman" w:hAnsi="Times New Roman"/>
                  <w:sz w:val="18"/>
                  <w:szCs w:val="18"/>
                  <w:b w:val="1"/>
                  <w:bCs w:val="1"/>
                  <w:u w:val="single" w:color="auto"/>
                  <w:color w:val="0000FF"/>
                  <w:w w:val="95"/>
                </w:rPr>
                <w:t>PART I</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Risk Factors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Unresolved Staff Comments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15</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Properties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Legal Proceedings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Mine Safety Disclosures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15</w:t>
              </w:r>
            </w:hyperlink>
          </w:p>
        </w:tc>
        <w:tc>
          <w:tcPr>
            <w:tcW w:w="40" w:type="dxa"/>
            <w:vAlign w:val="bottom"/>
          </w:tcPr>
          <w:p>
            <w:pPr>
              <w:spacing w:after="0"/>
              <w:rPr>
                <w:sz w:val="20"/>
                <w:szCs w:val="20"/>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Pr>
          <w:p>
            <w:pPr>
              <w:jc w:val="center"/>
              <w:ind w:left="90"/>
              <w:spacing w:after="0"/>
              <w:rPr>
                <w:rFonts w:ascii="Times New Roman" w:cs="Times New Roman" w:eastAsia="Times New Roman" w:hAnsi="Times New Roman"/>
                <w:sz w:val="18"/>
                <w:szCs w:val="18"/>
                <w:b w:val="1"/>
                <w:bCs w:val="1"/>
                <w:u w:val="single" w:color="auto"/>
                <w:color w:val="0000FF"/>
                <w:w w:val="97"/>
              </w:rPr>
            </w:pPr>
            <w:hyperlink w:anchor="page15">
              <w:r>
                <w:rPr>
                  <w:rFonts w:ascii="Times New Roman" w:cs="Times New Roman" w:eastAsia="Times New Roman" w:hAnsi="Times New Roman"/>
                  <w:sz w:val="18"/>
                  <w:szCs w:val="18"/>
                  <w:b w:val="1"/>
                  <w:bCs w:val="1"/>
                  <w:u w:val="single" w:color="auto"/>
                  <w:color w:val="0000FF"/>
                  <w:w w:val="97"/>
                </w:rPr>
                <w:t>PART II</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16</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Selected Financial Data</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18</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19</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Quantitative and Qualitative Disclosures about Market Risk</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Financial Statements and Supplementary Data</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29</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58</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Controls and Procedures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58</w:t>
              </w:r>
            </w:hyperlink>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Other Information</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58</w:t>
              </w:r>
            </w:hyperlink>
          </w:p>
        </w:tc>
        <w:tc>
          <w:tcPr>
            <w:tcW w:w="40" w:type="dxa"/>
            <w:vAlign w:val="bottom"/>
          </w:tcPr>
          <w:p>
            <w:pPr>
              <w:spacing w:after="0"/>
              <w:rPr>
                <w:sz w:val="20"/>
                <w:szCs w:val="20"/>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Pr>
          <w:p>
            <w:pPr>
              <w:jc w:val="center"/>
              <w:ind w:left="110"/>
              <w:spacing w:after="0"/>
              <w:rPr>
                <w:rFonts w:ascii="Times New Roman" w:cs="Times New Roman" w:eastAsia="Times New Roman" w:hAnsi="Times New Roman"/>
                <w:sz w:val="18"/>
                <w:szCs w:val="18"/>
                <w:b w:val="1"/>
                <w:bCs w:val="1"/>
                <w:u w:val="single" w:color="auto"/>
                <w:color w:val="0000FF"/>
                <w:w w:val="96"/>
              </w:rPr>
            </w:pPr>
            <w:hyperlink w:anchor="page58">
              <w:r>
                <w:rPr>
                  <w:rFonts w:ascii="Times New Roman" w:cs="Times New Roman" w:eastAsia="Times New Roman" w:hAnsi="Times New Roman"/>
                  <w:sz w:val="18"/>
                  <w:szCs w:val="18"/>
                  <w:b w:val="1"/>
                  <w:bCs w:val="1"/>
                  <w:u w:val="single" w:color="auto"/>
                  <w:color w:val="0000FF"/>
                  <w:w w:val="96"/>
                </w:rPr>
                <w:t>PART III</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Directors, Executive Officers and Corporate Governance</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Executive Compensation</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Principal Accounting Fees and Services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c>
          <w:tcPr>
            <w:tcW w:w="40" w:type="dxa"/>
            <w:vAlign w:val="bottom"/>
          </w:tcPr>
          <w:p>
            <w:pPr>
              <w:spacing w:after="0"/>
              <w:rPr>
                <w:sz w:val="20"/>
                <w:szCs w:val="20"/>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Pr>
          <w:p>
            <w:pPr>
              <w:jc w:val="center"/>
              <w:ind w:left="90"/>
              <w:spacing w:after="0"/>
              <w:rPr>
                <w:rFonts w:ascii="Times New Roman" w:cs="Times New Roman" w:eastAsia="Times New Roman" w:hAnsi="Times New Roman"/>
                <w:sz w:val="18"/>
                <w:szCs w:val="18"/>
                <w:b w:val="1"/>
                <w:bCs w:val="1"/>
                <w:u w:val="single" w:color="auto"/>
                <w:color w:val="0000FF"/>
                <w:w w:val="95"/>
              </w:rPr>
            </w:pPr>
            <w:hyperlink w:anchor="page59">
              <w:r>
                <w:rPr>
                  <w:rFonts w:ascii="Times New Roman" w:cs="Times New Roman" w:eastAsia="Times New Roman" w:hAnsi="Times New Roman"/>
                  <w:sz w:val="18"/>
                  <w:szCs w:val="18"/>
                  <w:b w:val="1"/>
                  <w:bCs w:val="1"/>
                  <w:u w:val="single" w:color="auto"/>
                  <w:color w:val="0000FF"/>
                  <w:w w:val="95"/>
                </w:rPr>
                <w:t>PART IV</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Exhibits. Financial Statement Schedules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60</w:t>
              </w:r>
            </w:hyperlink>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9480" w:type="dxa"/>
            <w:vAlign w:val="bottom"/>
          </w:tcPr>
          <w:p>
            <w:pPr>
              <w:ind w:left="2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Form 10-K Summary</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c>
          <w:tcPr>
            <w:tcW w:w="4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Signatures</w:t>
            </w:r>
          </w:p>
        </w:tc>
        <w:tc>
          <w:tcPr>
            <w:tcW w:w="9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of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is a Delaware corporation founded by William E. Powell in 1947. 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http://</w:t>
      </w:r>
      <w:r>
        <w:rPr>
          <w:rFonts w:ascii="Times New Roman" w:cs="Times New Roman" w:eastAsia="Times New Roman" w:hAnsi="Times New Roman"/>
          <w:sz w:val="18"/>
          <w:szCs w:val="18"/>
          <w:u w:val="single" w:color="auto"/>
          <w:color w:val="auto"/>
        </w:rPr>
        <w:t>www.sec.gov.</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2020, Fiscal 2019 and Fiscal 2018 used throughout this Annual Report relate to our fiscal years ended September 30, 2020,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and are used in oil and gas refining, onshore and offshore oil and gas production, petrochemical, liquefied natural gas (LNG) terminals, pipeline, terminal, mining and metals, light rail traction power, electric utility, pulp and paper and other heavy industrial markets. Our product scope includes designs tested to meet both U.S. and international standards, under both the American National Standards Institute (ANSI) and International Electrotechnical Commission (IEC).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and engineering, manufacturing, project management and integration of the various systems into a single, custom-engineered deliverable. We market and sell our products and services, which are typically awarded in competitive bid situations, to a wide variety of customers and governmental agencies spanning across diverse markets and geographic regions. Contracts often represent large-scale and complex projects with an individual customer. By their nature, these projects are typically nonrecurring. Thus, multiple and/or continuous projects of similar magnitude with the same customer may vary. As such, the timing of large project awards may cause material fluctuations in our revenues and gross profits.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with which we have conducted business with previously. These arrangements are generally made to leverage competitive positioning or where scale and/or size dictates the use of such arrangement.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Although we could be adversely impacted by a significant reduction in business volume from a particular industry, we do not believe the loss of any specific customer would have a material adverse effect on our business. However, from time to time, an individual manufacturing facility may have significant volume from one particular customer that would be material to that facility. No customer accounted for more than 10% of our consolidated revenues in Fiscal 2020, Fiscal 2019 or Fiscal 2018.</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critical to Powell’s future and are focused on both the development of new products and services as well as enhancing current product offerings. Our expertise in vacuum circuit breaker engineering is internationally recognized, and we have a sustained commitment to incorporating continuous product improvements that will ensure operational safety and reliability across the markets we serve.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be the supplier of choice for custom-engineered system solutions and services to a variety of customers and markets. Our activities are predominantly in the oil and gas and electric utility industries, but also include other markets where customers need to manage, monitor and control large amounts of electrical energy through a complex network of electrical components and systems.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 to the oil and gas sector, we serve both the upstream and downstream end markets. Within the downstream segment, our primary customers typically are engaged in refining activities and/or leveraging natural gas feedstocks for the production of petrochemical or LNG products. We have developed strong relationships with our customers over the years and strive to maintain our position as a preferred service provider to solve our customers' complex electrical needs.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also have long, established relationships. Ultimately, our competitive position is dependent upon our ability to provide quality custom-engineered products, services and systems on a timely basis at a competitive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maintenance-type contracts for which we have the rights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backlog at September 30, 2020 totaled $476.8 million compared to $419.0 million at September 30, 2019. Backlog improved primarily due to a substantial contract awarded in the second quarter of Fiscal 2020 that will support the integrated electrical distribution requirements for a large domestic industrial complex. We anticipate that approximately $282.5 million of Fiscal 2020 ending backlog will be fulfilled during our fiscal year ending September 30, 2021. Backlog may not be indicative of future operating results as orders in our backlog may be cancelled or modified by our customers and may not be indicative of continuing revenue performance over future fiscal quarters.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and various electrical components. Material costs represented 47% of revenues in Fiscal 2020, Fiscal 2019 and Fiscal 2018. Unanticipated changes in material requirements, market conditions and disruptions in the supply chain or price increases could impact production costs and affect our consolidated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Changes in our design to accommodate similar components from other suppliers could be implemented to resolve a supply problem related to a sole-sourced component. In this circumstance, supply problems could result in delays in our ability to meet commitments to our customers. We believe that sources of supply for raw materials and components are generally sufficient, and we do not believe a temporary shortage of materials will cause any significant adverse impact in the future. While we are not dependent on any one supplier for the majority of our raw materials, we are highly dependent on our suppliers in order to meet commitments to our customers. During Fiscal 2020, as a result of the challenges created by the COVID-19 pandemic and market volatility, we experienced minor supply disruptions and anticipate that supply disruptions may continue. We continue to monitor and work with our suppliers who have been impacted by the COVID-19 pandemic to ensure we are able to meet our customer commitments. We have also reviewed and will continue to review contracts with our suppliers, making adjustments accordingly. While we have not experienced significant issues in the purchase of key raw materials or components in the past three fiscal years, we continue to monitor the availability and price of components and raw materials on a regular basis, as well as any potential impact on our operations.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the effects of changing material prices. During the last three fiscal years, we have not experienced significant price volatility for raw materials or component parts used in the production of our products. While the cost outlook for commodities used in the production of our products is not certain, we believe we can manage this volatility through contract pricing adjustments, with material-cost predictive estimating and by actively pursuing internal cost reduction efforts. We did not enter into any derivative contracts to hedge our exposure to commodity price changes in Fiscal 2020, 2019 or 2018.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2020, we had 1,997 full-time employees and 149 contract employees located primarily in the U.S., Canada and the U.K. Our employees are not represented by unions, and we believe that our relationship with our employees is good. Periodically, demand for qualified personnel increases in certain geographic areas due to increased construction or economic activity. We continue to monitor our demand for skilled and unskilled labor and provide training and competitive compensation packages in an effort to attract and retain skilled employees.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Three of our top human capital priorities are workplace safety, internal promotion and key employee retention. Powell emphasizes a culture of safety that runs throughout the Company. We establish annual goals and monthly operating metrics, which have resulted in a safety incident rate that is one-half the industry average across Powell. We believe that internal promotion and key employee retention are critical components to our long-term success. The average tenure of our employees is 10 years.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hold various patents, trademarks, servicemarks, copyrights and licenses, we do not consider any individual intellectual property to be material to our consolidated business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in that fiscal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government regulations in the United States as well as various international locations where we operate. These regulations cover several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We instituted various training programs to educate our employees on compliance with governmental regulations, as well as applied legal and ethical practices in our everyday work. We do not believe that compliance with governmental regulations will have a material impact on our capital expenditures, results of operations or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has had, and may continue to have, an adverse effect on our future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end markets that we serve have historically been,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poor economic conditions, low commodity prices, political uncertainties, and currency fluctuations. These variables may impact the number and/or the amount of new awards, delays in the timing of awards or potential cancellation of projects.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a customer or supplier on any given project. Competition in the industry depends on a number of factors, including the number of projects available, technical ability, production capacity, location and price. Certain of our competitors may have lower cost structures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could adversely affect future revenues and have an adverse impact on our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innovations by competitors may make existing products and production methods obsolete.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the best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customer specifications. Failure to successfully develop new products, or to enhance existing products, could result in the loss of existing customers to competitors, the inability to attract new business or an overall reduction in our competitive position, any of which may adversely affect our business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involves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will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add additional employees to handle the increased volume of business. Additionally, financial and accounting challenges and complexities in areas such as valuation, tax planning, treasury management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train and retain personnel necessary to meet our requirements. We face competition for qualified personnel in our industry. We may experience shortages of qualified personnel such as engineers, project managers and select skilled trades. We cannot be certain that we will be able to maintain an adequate skilled labor force or key technical personnel necessary to operate efficiently and to support our growth strategy and operations. We cannot be certain that our labor costs will not increase as a result of a shortage in the supply of skilled, unskilled and technical personnel. Labor shortages or increased labor costs could impair our ability to maintain our business, meet customer commitments or grow our revenues, and may adversely impact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 on some of our projects.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sometimes depend on third-party suppliers to provide equipment and materials necessary to complete or ship our products. If our subcontractors do not perform as expected for any reason, we may experience delays in completing our projects or incur additional costs. In addition, we may have disputes with these independent subcontractors arising from, among other things, the quality and timeliness of the work they have performed. Any of these factors could adversely impact our business and results of operations.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damage our relationships with customers and </w:t>
      </w:r>
      <w:r>
        <w:rPr>
          <w:rFonts w:ascii="Times New Roman" w:cs="Times New Roman" w:eastAsia="Times New Roman" w:hAnsi="Times New Roman"/>
          <w:sz w:val="18"/>
          <w:szCs w:val="18"/>
          <w:color w:val="000000"/>
        </w:rPr>
        <w:t>could adversely impact our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business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We place great emphasis on workplace safety in our entire organization through various safety initiatives and training. We have both indoor and outdoor manufacturing facilities that are susceptible to numerous industrial safety risks that can lead to personal injury, loss of life, damage to property and equipment, as well as potential environmental damage. While we take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252525"/>
        </w:rPr>
        <w:t>every precaution to avoid incidents, we have experienced accidents in the past and may again in the future, which can negatively affect our safety record. A poor safety record can harm our reputation with existing and potential customers, jeopardize our relationship with employees and could adversely impact our business and results of operations.</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Catastrophic events, including natural disasters, health epidemics (including the COVID-19 pandemic), acts of war and terrorism, among others, could disrupt our business.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52525"/>
        </w:rPr>
        <w:t>The occurrence of catastrophic events, ranging from natural disasters to health epidemics (including the COVID-19 pandemic), to acts of war and terrorism, among others,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that could impact our project execution. These situations or other disruptions are outside of our control and may adversely impact our business and results of operations.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52525"/>
        </w:rPr>
        <w:t>The spread of COVID-19 has created and continues to create significant uncertainty and economic disruption across the world. It is difficult to predict the economic impact that the COVID-19 pandemic may have on our business, results of operations and cash flows going forward. Certain of our customers have asked that we delay our manufacturing of their projects as their operations have been negatively impacted by this pandemic, the reduced oil and gas demand and commodity price volatility. These delays may have a negative effect on the timing of revenue recognition and cash flow. We have experienced supply disruptions and anticipate these supply disruptions may continue. Any delays in the supply of material or labor could negatively impact our production schedule and delay the completion of certain projects.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Any of these factors, as well as other related business impacts resulting from COVID-19, could contribute to the risks and uncertainties described in this Annual Report. As a result, the magnitude of the impact on our business, results of operations and cash flows is not currently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and financial market conditions may impact our customer base, suppliers and backlog.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and gas, capital expenditures, economic forecasts and financial markets. Unanticipated increases in raw material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If one or more of our suppliers or subcontractors experiences difficulties that result in a reduction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bank credit facility on favorable terms or at all. Similarly, disruptions in the capital markets may also adversely impact our customer's ability to finance projects, which could result in contract cancellations or delays. These disruptions could lead to reduced demand for our products and services and could have an adverse impact on our business, financial condition and results of operations.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cancellations and scope reductions and, therefore, may not be a reliable indicator of our future earnings.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uncompleted contracts, including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We may be unable to recover certain direct costs and cancelled projects may also result in additional unrecoverable costs due to the underutilization of our assets. Accordingly, the amounts recorded in backlog may not be a reliable indicator of our future operating results and may not be indicative of continuing revenue performance over future fiscal quarters.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Policies and Estimates” and in the Notes to Consolidated Financial Statements included elsewhere in this Annual Report, the majority of our revenues are recognized over time. Revenues are recognized as work is performed and costs are incurred. The revenue earned to date is calculated by multiplying the total contract price by the percentage of performance to date, which is based on total costs incurred to date compared to the total estimated costs at completion. The determination of the revenue recognized requires the use of estimates of costs to be incurred for the performance of the contract. The cost estimation process is based upon the professional knowledge and experience of our management teams, engineers, project managers and financial professionals. We bear the risk of cost overruns in most of our contracts, which may result in reduced profits. Contract losses are recognized in full when determined, and estimates of revenue and cost to complete are adjusted based on ongoing reviews of estimated contract performance. Previously recorded estimates of revenues and costs are adjusted as the project progresses and circumstances change. In certain circumstances, it is possible that such adjustments to costs and revenues could have an adverse impact on our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defines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costs represented 47% of our consolidated revenues for Fiscal 2020. Unanticipated increases in raw material requirements or prices, the imposition of tariffs, and changes in supplier availability or supplier consolidation, could increase production costs and adversely affect profitability as fixed-price contracts may prohibit our ability to charge the customer for the increase in raw material prices. We purchase a wide variety of materials and component parts from various suppliers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Our success depends on our ability to meet customer commitments and could be negatively impacted if a supplier experiences a disruption or discontinuance in their operations.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adversarial.</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past performance. Our ability to issue letters of credit is dependent upon the availability of adequate credit issued by our banks and could be negatively impacted by our compliance with our financial covenants. Future compliance with such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are described in Note G of the Notes to Consolidated Financial Statements. Our ability to remain in compliance with such financial covenants and restrictions may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affected by factors beyond our control, including general or industry-specific economic downturns. If we fail to remain in compliance with such covenants and restrictions, absent a modification or waiver, this could result in an event of default under the credit agreement. Among other things, the occurrence of an event of default could limit our ability to obtain additional financing or result in acceleration of outstanding amounts under the credit agreement or a termination of the agreement, any of which could have an adverse impact on our liquidity,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milestones have been met or until the projects are substantially completed, and customers typically withhold some portion of amounts due to us as retainage. Our payment arrangements subject us to potential credit risk related to changes in business and economic factors affecting our customers, including material changes in our customers' revenues or cash flows. If we are unable to collect amounts owed to us, or retain amounts paid to us, our cash flows would be reduced, and we could experience losses if those amounts exceed current allowances. Any of these factors could adversely impact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related exposures, including certain casualty, property, business interruption and self-insured medical and dental programs, these policies contain deductibles, self-insured retentions and limits of coverage. In addition, we may not be able to continue to obtain insurance at commercially reasonable rates or may be faced with liabilities not covered by insurance, such as, but not limited to,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associated with projects located outside of the U.S., including revenues generated from our operations in the U.K. and Canada, accounted for approximately 23% of our consolidated revenues in Fiscal 2020.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Additionally, the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financial reporting, however, any system of controls has limitations, including the possibility of human error, the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or have an adverse impact on our business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cyber-attacks, the accidental release of sensitive information and other unauthorized access. These failures of our business systems or security breaches could impact our customers, employees and reputation and result in a disruption to our operations or in legal claims or proceedings. A material network breach of our business systems could involve the theft of intellectual property, financial data, employee or customer data, which may be used by competitors. We rely on third-party systems which could also suffer operational system failure or cyber-attacks. Any of these occurrences could disrupt our business, result in potential liability or reputational damage or otherwise have an adverse effect on our business or results of operations.</w:t>
      </w:r>
    </w:p>
    <w:p>
      <w:pPr>
        <w:spacing w:after="0" w:line="2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Network security and internal control measures have been implemented to address these risks and disruptions to our business. However, our portfolio of hardware and software products, solutions and services and information contained within our enterprise information technology (IT) systems may be vulnerable to damage or disruption caused by circumstances beyond our control such as catastrophic events, cyber-attacks, other malicious activities from unauthorized third parties, power outages, natural disasters, computer system or network failures or computer viruses. Any significant disruption or failure could damage our reputation or have a material adverse effect on our business and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These fluctuations may cause our stockholders to incur losses.</w:t>
      </w:r>
    </w:p>
    <w:p>
      <w:pPr>
        <w:spacing w:after="0" w:line="2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risks factors described herein, the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regular dividend since Fiscal 2014. The declaration, amount and timing of future dividends are subject to capital availability and determinations by our Board of Directors that cash dividends are in the best interest of our stockholders and are in compliance with all respective laws and applicable agreements. Our ability to declare and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government regulations in the United States as well as various international locations where we operate. These regulations cover several areas including environmental compliance, import and export controls, economic sanctions, data and privacy protection, transfer pricing rules, anti-bribery, anti-trafficking and anti-trust provisions. These laws and regulations are administered by various state, federal and international agencies. Changes in policy, laws or regulations, including those affecting oil and gas exploration and development activities and the resulting decisions by customers and other industry participants, could reduce demand for our products and services, which would have a negative impact on our operations. Various regulations have been implemented around the world related to safety and certification requirements applicable to oil and gas drilling and production activities, and we cannot predict whether operators will be able to satisfy these requirements. Further, we cannot predict future changes in any country in which we operate and how those changes may affect our ability to perform projects in those regions.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compliance with environmental laws could adversely impact our financial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recent U.S. Government proposals concerning tariffs and other economic proposals could adversely impact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recent changes to U.S. administration policy and recent U.S. government proposals, there may be greater restrictions and economic disincentives on international trade that could include significant increases in tariffs on goods. Changes in U.S.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U.S. as a result of such changes, could adversely impact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named as a defendant in future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could have a material impact on our net income or loss and cash flow.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professionals. We cannot be certain that any individual will continue in such capacity for any particular period of time. The loss of key personnel, or the inability to hire and retain qualified employees, could negatively impact our ability to perform and manage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locations as of September 30, 2020,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00" w:type="dxa"/>
            <w:vAlign w:val="bottom"/>
          </w:tcPr>
          <w:p>
            <w:pPr>
              <w:spacing w:after="0"/>
              <w:rPr>
                <w:sz w:val="13"/>
                <w:szCs w:val="13"/>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fabrication facility and yard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North Canton, OH</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Northlake, IL</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Bradford, U.K.</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Acheson, Alberta, Canada</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7, 2020, the closing price of our common stock on the NASDAQ was $27.54 per share. As of December 7, 2020, there were 274 stockholders of record of our common stock. All common stock held in street names is recorded in the Company’s stock register as being held by one stockholder.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for the period from October 1, 2015 to September 30, 2020, the cumulative stockholder return on our common stock with the cumulative total return on the IShares Russell 2000, the Invesco S&amp;P SmallCap 600 Energy, the NASDAQ Market Index, and the Industrial Electrical Equipment Group (a select group of peer companies – Altra Industrial Motion Corp.; Ameresco, Inc.; AZZ Inc.; Belden Inc.; Daktronics Inc.; EnerSys; Franklin Electric Co, Inc.; Littelfuse Inc.; LSI Industries Inc.; McDermott International, Inc.; Preformed Line Products; A O Smith Corporation; Thermon Group Holdings and Woodward, Inc.). In Fiscal 2020, the IShares Russell 2000 and the Invesco S&amp;P SmallCap 600 Energy were added as more comparable indices to replace the NASDAQ Market Index as this index is not necessarily indicative of Powell's performance or its peers. The comparison assumes that $100 was invested on October 1, 2015, in our common stock, the IShares Russell 2000, the Invesco S&amp;P SmallCap 600 Energy, the NASDAQ Market Index and the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3120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selected financial data shown below for the past five years was derived from our audited financial statements, adjusted for discontinuing operations. The historical results are not necessarily indicative of the operating results to be expected in the future. The selected financial data should be read in conjunction with “Part II, Item 7. Management’s Discussion and Analysis of Financial Condition and Results of Operations” and the consolidated financial statements and related notes included elsewhere in this Annual Report.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565,243</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459,038</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106,205</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provision (benefit)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firstLine="8"/>
        <w:spacing w:after="0" w:line="287"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an explanation of the effective tax rate for the last three fiscal years, see Note I of the Notes to Consolidated Financial Statements included elsewhere in this Annual Report.</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08"/>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cash equivalents and short-term investments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178,921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124,681</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49,754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95,188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97,720</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114,372</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120,812</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128,764</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139,420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144,977</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472,278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467,411</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429,951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414,986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462,516</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306,626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299,153</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301,644</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321,296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335,317</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472,278</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467,411</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429,951</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414,986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462,516</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12,066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11,998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11,916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11,875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w:t>
            </w:r>
          </w:p>
        </w:tc>
      </w:tr>
    </w:tbl>
    <w:p>
      <w:pPr>
        <w:spacing w:after="0" w:line="58"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current and non-current restricted cash totaling $25.1 million and $24.9 million as of September 30, 2018 and 2017, respectively.</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476,819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419,012</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260,900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250,123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291,354</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 net of cancellations and scope reductions</w:t>
            </w: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576,782</w:t>
            </w:r>
          </w:p>
        </w:tc>
        <w:tc>
          <w:tcPr>
            <w:tcW w:w="32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676,051</w:t>
            </w:r>
          </w:p>
        </w:tc>
        <w:tc>
          <w:tcPr>
            <w:tcW w:w="3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458,884</w:t>
            </w:r>
          </w:p>
        </w:tc>
        <w:tc>
          <w:tcPr>
            <w:tcW w:w="36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355,064</w:t>
            </w:r>
          </w:p>
        </w:tc>
        <w:tc>
          <w:tcPr>
            <w:tcW w:w="32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417,510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for the twelve months ended September 30, 2020 compared to the twelve months ended September 30, 2019 should be read in conjunction with the accompanying consolidated financial statements and related notes. We have elected to omit discussion on the earliest of the three years covered by the consolidated financial statements presented. Refer to Item 7. Management's Discussion and Analysis of Financial Condition and Results of Operations and Liquidity and Capital Resources located in our Form 10-K for the fiscal year ended September 30, 2019, filed on December 5, 2019, for reference to discussion of the fiscal year ended September 30, 2018, the earliest of the three fiscal years presented.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LNG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 user customers as well as prevailing global economic conditions.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late Fiscal 2018,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We have seen opportunities for natural gas related projects targeting global demand for cleaner-burning fuels. Additionally, projects within the domestic petrochemical sector have benefited from the low feedstock prices of natural gas. Specific to natural gas, the business was awarded a substantial contract in the second quarter of Fiscal 2020 that will support the integrated electrical distribution requirements for a large domestic industrial complex. This specific project will take over three years to design, manufacture, integrate, test and 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spread of COVID-19 has created significant uncertainty and economic disruption across the world during the second half of Fiscal 2020 and continuing into Fiscal 2021. This pandemic has negatively impacted energy demand, which in turn has resulted in considerable volatility across the oil and gas commodity markets. The demand for our products and services as well as our operations have been negatively impacted by COVID-19, resulting from the associated reduction in oil and gas demand and volatility in commodity prices noted above.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an operational standpoint, although our facilities are located in areas that have in the past been subject to stay-at-home orders, we have not closed any of our facilities for an extended period of time and have operated as an "essential business" under local government orders. However, as a result of the uncertainty that our customers are currently experiencing, some projects have been cancelled, and certain of our customers have asked that we delay our manufacturing on their projects as their operations have been negatively impacted by this pandemic and the reduced oil and gas demand. We have experienced supply disruptions and anticipate that these supply disruptions may continue. We continue to monitor and work with our suppliers who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have been impacted by this pandemic to ensure that we are able to meet our customer commitments. We also have reviewed and will continue to review contracts with our suppliers, making adjustments accordingly. We continue to take the necessary steps to ensure the safety of our employees, customers and vendors. These steps include, among others, promoting increased social distancing practices and enhanced cleaning efforts in our offices and facilities. We are utilizing and exploring the use of technology across our operations to further enhance social distancing and improve safety. These safety precautions have and may continue to have an adverse impact on our costs, efficiency and productivity going forward.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lower demand across select end markets, we have and will continue to take various actions to reduce costs. During the third quarter of Fiscal 2020, we reduced our global workforce by approximately 12% resulting in severance costs of $1.4 million. Additionally, we instituted a temporary furlough program for our salaried workforce in North America which reduced salaried compensation by $1.3 million in the second half of Fiscal 2020. We have also reduced our capital and discretionary spending in response to current business conditions and will continue to monitor the economic conditions during Fiscal 2021.</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2020 Compared to Twelve Months Ended September 30,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$1.3 million, to $518.5 million in Fiscal 2020 resulting from the solid backlog position at the beginning of Fiscal 2020 and the improved market conditions across our petrochemical and oil and gas markets beginning in late Fiscal 2018. Domestic revenues decreased by 2%, or $6.2 million, to $398.8 million in Fiscal 2020. International revenues increased by 7% to $119.7 million in Fiscal 2020, driven largely by increased end market activity across the Middle East and Asia. Our international revenues include both revenues generated from our international facilities as well as revenues from export projects generated at our domestic facilities.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our core oil and gas markets decreased by 19%, or $47.1 million, to $195.2 million in Fiscal 2020 while petrochemical revenue increased by 36%, or $33.3 million, to $126.7 million in Fiscal 2020. The economic impact resulting from the COVID-19 pandemic and associated reduction in global demand across the oil and gas end markets has negatively impacted our orders rate and corresponding revenue. The partial offset in favorable petrochemical revenues is being generated by the successful execution of previously booked orders from our petrochemical end markets and lower natural gas prices. Revenue from utility markets increased by 5%, or $3.8 million, to $88.8 million and traction market revenue increased by 58%, or $15.6 million, to $42.4 million in Fiscal 2020, primarily driven by an increase in volume across our international locations. Revenue from all other markets combined decreased by $4.3 million to $65.4 million in Fiscal 2020.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9%, or $7.6 million, to $94.6 million in Fiscal 2020. Gross profit as a percentage of revenues increased to 18% in Fiscal 2020, compared to 17% in Fiscal 2019, due to strong margins in backlog as well as cost efficiencies and productivity in our North American manufacturing facilities.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3%, or $2.3 million, to $67.7 million in Fiscal 2020, primarily due to decreased personnel costs as a result of workforce reductions and lower travel-related costs resulting from the COVID-19 pandemic. Selling, general and administrative expenses, as a percentage of revenues, decreased to 13% in Fiscal 2020 compared to 14% in Fiscal 2019, primarily due to our continued focus on aligning our cost structure with anticipated volume.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Proceeds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2019, we settled a 2017 business interruption insurance claim relating to Hurricane Harvey and received proceeds of $1.0 million, which was included within operating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Restructuring and Other,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the COVID-19 pandemic, reductions in global oil and gas demand and volatility of commodity prices, we implemented workforce reductions across the business. As a result, we recorded $1.4 million of separation costs during Fiscal 2020.</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2019, we recorded additional lease expense of $0.7 million related to certain unused facility leases in Canada. We also recorded income from a recovery of $0.7 million in Fiscal 2019 as a result of a favorable settlement of a claim related to the divestiture of a subsidiary in Fiscal 2014.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2020, we recorded other income of $0.5 million related to a death benefit received from our company-owned life insurance policy related to a retired employee.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provision of $3.7 million in Fiscal 2020, resulting in an effective tax rate of 18%, compared to an income tax provision of $2.4 million in Fiscal 2019 at an effective tax rate of 20%. In Fiscal 2020, the effective tax rate was favorably impacted by the current year estimated Research and Development Tax Credit (R&amp;D Tax Credit) as well as the utilization of net operating loss carryforwards in Canada that were fully reserved with a valuation allowance. Additionally, we reversed a reserve of $1.7 million resulting from a favorable settlement of an IRS audit and the expiration of statutes of limitations. The effective tax rate for Fiscal 2020 was negatively impacted by the valuation allowance set up against our U.K. deferred tax assets in the amount of $0.5 million. The effective tax rate for Fiscal 2019 approximated the U.S. federal statutory rate as the immaterial losses incurred by various foreign jurisdictions reserved with a valuation allowance had a minimal impact on the effective tax rate.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2020, net income of $16.7 million, or $1.42 per diluted share, improved from a net income of $9.9 million, or $0.85 per diluted share in Fiscal 2019, primarily from increased gross profit resulting from favorable productivity, as well as lower selling and administrative costs and the favorable impact of the reversal of the reserves for unrecognized tax benefits, which was partially offset by the separation costs incurred in Fiscal 2020.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September 30, 2020 was $476.8 million, a 14% increase from the $419.0 million at September 30, 2019. The increase in backlog is due in large part to the substantial contract awarded in the second quarter of Fiscal 2020 that will support the integrated electrical distribution requirements for a large domestic industrial complex. Bookings, net of cancellations and scope reductions, decreased by 15% in Fiscal 2020 to $576.8 million, compared to $676.1 million in Fiscal 2019, primarily due to decreased global demand across our core oil and gas markets.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macroeconomic variables that directly impact customer demand. These variables are most often driven by global economic conditions and/or environmental, safety or regulatory changes which may affect the manner in which our customers proceed with capital investments. Our customers routinely analyze various factors including the demand and price for oil, gas and electrical energy, the overall economic and financial environment, governmental budgets, regulatory actions and environmental concerns throughout the procurement decision process.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revenues has historically been from the oil, gas and petrochemical markets. Oil and gas commodity price levels have been unstable over the last several years, and our customers have in certain cases, delayed some of their major capital investment projects. Beginning in late Fiscal 2018 through the first quarter of Fiscal 2020, our customers' decisions to invest in projects across our key oil and gas and petrochemical markets were influenced to some extent by the stabilization of commodity prices and the increased global demand for cleaner-burning fuels during that period of time. We believe that this change in market sentiment during that period of time had a favorable impact on our orders and backlog entering Fiscal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recent declines in oil prices and the global economic impacts from COVID-19 may have a negative impact on our business going forward, as discussed in more detail below. Specific to the energy industry focus on transition to natural gas and cleaner-burning fuels, the business was awarded a substantial contract in the second quarter of Fiscal 2020 that will support the integrated electrical distribution requirements for a large domestic industrial complex. This specific project has begun and will take over three years to design, manufacture, integrate, test and ship.</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 to cover our fixed costs. The increased orders recognized in Fiscal 2018 and 2019 have led to improved revenue and operating results for Fiscal 2020. We continue to monitor the variables that impact our markets while adjusting to the global conditions in order to maintain a competitive cost and technological advantage in the markets that we serve.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spread of COVID-19 has created and continues to create significant uncertainty and economic disruption across the world during the second half of Fiscal 2020 and continuing into Fiscal 2021. This pandemic has negatively impacted global energy demand, which in turn has resulted in considerable volatility across the oil and gas commodity markets. Certain of our customers have asked that we delay our manufacturing on their projects as their operations have been negatively impacted by these factors.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these circumstances, we anticipate that a decrease in commercial activity may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continue to impact our business will depend on numerous factors that are difficult to predict, some of which include: the duration, spread and severity of the pandemic; governmental actions in response to the pandemic, including travel restrictions and quarantine or related governmental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current assets exceeded current liabilities by 2.2 times, and our debt to total capitalization was 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$178.9 million at September 30, 2020, compared to $124.7 million at September 30, 2019. This increase in cash was driven in part by the timing of the contract billing milestones related to our recent contract award for a large domestic industrial project as well as the year-over-year reduction in our accounts receivables balance.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27, 2019, we entered into an Amended and Restated Credit Agreement with Bank of America, N.A. (the "U.S. Revolver") which replaced our prior credit agreement. The U.S. Revolver is a $75.0 million revolving credit facility, which is available for both borrowings and letters of credit and expires September 2024. As of September 30, 2020, there were no amounts borrowed under this facility, and letters of credit outstanding were $38.7 million. As of September 30, 2020, $36.3 million was available for the issuance of letters of credit and borrowing under the U.S. Revolver. Total long-term debt, including current maturities, totaled $0.8 million at September 30, 2020 related to outstanding industrial development revenue bonds. We are required to maintain certain financial covenants, the most significant of which are a consolidated leverage ratio less than 3.0 to 1.0 and a consolidated interest coverage ratio of greater than 3.0 to 1.0. The consolidated leverage ratio is our most restrictive covenant and a decrease in our earnings before interest, taxes, depreciation and amortization (EBITDA) could restrict our ability to issue letters of credit under the U.S. Revolver. For further information regarding our debt, see Notes G and H of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$26.2 million of our cash and cash equivalents at September 30, 2020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$72.4 million and $68.8 million in Fiscal 2020 and Fiscal 2019, respectively. Cash flow from operations is primarily influenced by project volume, the timing of milestone payments from our customers and the payment terms with our suppliers. This increase in operating cash flows was primarily due to the timing of contract billing milestones related to our recent contract award for a large domestic industrial project awarded in the second quarter of Fiscal 2020 as well as a significant reduction in the accounts receivables balance.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$17.5 million during Fiscal 2020 compared to $3.0 million provided during the same period in Fiscal 2019. The increase in cash used by investing activities in Fiscal 2020 was primarily due to an increase in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$13.1 million in Fiscal 2020 and $13.9 million in Fiscal 2019, which primarily consisted of approximately $12 million of dividends paid in each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2020, our long-term contractual obligations were limited to debt and leases. The table below details our commitments by type of obligation, including interest if applicable, and the period that the payment will become due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60" w:type="dxa"/>
            <w:vAlign w:val="bottom"/>
          </w:tcPr>
          <w:p>
            <w:pPr>
              <w:spacing w:after="0"/>
              <w:rPr>
                <w:sz w:val="13"/>
                <w:szCs w:val="13"/>
                <w:color w:val="auto"/>
              </w:rPr>
            </w:pPr>
          </w:p>
        </w:tc>
        <w:tc>
          <w:tcPr>
            <w:tcW w:w="17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Operating Lease</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than 1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 to 3 years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 to 5 years</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More than 5 years</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contractual obligations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the total unrecognized tax benefit related to uncertain tax positions was $1.3 million. We believe that it is reasonably possible that within the next 12 months, the total unrecognized tax benefits will decrease by approximately $0.1 million due to the settlement with taxing authorities related to voluntary filings. We are unable to make reasonably reliable estimates regarding the timing of future cash outflows, if any, associated with the remaining unrecognized tax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$45.9 million as of September 30, 2020, with the following potential cash outflows in the event that we are unable to perform under our contracts (in thousands):</w:t>
      </w:r>
    </w:p>
    <w:p>
      <w:pPr>
        <w:sectPr>
          <w:pgSz w:w="11900" w:h="16838" w:orient="portrait"/>
          <w:cols w:equalWidth="0" w:num="1">
            <w:col w:w="11240"/>
          </w:cols>
          <w:pgMar w:left="320" w:top="1107"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3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long-term commercial obligations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Letters of</w:t>
      </w: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Credit/Bank Guarantees</w:t>
      </w:r>
    </w:p>
    <w:p>
      <w:pPr>
        <w:spacing w:after="0" w:line="30" w:lineRule="exact"/>
        <w:rPr>
          <w:sz w:val="20"/>
          <w:szCs w:val="20"/>
          <w:color w:val="auto"/>
        </w:rPr>
      </w:pPr>
    </w:p>
    <w:p>
      <w:pPr>
        <w:ind w:left="1164" w:hanging="1164"/>
        <w:spacing w:after="0"/>
        <w:tabs>
          <w:tab w:leader="none" w:pos="11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16,096</w:t>
      </w:r>
    </w:p>
    <w:p>
      <w:pPr>
        <w:spacing w:after="0" w:line="27" w:lineRule="exact"/>
        <w:rPr>
          <w:rFonts w:ascii="Times New Roman" w:cs="Times New Roman" w:eastAsia="Times New Roman" w:hAnsi="Times New Roman"/>
          <w:sz w:val="18"/>
          <w:szCs w:val="18"/>
          <w:color w:val="auto"/>
        </w:rPr>
      </w:pP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8,733</w:t>
      </w:r>
    </w:p>
    <w:p>
      <w:pPr>
        <w:spacing w:after="0" w:line="34" w:lineRule="exact"/>
        <w:rPr>
          <w:sz w:val="20"/>
          <w:szCs w:val="20"/>
          <w:color w:val="auto"/>
        </w:rPr>
      </w:pPr>
    </w:p>
    <w:p>
      <w:pPr>
        <w:ind w:left="1164"/>
        <w:spacing w:after="0"/>
        <w:rPr>
          <w:sz w:val="20"/>
          <w:szCs w:val="20"/>
          <w:color w:val="auto"/>
        </w:rPr>
      </w:pPr>
      <w:r>
        <w:rPr>
          <w:rFonts w:ascii="Times New Roman" w:cs="Times New Roman" w:eastAsia="Times New Roman" w:hAnsi="Times New Roman"/>
          <w:sz w:val="18"/>
          <w:szCs w:val="18"/>
          <w:color w:val="auto"/>
        </w:rPr>
        <w:t>21,088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144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1" w:lineRule="exact"/>
        <w:rPr>
          <w:sz w:val="20"/>
          <w:szCs w:val="20"/>
          <w:color w:val="auto"/>
        </w:rPr>
      </w:pPr>
    </w:p>
    <w:p>
      <w:pPr>
        <w:ind w:left="1164" w:hanging="1164"/>
        <w:spacing w:after="0"/>
        <w:tabs>
          <w:tab w:leader="none" w:pos="11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44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144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756" w:space="720"/>
            <w:col w:w="1764"/>
          </w:cols>
          <w:pgMar w:left="320" w:top="1107"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had surety bonds totaling $162.4 million that were outstanding at September 30, 2020. Surety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off-balance sheet arrangements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inflation, which can cause increases in our costs of raw materials, primarily copper, aluminum and steel. Fixed-price contracts can limit our ability to pass these increases to our customers, thus negatively impacting our earnings. Inflation in commodity prices could potentially impact our operations in future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policies and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record commission expense based on percentage of completion rates that correlate to the project and reduce the deferred asset. Once we have been paid by the customer, we pay the commission, and the deferred liability is reduced.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the earlier of 18 months from the date of shipment or 12 months from the date of energization, whichever occurs first. Actual results could differ from our estimates.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Occasionally projects require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I of Notes to Consolidated Financial Statements for disclosures related to the valuation allowance recorded in relation to foreign deferred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operating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 may be an engineering, procurement and construction firm (EPC)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that expose us to currency risk in the British Pound Sterling, the Canadian Dollar and to a lesser extent the Peso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Fiscal 2020, our realized foreign exchange gain was less than $0.1 million and is included in selling, general and administrative expenses in the Consolidated Statements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$24.5 million as of September 30, 2020, a decrease of less than $0.1 million compared to September 30, 2019. This decrease in comprehensive loss was primarily a result of fluctuations in the currency exchange rates for the Canadian Dollar and British Pound Sterling as we remeasured the foreign operations of those divisions.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0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Report of Independent Registered Public Accounting Firm</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19"/>
                <w:szCs w:val="19"/>
                <w:color w:val="auto"/>
              </w:rPr>
            </w:pPr>
          </w:p>
        </w:tc>
      </w:tr>
      <w:tr>
        <w:trPr>
          <w:trHeight w:val="230"/>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Consolidated Balance Sheets as of September 30, 2020 and 2019</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19"/>
                <w:szCs w:val="19"/>
                <w:color w:val="auto"/>
              </w:rPr>
            </w:pPr>
          </w:p>
        </w:tc>
      </w:tr>
      <w:tr>
        <w:trPr>
          <w:trHeight w:val="229"/>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Consolidated Statements of Operations for the Years Ended September 30, 2020, 2019 and 2018</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33</w:t>
              </w:r>
            </w:hyperlink>
          </w:p>
        </w:tc>
        <w:tc>
          <w:tcPr>
            <w:tcW w:w="40" w:type="dxa"/>
            <w:vAlign w:val="bottom"/>
          </w:tcPr>
          <w:p>
            <w:pPr>
              <w:spacing w:after="0"/>
              <w:rPr>
                <w:sz w:val="19"/>
                <w:szCs w:val="19"/>
                <w:color w:val="auto"/>
              </w:rPr>
            </w:pPr>
          </w:p>
        </w:tc>
      </w:tr>
      <w:tr>
        <w:trPr>
          <w:trHeight w:val="229"/>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Consolidated Statements of Comprehensive Income (Loss) for the Years Ended September 30, 2020, 2019 and 2018</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34</w:t>
              </w:r>
            </w:hyperlink>
          </w:p>
        </w:tc>
        <w:tc>
          <w:tcPr>
            <w:tcW w:w="40" w:type="dxa"/>
            <w:vAlign w:val="bottom"/>
          </w:tcPr>
          <w:p>
            <w:pPr>
              <w:spacing w:after="0"/>
              <w:rPr>
                <w:sz w:val="19"/>
                <w:szCs w:val="19"/>
                <w:color w:val="auto"/>
              </w:rPr>
            </w:pPr>
          </w:p>
        </w:tc>
      </w:tr>
      <w:tr>
        <w:trPr>
          <w:trHeight w:val="230"/>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Consolidated Statements of Stockholders’ Equity for the Years Ended September 30, 2020, 2019 and 2018</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35</w:t>
              </w:r>
            </w:hyperlink>
          </w:p>
        </w:tc>
        <w:tc>
          <w:tcPr>
            <w:tcW w:w="40" w:type="dxa"/>
            <w:vAlign w:val="bottom"/>
          </w:tcPr>
          <w:p>
            <w:pPr>
              <w:spacing w:after="0"/>
              <w:rPr>
                <w:sz w:val="19"/>
                <w:szCs w:val="19"/>
                <w:color w:val="auto"/>
              </w:rPr>
            </w:pPr>
          </w:p>
        </w:tc>
      </w:tr>
      <w:tr>
        <w:trPr>
          <w:trHeight w:val="229"/>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Consolidated Statements of Cash Flows for the Years Ended September 30, 2020, 2019 and 2018</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36</w:t>
              </w:r>
            </w:hyperlink>
          </w:p>
        </w:tc>
        <w:tc>
          <w:tcPr>
            <w:tcW w:w="40" w:type="dxa"/>
            <w:vAlign w:val="bottom"/>
          </w:tcPr>
          <w:p>
            <w:pPr>
              <w:spacing w:after="0"/>
              <w:rPr>
                <w:sz w:val="19"/>
                <w:szCs w:val="19"/>
                <w:color w:val="auto"/>
              </w:rPr>
            </w:pPr>
          </w:p>
        </w:tc>
      </w:tr>
      <w:tr>
        <w:trPr>
          <w:trHeight w:val="234"/>
        </w:trPr>
        <w:tc>
          <w:tcPr>
            <w:tcW w:w="10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Notes to Consolidated Financial Statements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37</w:t>
              </w:r>
            </w:hyperlink>
          </w:p>
        </w:tc>
        <w:tc>
          <w:tcPr>
            <w:tcW w:w="40" w:type="dxa"/>
            <w:vAlign w:val="bottom"/>
          </w:tcPr>
          <w:p>
            <w:pPr>
              <w:spacing w:after="0"/>
              <w:rPr>
                <w:sz w:val="20"/>
                <w:szCs w:val="20"/>
                <w:color w:val="auto"/>
              </w:rPr>
            </w:pPr>
          </w:p>
        </w:tc>
      </w:tr>
      <w:tr>
        <w:trPr>
          <w:trHeight w:val="851"/>
        </w:trPr>
        <w:tc>
          <w:tcPr>
            <w:tcW w:w="10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Powell Industries,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Powell Industries, Inc. and its subsidiaries (the “Company”) as of September 30, 2020 and 2019, and the related consolidated statements of operations, of comprehensive income (loss), of stockholders’ equity and of cash flows for each of the three years in the period ended September 30, 2020, including the related notes (collectively referred to as the “consolidated financial statements”). We also have audited the Company's internal control over financial reporting as of September 30, 2020,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2020 and 2019, and the results of its operations and its cash flows for each of the three years in the period ended September 30, 2020 in conformity with accounting principles generally accepted in the United States of America. Also in our opinion, the Company maintained, in all material respects, effective internal control over financial reporting as of September 30, 2020, based on criteria established in Internal Control - Integrated Framework (2013) issued by the COSO.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Notes B and M to the consolidated financial statements, the Company changed the manner in which it accounts for leases in the year ended September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$510 and $301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112,093</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328,568</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467,411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0" w:type="dxa"/>
            <w:vAlign w:val="bottom"/>
          </w:tcPr>
          <w:p>
            <w:pPr>
              <w:spacing w:after="0"/>
              <w:rPr>
                <w:sz w:val="1"/>
                <w:szCs w:val="1"/>
                <w:color w:val="auto"/>
              </w:rPr>
            </w:pPr>
          </w:p>
        </w:tc>
      </w:tr>
      <w:tr>
        <w:trPr>
          <w:trHeight w:val="223"/>
        </w:trPr>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168,258</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$0.01; 5,000,000 shares authorized; none issued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30,000,000 shares authorized; 12,422,411 and 12,372,766 shares issued,</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299,153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467,411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448,716</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383,361</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65,355</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66,768</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r>
      <w:tr>
        <w:trPr>
          <w:trHeight w:val="257"/>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r>
      <w:tr>
        <w:trPr>
          <w:trHeight w:val="234"/>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3" w:name="page34"/>
    <w:bookmarkEnd w:id="33"/>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4"/>
        </w:trPr>
        <w:tc>
          <w:tcPr>
            <w:tcW w:w="7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4" w:name="page35"/>
    <w:bookmarkEnd w:id="34"/>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0"/>
                <w:szCs w:val="10"/>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2017</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310,598</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321,296</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$20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291,530</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301,644</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289,422</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299,153</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5" w:name="page36"/>
    <w:bookmarkEnd w:id="35"/>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60" w:type="dxa"/>
            <w:vAlign w:val="bottom"/>
            <w:tcBorders>
              <w:bottom w:val="single" w:sz="8" w:color="auto"/>
            </w:tcBorders>
          </w:tcPr>
          <w:p>
            <w:pPr>
              <w:spacing w:after="0"/>
              <w:rPr>
                <w:sz w:val="18"/>
                <w:szCs w:val="18"/>
                <w:color w:val="auto"/>
              </w:rPr>
            </w:pPr>
          </w:p>
        </w:tc>
      </w:tr>
      <w:tr>
        <w:trPr>
          <w:trHeight w:val="211"/>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12,903</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Bad debt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amended supply agreement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cash surrender value of life insurance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(37,176)</w:t>
            </w: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(14,117)</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7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w:t>
            </w:r>
          </w:p>
        </w:tc>
      </w:tr>
      <w:tr>
        <w:trPr>
          <w:trHeight w:val="21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w:t>
            </w:r>
          </w:p>
        </w:tc>
      </w:tr>
      <w:tr>
        <w:trPr>
          <w:trHeight w:val="213"/>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r>
      <w:tr>
        <w:trPr>
          <w:trHeight w:val="212"/>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(28,543)</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(22,261)</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35,248</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life insurance policy</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212"/>
        </w:trPr>
        <w:tc>
          <w:tcPr>
            <w:tcW w:w="74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10,433</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industrial development revenue bonds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w:t>
            </w:r>
          </w:p>
        </w:tc>
      </w:tr>
      <w:tr>
        <w:trPr>
          <w:trHeight w:val="207"/>
        </w:trPr>
        <w:tc>
          <w:tcPr>
            <w:tcW w:w="7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(13,028)</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(31,138)</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93,210</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61,725</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and are used in oil and gas refining, onshore and offshore oil and gas production, petrochemical, liquefied natural gas (LNG) terminals, pipeline, terminal, mining and metals, light rail traction power, electric utility, pulp and paper and other heavy industrial markets. Our product scope includes designs tested to meet both U.S. and international standards, under both the American National Standards Institute (ANSI) and International Electrotechnical Commission.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2020, Fiscal 2019 and Fiscal 2018 used throughout these Notes to Consolidated Financial Statements relate to our fiscal years ended September 30, 2020, 2019 and 2018,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and Oil and Gas Commodity Market Volatility on Powell</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spread of COVID-19 has created significant uncertainty and economic disruption across the world during the second half of Fiscal 2020 and continuing into Fiscal 2021. This pandemic has negatively impacted energy demand, which in turn has resulted in considerable volatility across the oil and gas commodity markets. As a result, some of our industrial customers are deferring or suspending their planned capital expenditures. Certain of our customers have asked that we delay our manufacturing on their projects as their operations have been negatively impacted by this pandemic and the reduced oil and gas demand. We continue to work with and review the contracts with our key suppliers who have been impacted by this pandemic to ensure that we are able to meet our customer commitments.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an operational standpoint, although our facilities are located in areas that have been or continue to be subject to stay-at-home orders, we have not closed any of our facilities for an extended amount of time and have continued to operate as an "essential business" under these orders across all of our locations. We continue to take the necessary steps to ensure the safety of our employees, customers and vendors. These steps include, among others, promoting increased social distancing practices and enhanced cleaning efforts in our offices and facilities. We are also using technology across our operations to further enhance social distancing and improve safety. These increased safety precautions may have an adverse impact on our efficiency and productivity going forward.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circumstances noted above, we anticipate that a decrease in commercial activity will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governmental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r>
      <w:tr>
        <w:trPr>
          <w:trHeight w:val="188"/>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(676)</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(received),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354</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6"/>
              </w:rPr>
              <w:t>129</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net of allowances for doubtful accounts. We maintain and continually assess the adequacy of the allowance for doubtful accounts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spacing w:after="0" w:line="273" w:lineRule="auto"/>
        <w:rPr>
          <w:sz w:val="20"/>
          <w:szCs w:val="20"/>
          <w:color w:val="auto"/>
        </w:rPr>
      </w:pPr>
      <w:r>
        <w:rPr>
          <w:rFonts w:ascii="Times New Roman" w:cs="Times New Roman" w:eastAsia="Times New Roman" w:hAnsi="Times New Roman"/>
          <w:sz w:val="18"/>
          <w:szCs w:val="18"/>
          <w:color w:val="auto"/>
        </w:rPr>
        <w:t>receivables are not collateralized. However, we utilize letters of credit to secure payment on projects when possible. As of September 30, 2020 and 2019, accounts receivable included retention amounts of $6.9 million and $5.6 million, respectively. Retention amounts are in accordance with applicable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contracts and become due upon completion of contractual requirements. Of the retained amount at September 30, 2020, $5.9 million is expected to be collected in the next twelve months and is recorded in accounts receivable. The remaining $1.0 million is recorded in other assets and is expected to be collected in Fiscal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the earlier of 18 months from the date of shipment or 12 months from the date of energization, whichever occurs first. Actual results could differ from our estimate.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Occasionally projects require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over the extended warranty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$6.3 million, $6.3 million and $6.7 million in Fiscal 2020, 2019 and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are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 new topic on leases that requires lessees to recognize lease assets and lease liabilities on the balance sheet for all leases with terms longer than twelve months. Leases are classified as either finance or operating, with classification affecting the pattern of expense recognition in the income statement. Effective October 1, 2019, we adopted the new lease accounting standard and recorded operating lease assets and operating lease liabilities of approximately $7.0 million and determined that no adjustment to retained earnings was necessary. Financial results for reporting periods after October 1, 2019 are reported under the new standard; however financial results for prior periods were not adjusted and will continue to be presented in accordance with the previous standard. Upon adoption, we elected a package of practical expedients which, among other things, allowed for the historical classification of our existing leases to carry forward. Additionally, we elected to separate non-lease components for our real estate and IT infrastructure asset classes. All other asset classes account for both lease and non-lease components in the operating lease asset and operating lease liability calculations. See Note M for further discussion of leases.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Enhanced disclosure of information regarding how a company developed its allowance, including changes in the factors that influenced management's estimate of expected credit losses and the reasons for those changes, will be required upon adoption. We are still evaluating the impact this new topic will have on our consolidated financial statements which will be adopted in Fiscal 2021.</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 new topic on the statement of cash flows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We adopted this topic in Fiscal 2019, and our Consolidated Cash Flow Statements for all periods reflect this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1" w:name="page42"/>
    <w:bookmarkEnd w:id="41"/>
    <w:p>
      <w:pPr>
        <w:spacing w:after="0" w:line="329"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 with assumed conversions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(loss)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September 30, 2018, we incurred a net loss; therefore, all potential common shares were deemed to be anti-dilutive.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doubtful accounts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8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316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2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r>
      <w:tr>
        <w:trPr>
          <w:trHeight w:val="189"/>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3 - 39 Years</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 Years</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 Years</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0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256,233</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assets under finance lease as of September 30, 2020 or September 30, 2019. Depreciation expense was $10.4 million, $11.9 million and $12.7 million for fiscal years 2020, 2019, and 2018,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09"/>
        </w:trPr>
        <w:tc>
          <w:tcPr>
            <w:tcW w:w="8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2018, we adopted the new revenue recognition standard using the modified retrospective transition method. We applied the guidance in the standard to customer contracts that were not substantially complete at that time and we determined that no adjustment to retained earnings was necessary. Financial results for reporting periods after October 1, 2018 are reported under the new standard; however, financial results for prior periods were not adjusted and will continue to be presented in accordance with the previous standard.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95% and 94% of revenues for the years ended September 30, 2020 and September 30, 2019,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and 6% of revenues for the years ended September 30, 2020 and September 30, 2019,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2020, we had backlog of $476.8 million, of which approximately $282.5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September 30, 2020 and 2019, our operating results were positively impacted by $11.3 million and $5.1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other changes in facts and circumstances during these periods.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2020 and September 30, 2019 are summarized below (in thousands):</w:t>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r>
      <w:tr>
        <w:trPr>
          <w:trHeight w:val="187"/>
        </w:trPr>
        <w:tc>
          <w:tcPr>
            <w:tcW w:w="730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50,995</w:t>
            </w:r>
          </w:p>
        </w:tc>
        <w:tc>
          <w:tcPr>
            <w:tcW w:w="220" w:type="dxa"/>
            <w:vAlign w:val="bottom"/>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center"/>
              <w:ind w:left="415"/>
              <w:spacing w:after="0"/>
              <w:rPr>
                <w:sz w:val="20"/>
                <w:szCs w:val="20"/>
                <w:color w:val="auto"/>
              </w:rPr>
            </w:pPr>
            <w:r>
              <w:rPr>
                <w:rFonts w:ascii="Times New Roman" w:cs="Times New Roman" w:eastAsia="Times New Roman" w:hAnsi="Times New Roman"/>
                <w:sz w:val="18"/>
                <w:szCs w:val="18"/>
                <w:color w:val="auto"/>
              </w:rPr>
              <w:t>55,374</w:t>
            </w:r>
          </w:p>
        </w:tc>
      </w:tr>
      <w:tr>
        <w:trPr>
          <w:trHeight w:val="230"/>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(79,445)</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(71,464)</w:t>
            </w:r>
          </w:p>
        </w:tc>
      </w:tr>
      <w:tr>
        <w:trPr>
          <w:trHeight w:val="248"/>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(28,450)</w:t>
            </w:r>
          </w:p>
        </w:tc>
        <w:tc>
          <w:tcPr>
            <w:tcW w:w="220" w:type="dxa"/>
            <w:vAlign w:val="bottom"/>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center"/>
              <w:ind w:left="375"/>
              <w:spacing w:after="0"/>
              <w:rPr>
                <w:sz w:val="20"/>
                <w:szCs w:val="20"/>
                <w:color w:val="auto"/>
              </w:rPr>
            </w:pPr>
            <w:r>
              <w:rPr>
                <w:rFonts w:ascii="Times New Roman" w:cs="Times New Roman" w:eastAsia="Times New Roman" w:hAnsi="Times New Roman"/>
                <w:sz w:val="18"/>
                <w:szCs w:val="18"/>
                <w:color w:val="auto"/>
              </w:rPr>
              <w:t>(16,090)</w:t>
            </w: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net contract liability at September 30, 2020 from September 30, 2019 was primarily due to our progress towards completion on our projects and the timing of contract billing milestones and new orders. This increase was primarily driven by the timing of contract billing milestones related to our recent contract award for a large industrial project in the United States.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2020, we recognized revenue of approximately $71 million related to contract liabilities outstanding at September 30, 2019.</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contain retention provisions that become due upon completion of contractual requirements. As of September 30, 2020 and September 30, 2019, accounts receivable included retention amounts of $6.9 million and $5.6 million, respectively. Of the retained amount at September 30, 2020, $5.9 million is expected to be collected in the next twelve months and is recorded in accounts receivable. The remaining $1.0 million is recorded in other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years ended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4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r>
      <w:tr>
        <w:trPr>
          <w:trHeight w:val="228"/>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242,291</w:t>
            </w:r>
          </w:p>
        </w:tc>
        <w:tc>
          <w:tcPr>
            <w:tcW w:w="20" w:type="dxa"/>
            <w:vAlign w:val="bottom"/>
            <w:shd w:val="clear" w:color="auto" w:fill="CCEEFF"/>
          </w:tcPr>
          <w:p>
            <w:pPr>
              <w:spacing w:after="0"/>
              <w:rPr>
                <w:sz w:val="19"/>
                <w:szCs w:val="19"/>
                <w:color w:val="auto"/>
              </w:rPr>
            </w:pP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93,391</w:t>
            </w:r>
          </w:p>
        </w:tc>
        <w:tc>
          <w:tcPr>
            <w:tcW w:w="20" w:type="dxa"/>
            <w:vAlign w:val="bottom"/>
          </w:tcPr>
          <w:p>
            <w:pPr>
              <w:spacing w:after="0"/>
              <w:rPr>
                <w:sz w:val="19"/>
                <w:szCs w:val="19"/>
                <w:color w:val="auto"/>
              </w:rPr>
            </w:pP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84,993</w:t>
            </w:r>
          </w:p>
        </w:tc>
        <w:tc>
          <w:tcPr>
            <w:tcW w:w="20" w:type="dxa"/>
            <w:vAlign w:val="bottom"/>
            <w:shd w:val="clear" w:color="auto" w:fill="CCEEFF"/>
          </w:tcPr>
          <w:p>
            <w:pPr>
              <w:spacing w:after="0"/>
              <w:rPr>
                <w:sz w:val="19"/>
                <w:szCs w:val="19"/>
                <w:color w:val="auto"/>
              </w:rPr>
            </w:pPr>
          </w:p>
        </w:tc>
      </w:tr>
      <w:tr>
        <w:trPr>
          <w:trHeight w:val="230"/>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20" w:type="dxa"/>
            <w:vAlign w:val="bottom"/>
          </w:tcPr>
          <w:p>
            <w:pPr>
              <w:spacing w:after="0"/>
              <w:rPr>
                <w:sz w:val="19"/>
                <w:szCs w:val="19"/>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intangible assets consist of goodwill of $1.0 million, which is not being amortized, and purchased technology of $0.2 million, which is amortized over its estimated useful life. No impairment expense has been recorded for the last three fiscal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balances, subject to amortization, at September 30, 2020 and 2019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80" w:type="dxa"/>
            <w:vAlign w:val="bottom"/>
          </w:tcPr>
          <w:p>
            <w:pPr>
              <w:jc w:val="center"/>
              <w:ind w:right="12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80" w:type="dxa"/>
            <w:vAlign w:val="bottom"/>
          </w:tcPr>
          <w:p>
            <w:pPr>
              <w:jc w:val="center"/>
              <w:ind w:right="12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980" w:type="dxa"/>
            <w:vAlign w:val="bottom"/>
          </w:tcPr>
          <w:p>
            <w:pPr>
              <w:jc w:val="center"/>
              <w:ind w:right="144"/>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24"/>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recorded for the years ended September 30, 2020, 2019 and 2018 was $0.2 million, $0.2 million and $0.2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each of the five subsequent fiscal years is expected to be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5"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annual maturities of long-term debt as of September 30, 2020,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41"/>
              <w:spacing w:after="0" w:line="161" w:lineRule="exact"/>
              <w:rPr>
                <w:sz w:val="20"/>
                <w:szCs w:val="20"/>
                <w:color w:val="auto"/>
              </w:rPr>
            </w:pPr>
            <w:r>
              <w:rPr>
                <w:rFonts w:ascii="Times New Roman" w:cs="Times New Roman" w:eastAsia="Times New Roman" w:hAnsi="Times New Roman"/>
                <w:sz w:val="14"/>
                <w:szCs w:val="14"/>
                <w:b w:val="1"/>
                <w:bCs w:val="1"/>
                <w:color w:val="auto"/>
              </w:rPr>
              <w:t>Long</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35"/>
        </w:trPr>
        <w:tc>
          <w:tcPr>
            <w:tcW w:w="9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220" w:type="dxa"/>
            <w:vAlign w:val="bottom"/>
          </w:tcPr>
          <w:p>
            <w:pPr>
              <w:spacing w:after="0"/>
              <w:rPr>
                <w:sz w:val="11"/>
                <w:szCs w:val="11"/>
                <w:color w:val="auto"/>
              </w:rPr>
            </w:pPr>
          </w:p>
        </w:tc>
        <w:tc>
          <w:tcPr>
            <w:tcW w:w="112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189"/>
        </w:trPr>
        <w:tc>
          <w:tcPr>
            <w:tcW w:w="9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9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 maturities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2019, we entered into an Amended and Restated Credit Agreement with Bank of America, N.A. (the "U.S. Revolver"), which replaced our prior credit agreement. The U.S. Revolver is a $75.0 million revolving credit facility, which is available for both borrowings and letters of credit and expires September 2024. As of September 30, 2020, there were no amounts borrowed under this facility, and letters of credit outstanding were $38.7 million. There was $36.3 million available for the issuance of letters of credit and borrowings under the U.S. Revolver as of September 30, 2020.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leverage ratio less than 3.0 to 1.0 and a consolidated interest coverage ratio of greater than 3.0 to 1.0. The consolidated leverage ratio is our most restrictive covenant and a decrease in our earnings before interest, taxes, depreciation and amortization (EBITDA) could restrict our ability to issue letters of credit under the U.S. Revolver. Additionally, we must maintain a consolidated cash balance of $30 million at all times. The U.S. Revolver also contains a "material adverse effect" clause which is a material change in our operations, business, properties, liabilities or condition (financial or otherwise) or a material impairment of our ability to perform our obligations under our credit agreements. As of September 30, 2020, we were in compliance with all of the financial covenants of the U.S. Revolver.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September 30, 2020. While the Bonds mature in 2021, the reimbursement agreement requires annual redemptions of $0.4 million that commenced on October 25, 2002. A sinking fund is used for the annual principal payment. The Bonds bear interest at a floating rate determined weekly by the Bonds’ remarketing agent, which was the underwriter for the Bonds and is an affiliate of the bank. This interest rate was 0.27% as of September 30, 2020.</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$38.7 million as of September 30, 2020. We also had surety bonds totaling $162.4 million that were outstanding, with additional bonding capacity of $587.6 million available, at September 30, 2020.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$9.0 million facility agreement ("Facility Agreement") between Powell (UK) Limited and a large international bank that provides Powell (UK) Limited the ability to enter into bank guarantees as well as forward exchange contracts and currency options. At September 30, 2020, we had outstanding guarantees totaling $7.2 million and amounts available under this Facility Agreement were $1.8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may become or be declared immediately due and payable. Additionally, we are required to maintain cash collateral for guarantees greater than two years. As of September 30, 2020, we were in compliance with all of the financial covenants of the Facility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2020, our exposure to possible liquidated damages was $2.4 million, of which approximately $0.2 million was probable. Based on our actual or projected failure to meet these various contractual commitments, $0.2 million has been recorded as a reduction to revenue. We will attempt to obtain change orders, contract extensions or accelerate project completion, which may resolve the potential for any unrecorded liquidated damage. We have claimed force majeure on certain contracts due to delays associated with the COVID-19 pandemic. Should we fail to achieve relief on some or all of these contractual obligations, we could be required to pay additional liquidated damages, which could negatively impact our future operating results.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(benefit)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0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Income (loss) before income taxes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in each of the three years presented in the Consolidated Statements of Operations, was as follows:</w:t>
      </w:r>
    </w:p>
    <w:p>
      <w:pPr>
        <w:spacing w:after="0" w:line="6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2017, the new tax law lowered the corporate tax rate from 35% to 21% effective January 1, 2018. As a result, the U.S. federal statutory rate for Fiscal 2020 and 2019 is 21%, compared to the blended statutory rate of 24.5% effective for Fiscal 2018.</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income tax provision (benefit) reflects an effective tax rate on pre-tax results of 18% in Fiscal 2020 compared to 20% and 7% in Fiscal 2019 and 2018, respectively. The effective tax rate of 18% for Fiscal 2020 was favorably impacted by the current year estimated Research and Development Tax Credit ("R&amp;D Tax Credit") as well as the utilization of net operating loss carryforwards in Canada that were fully reserved with a valuation allowance. Likewise, the discrete items recorded in the third quarter of Fiscal 2020 in the amount of $1.7 million associated with the release of reserves for unrecognized tax benefits as a result of the expiration of statutes of limitations and the IRS audit settlement favorably impacted the effective tax rate. The effective tax rate was negatively impacted by the discrete item recorded in the second quarter of Fiscal 2020 for the valuation allowance against our U.K. deferred tax assets in the amount of $0.5 million as well as by the losses recognized in various foreign jurisdictions that were reserved with a valuation allowance. The effective tax rate for Fiscal 2019 approximated the U.S. federal statutory rate as favorable adjustments related to the utilization of net operating loss carryforwards in Canada that were fully reserved with a valuation allowance, and the R&amp;D Tax Credit were largely offset by unfavorable adjustments primarily related to state income taxes and other permanent items. Due to the loss position in Fiscal 2018, the effective tax rate was negatively impacted by foreign losses reserved for with a valuation allowance as well as $0.5 million of tax expense related to the re-measurement of U.S. deferred tax assets as a result of tax reform.</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our assessment of deferred income taxes, in the second quarter of Fiscal 2020, we recorded a valuation allowance of $0.5 million against our U.K. net deferred tax assets. In assessing the realizability of net deferred tax assets, we determined it was more-likely-than-not that the net deferred tax assets may not be realized based upon recent U.K.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$16.1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2013 – 2019, United Kingdom 2018 – 2019 and the United States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2018 – 2019. As of September 30, 2020, we did not have any state audits underway that would have a material impact on our financial position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income tax asset was comprised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8"/>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liabilities and valuation allowance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w:t>
            </w:r>
          </w:p>
        </w:tc>
      </w:tr>
      <w:tr>
        <w:trPr>
          <w:trHeight w:val="248"/>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8"/>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legal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benefits liability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Retention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r>
      <w:tr>
        <w:trPr>
          <w:trHeight w:val="223"/>
        </w:trPr>
        <w:tc>
          <w:tcPr>
            <w:tcW w:w="84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we had tax credit carryforwards of $0.1 million not reserved with a valuation allowance that are available to reduce future U.S. federal tax liabilities. The majority of these tax credit carryforwards expire beginning in 2030. In addition, we had international net operating loss carryforwards of $0.8 million that were not reserved with a valuation allowance available to offset future taxable income in the respective jurisdictions, with approximately $0.2 million expiring in 2029 and 2030 and the remainder having an indefinite carryforward period.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 valuation allowance in the amount of $9.0 million primarily related to the Canadian and U.K. net deferred tax assets. The net change in the total valuation allowance during the year was $0.8 million which was largely a result of the establishment of a valuation allowance on the net deferred tax assets of the U.K. In assessing the realizability of net deferred tax assets, we consider whether it is more-likely-than-not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Included in the balance of unrecognized tax benefits at the end of Fiscal 2020, 2019, and 2018 are $0.8 million, $2.1 million, and $1.3 million, respectively, of tax benefits that, if recognized, would affect the effective tax rate. Our policy is to recognize interest and penalties related to income tax matters as tax expense. The amount of interest and penalty expense recorded for the year ended September 30, 2020 was not material.</w:t>
      </w:r>
    </w:p>
    <w:p>
      <w:pPr>
        <w:spacing w:after="0" w:line="1" w:lineRule="exact"/>
        <w:rPr>
          <w:sz w:val="20"/>
          <w:szCs w:val="20"/>
          <w:color w:val="auto"/>
        </w:rPr>
      </w:pPr>
    </w:p>
    <w:p>
      <w:pPr>
        <w:jc w:val="both"/>
        <w:ind w:right="320"/>
        <w:spacing w:after="0" w:line="238" w:lineRule="auto"/>
        <w:rPr>
          <w:sz w:val="20"/>
          <w:szCs w:val="20"/>
          <w:color w:val="auto"/>
        </w:rPr>
      </w:pPr>
      <w:r>
        <w:rPr>
          <w:rFonts w:ascii="Times New Roman" w:cs="Times New Roman" w:eastAsia="Times New Roman" w:hAnsi="Times New Roman"/>
          <w:sz w:val="18"/>
          <w:szCs w:val="18"/>
          <w:color w:val="auto"/>
        </w:rPr>
        <w:t>Due to the expiration of certain federal statutes of limitations and the settlement of the IRS audit discussed above, management believes that, within the next twelve months, it is reasonably possible that the unrecognized tax benefits will decrease by approximately $0.1 million due to the settlement with taxing authorities related to voluntary filings. We are unable to make reasonably reliable estimates regarding the timing of future cash outflows, if any, associated with the remaining unrecognized tax benefits for the open periods of Fiscal 2018 – 2020.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$3.1 million, $3.2 million and $2.8 million in Fiscal 2020, 2019 and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trust, an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$0.1 million related to this plan in Fiscal 2020. At September 30, 2020, total assets held by the trustee were $7.4 million and recorded in other assets and the liability was $6.6 million and recorded in other long-term liabilities in our Consolidated Balance Sheets. Of the $7.4 million of assets held by the trustee, $7.2 million is invested in company-owned life insurance policies and the remainder in mutual funds.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former executives were provided an executive benefit plan that provides for fixed payments upon normal retirement on or after age 65 and the completion of at least 10 years of continuous employment. The estimated present value of these payments was accrued over the service life of these individuals, and $0.1 million is recorded in deferred compensation related to this executive benefit plan. To assist in funding the deferred compensation liability, we invested in company-owned life insurance policies. The cash surrender value of these policies is presented in other assets and was $3.3 million at September 30,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plan that extends health benefits to retirees that are also available to active employees under our existing health plans. This plan is unfunded. The plan provides coverage for employees with at least 10 years of service who are age 55 or older but less than 65. The retiree is required to pay the COBRA rate less a subsidy provided by us based on years of service at the time of retirement. The unfunded liability is recorded in other long-term liabilities and was $0.9 million as of both September 30, 2020 and 2019. Our net periodic postretirement benefit expenses have been less than $0.1 million for the last three fiscal years. Due to the immateriality of the costs and liabilities of this plan, no further disclosure is being presented.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2014 Plan, the Compensation Committee has authorized grants of restricted stock units (RSUs) to certain officers and key employees of the company. The fair value of the RSUs is based on the closing price of our common stock as reported on the NASDAQ Global Market on the grant dates. Typically, these grants vest over a three-year period from their date of issuance. Fifty to sixty percent of the grant is time-based and vests over a three-year period on each anniversary of the grant date, based on continued employment. The remaining forty to fifty percent of the grant is earned based on the three-year earnings performance of the Company following the grant date. At September 30, 2020, there were 154,034 RSUs outstanding. The RSUs do not have voting rights but receive dividend equivalents upon vesting.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5"/>
        </w:trPr>
        <w:tc>
          <w:tcPr>
            <w:tcW w:w="844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35"/>
        </w:trPr>
        <w:tc>
          <w:tcPr>
            <w:tcW w:w="844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89"/>
        </w:trPr>
        <w:tc>
          <w:tcPr>
            <w:tcW w:w="84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6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27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reserved 750,000 shares of common stock for issuance under the 2014 Plan. As of September 30, 2020, there were 530,036 shares of common stock available for future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our stockholders approved the 2014 Non-Employee Director Equity Incentive Plan (the 2014 Director Plan). The total number of shares of common stock reserved under the plan is 150,000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2,400 restricted shares of the Company’s common stock annually. Fifty percent of the restricted stock granted to each of our non-employee directors vests immediately, while the remaining fifty percent vests on the anniversary of the grant date. Compensation expense is recognized immediately for the first fifty percent of the restricted stock granted, while compensation expense for the remaining fifty percent is recognized over the remaining vesting period.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this 2014 Director Plan, in February 2020, 16,800 shares of restricted stock were issued to our non-employee directors at a price of $36.25 per share. In February 2019, we issued 14,000 shares of restricted stock to our non-employee directors at a</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price of $34.02 per share. The total number of shares of common stock available for future awards under the 2014 Director plan was 39,800 shares as of September 30, 2020.</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At September 30, 2020 and 2019, there were 8,400 and 7,000 shares of unvested restricted stock outstanding, respectively. Total compensation expense related to restricted stock grants under all plans was $0.6 million, $0.5 million and $0.5 million for the years ended September 30, 2020, 2019 and 2018,</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Total compensation expense related to RSUs under all plans was $2.9 million, $3.3 million and $2.7 million for the years ended September 30, 2020, 2019 and 2018,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2020 and 2019, amounts of deferred compensation expense not yet recognized related to non-vested stock and RSUs totaled $1.2 million and $1.0 million, respectively. As of September 30, 2020, the total weighted average remaining contractual life of our non-vested restricted stock and RSUs is approximately six months and 1.5 years,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2020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2020</w:t>
            </w: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3" w:name="page54"/>
    <w:bookmarkEnd w:id="53"/>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2019</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therefore also categorized as Level 2 in the fair value measurement hierarchy.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year ended September 30, 2020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30"/>
        </w:trPr>
        <w:tc>
          <w:tcPr>
            <w:tcW w:w="9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9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90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00" w:hanging="174"/>
        <w:spacing w:after="0"/>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September 30, 2019 and 2018, rent expense related to operating leases was $3.5 million and $3.4 million; however, these amounts did not include rent expense related to leases and rentals with initial terms of one year or less, which are included in short-term cost in the table above. For the years ended September 30, 2019 and 2018, sublease income from third parties was $1.3 million and $1.5 million; however, these amounts included common area maintenance charges, which are included in variable lease cost in the table above.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In Fiscal 2019, we recorded additional lease expense of $0.7 million related to certain facility leases in Canada that are no longer utilized in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2018, we incurred approximately $0.8 million due to anticipated losses on the sublet of a Canadian facility we exited in a prior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Our operating lease assets have been reduced by a lease accrual of $0.6 million related to certain unused facility leases in Canada. The following table provides a summary of the operating lease assets and operating lease liabilities included in our Consolidated Balance Sheets as of September 30, 2020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0" w:type="dxa"/>
            <w:vAlign w:val="bottom"/>
          </w:tcPr>
          <w:p>
            <w:pPr>
              <w:spacing w:after="0"/>
              <w:rPr>
                <w:sz w:val="1"/>
                <w:szCs w:val="1"/>
                <w:color w:val="auto"/>
              </w:rPr>
            </w:pP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September 30, 2020 (in thousands):</w:t>
            </w: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9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8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September 30, 2020 was 4.19%. The weighted average remaining lease term was 2.55 years at September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related to the development, design, manufacturing and servicing of custom-engineered equipment and systems for the distribution, control and monitoring of electrical energy.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 East</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5" w:name="page56"/>
    <w:bookmarkEnd w:id="55"/>
    <w:p>
      <w:pPr>
        <w:ind w:right="360"/>
        <w:spacing w:after="0" w:line="282"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8"/>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71,325</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2020 and 2019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2020 Quarters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5"/>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line="214" w:lineRule="exact"/>
              <w:rPr>
                <w:sz w:val="20"/>
                <w:szCs w:val="20"/>
                <w:color w:val="auto"/>
              </w:rPr>
            </w:pPr>
            <w:r>
              <w:rPr>
                <w:rFonts w:ascii="Times New Roman" w:cs="Times New Roman" w:eastAsia="Times New Roman" w:hAnsi="Times New Roman"/>
                <w:sz w:val="24"/>
                <w:szCs w:val="24"/>
                <w:b w:val="1"/>
                <w:bCs w:val="1"/>
                <w:color w:val="auto"/>
                <w:w w:val="94"/>
                <w:vertAlign w:val="subscript"/>
              </w:rPr>
              <w:t>Third</w:t>
            </w:r>
            <w:r>
              <w:rPr>
                <w:rFonts w:ascii="Times New Roman" w:cs="Times New Roman" w:eastAsia="Times New Roman" w:hAnsi="Times New Roman"/>
                <w:sz w:val="9"/>
                <w:szCs w:val="9"/>
                <w:b w:val="1"/>
                <w:bCs w:val="1"/>
                <w:color w:val="auto"/>
                <w:w w:val="94"/>
              </w:rPr>
              <w:t>(1) (2)</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(1) (3)</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94,575</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47" w:lineRule="exact"/>
        <w:rPr>
          <w:sz w:val="20"/>
          <w:szCs w:val="20"/>
          <w:color w:val="auto"/>
        </w:rPr>
      </w:pPr>
    </w:p>
    <w:p>
      <w:pPr>
        <w:jc w:val="both"/>
        <w:ind w:left="140" w:right="80" w:firstLine="7"/>
        <w:spacing w:after="0" w:line="287" w:lineRule="auto"/>
        <w:tabs>
          <w:tab w:leader="none" w:pos="30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first quarter of Fiscal 2020 demonstrated normal seasonality and were negatively impacted by holidays and work schedules related to other quarterly periods. The results for the second quarter of Fiscal 2020 improved due to the timing of orders and execution of backlog while revenues and gross profit decreased during the third and fourth quarters of Fiscal 2020 due to a decrease in orders resulting from a decline in demand across our industrial end markets, as well as project delays, cancellations and scope reductions associated with the global decline in demand across the oil and gas markets resulting from COVID-19.</w:t>
      </w:r>
    </w:p>
    <w:p>
      <w:pPr>
        <w:spacing w:after="0" w:line="1" w:lineRule="exact"/>
        <w:rPr>
          <w:rFonts w:ascii="Times New Roman" w:cs="Times New Roman" w:eastAsia="Times New Roman" w:hAnsi="Times New Roman"/>
          <w:sz w:val="20"/>
          <w:szCs w:val="20"/>
          <w:color w:val="auto"/>
          <w:vertAlign w:val="superscript"/>
        </w:rPr>
      </w:pPr>
    </w:p>
    <w:p>
      <w:pPr>
        <w:ind w:left="320" w:hanging="173"/>
        <w:spacing w:after="0" w:line="217" w:lineRule="auto"/>
        <w:tabs>
          <w:tab w:leader="none" w:pos="3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2020 were negatively impacted by separation costs of $1.4 million as a result of workforce reductions.</w:t>
      </w:r>
    </w:p>
    <w:p>
      <w:pPr>
        <w:spacing w:after="0" w:line="15" w:lineRule="exact"/>
        <w:rPr>
          <w:rFonts w:ascii="Times New Roman" w:cs="Times New Roman" w:eastAsia="Times New Roman" w:hAnsi="Times New Roman"/>
          <w:sz w:val="22"/>
          <w:szCs w:val="22"/>
          <w:color w:val="auto"/>
          <w:vertAlign w:val="superscript"/>
        </w:rPr>
      </w:pPr>
    </w:p>
    <w:p>
      <w:pPr>
        <w:ind w:left="140" w:right="80" w:firstLine="7"/>
        <w:spacing w:after="0" w:line="226" w:lineRule="auto"/>
        <w:tabs>
          <w:tab w:leader="none" w:pos="30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fourth quarter of Fiscal 2020 were positively impacted by other income of $0.5 million related to a death benefit received from our company-owned life insurance policy related to a retired employee.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2019 Quarters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5"/>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line="214" w:lineRule="exact"/>
              <w:rPr>
                <w:sz w:val="20"/>
                <w:szCs w:val="20"/>
                <w:color w:val="auto"/>
              </w:rPr>
            </w:pPr>
            <w:r>
              <w:rPr>
                <w:rFonts w:ascii="Times New Roman" w:cs="Times New Roman" w:eastAsia="Times New Roman" w:hAnsi="Times New Roman"/>
                <w:sz w:val="24"/>
                <w:szCs w:val="24"/>
                <w:b w:val="1"/>
                <w:bCs w:val="1"/>
                <w:color w:val="auto"/>
                <w:w w:val="94"/>
                <w:vertAlign w:val="subscript"/>
              </w:rPr>
              <w:t>Third</w:t>
            </w:r>
            <w:r>
              <w:rPr>
                <w:rFonts w:ascii="Times New Roman" w:cs="Times New Roman" w:eastAsia="Times New Roman" w:hAnsi="Times New Roman"/>
                <w:sz w:val="9"/>
                <w:szCs w:val="9"/>
                <w:b w:val="1"/>
                <w:bCs w:val="1"/>
                <w:color w:val="auto"/>
                <w:w w:val="94"/>
              </w:rPr>
              <w:t>(1) (2)</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517,180</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86,976</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bl>
    <w:p>
      <w:pPr>
        <w:spacing w:after="0" w:line="139" w:lineRule="exact"/>
        <w:rPr>
          <w:sz w:val="20"/>
          <w:szCs w:val="20"/>
          <w:color w:val="auto"/>
        </w:rPr>
      </w:pPr>
    </w:p>
    <w:p>
      <w:pPr>
        <w:ind w:left="140" w:right="80" w:firstLine="7"/>
        <w:spacing w:after="0" w:line="237" w:lineRule="auto"/>
        <w:tabs>
          <w:tab w:leader="none" w:pos="30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first quarter of Fiscal 2019 demonstrated normal seasonality and were negatively impacted by holidays and work schedules relative to other quarterly periods. The results for the subsequent quarters of Fiscal 2019 improved due to the timing of orders and execution of backlog.</w:t>
      </w:r>
    </w:p>
    <w:p>
      <w:pPr>
        <w:spacing w:after="0" w:line="1" w:lineRule="exact"/>
        <w:rPr>
          <w:rFonts w:ascii="Times New Roman" w:cs="Times New Roman" w:eastAsia="Times New Roman" w:hAnsi="Times New Roman"/>
          <w:sz w:val="20"/>
          <w:szCs w:val="20"/>
          <w:color w:val="auto"/>
          <w:vertAlign w:val="superscript"/>
        </w:rPr>
      </w:pPr>
    </w:p>
    <w:p>
      <w:pPr>
        <w:ind w:left="140" w:right="180" w:firstLine="7"/>
        <w:spacing w:after="0" w:line="234" w:lineRule="auto"/>
        <w:tabs>
          <w:tab w:leader="none" w:pos="30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third quarter of Fiscal 2019 were favorably impacted by the receipt of a $1.0 million non-recurring business interruption insurance settlement recognized within operating income.</w:t>
      </w: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 Separation Costs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reductions in oil and gas demand and volatility of commodity prices, we implemented workforce reductions at most of our locations. As a result, we recorded $1.4 million of separation costs in restructuring and other, net on the Consolidated Statement of Operations during the third quarter of Fiscal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Subsequent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3, 2020, our Board of Directors declared a quarterly cash dividend on our common stock in the amount of $0.26 per share. The dividend is payable on December 16, 2020 to shareholders of record at the close of business on November 18,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2020,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2020.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2020, based on criteria in Internal Control – Integrated Framework (2013) issued by the COSO.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report on the effectiveness of our internal control over financial reporting as of September 30, 2020, which appears in their report on the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2020.</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2020.</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the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Borders>
              <w:bottom w:val="single" w:sz="8" w:color="auto"/>
            </w:tcBorders>
          </w:tcPr>
          <w:p>
            <w:pPr>
              <w:spacing w:after="0"/>
              <w:rPr>
                <w:sz w:val="16"/>
                <w:szCs w:val="16"/>
                <w:color w:val="auto"/>
              </w:rPr>
            </w:pPr>
          </w:p>
        </w:tc>
        <w:tc>
          <w:tcPr>
            <w:tcW w:w="96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4"/>
        </w:trPr>
        <w:tc>
          <w:tcPr>
            <w:tcW w:w="1040" w:type="dxa"/>
            <w:vAlign w:val="bottom"/>
          </w:tcPr>
          <w:p>
            <w:pPr>
              <w:jc w:val="right"/>
              <w:ind w:right="52"/>
              <w:spacing w:after="0" w:line="174" w:lineRule="exact"/>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color w:val="auto"/>
              </w:rPr>
              <w:t>Certificate of Incorporation of Powell Industries, Inc. filed with the Secretary of State of the State of Delaware on February 11,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2004 (filed as Exhibit 3.1 to our Form 8-A/A filed November 1, 2004, and incorporated herein by reference).</w:t>
            </w:r>
          </w:p>
        </w:tc>
        <w:tc>
          <w:tcPr>
            <w:tcW w:w="0" w:type="dxa"/>
            <w:vAlign w:val="bottom"/>
          </w:tcPr>
          <w:p>
            <w:pPr>
              <w:spacing w:after="0"/>
              <w:rPr>
                <w:sz w:val="1"/>
                <w:szCs w:val="1"/>
                <w:color w:val="auto"/>
              </w:rPr>
            </w:pPr>
          </w:p>
        </w:tc>
      </w:tr>
      <w:tr>
        <w:trPr>
          <w:trHeight w:val="346"/>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By-laws of Powell Industries, Inc. (filed as Exhibit 3.1 to our Form 8-K filed October 12, 2012,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incorporated herein by reference).</w:t>
              </w:r>
            </w:hyperlink>
          </w:p>
        </w:tc>
        <w:tc>
          <w:tcPr>
            <w:tcW w:w="71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Description of Supplemental Executive Benefit Plan (filed as Exhibit 10 to our Form 10-K for the fiscal year ended October 31,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1984, and incorporated herein by reference).</w:t>
            </w:r>
          </w:p>
        </w:tc>
        <w:tc>
          <w:tcPr>
            <w:tcW w:w="0" w:type="dxa"/>
            <w:vAlign w:val="bottom"/>
          </w:tcPr>
          <w:p>
            <w:pPr>
              <w:spacing w:after="0"/>
              <w:rPr>
                <w:sz w:val="1"/>
                <w:szCs w:val="1"/>
                <w:color w:val="auto"/>
              </w:rPr>
            </w:pPr>
          </w:p>
        </w:tc>
      </w:tr>
      <w:tr>
        <w:trPr>
          <w:trHeight w:val="333"/>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Powell Industries, Inc. Directors’ Fees Program (filed as Exhibit 10.7 to our Form 10-K for the fiscal year ended October 31, 1992,</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46"/>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Powell Industries, Inc. Executive Severance Protection Plan (filed as Exhibit 10.7 to our Form 10-K for the fiscal year ended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October 31, 2002,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vMerge w:val="continue"/>
          </w:tcPr>
          <w:p>
            <w:pPr>
              <w:spacing w:after="0"/>
              <w:rPr>
                <w:sz w:val="24"/>
                <w:szCs w:val="24"/>
                <w:color w:val="auto"/>
              </w:rPr>
            </w:pPr>
          </w:p>
        </w:tc>
        <w:tc>
          <w:tcPr>
            <w:tcW w:w="9640" w:type="dxa"/>
            <w:vAlign w:val="bottom"/>
            <w:gridSpan w:val="12"/>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Powell Industries, Inc. Deferred Compensation Plan (filed as Exhibit 10.9 to our Form 10-K for the fiscal year ended October 31,</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2002,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vMerge w:val="continue"/>
          </w:tcPr>
          <w:p>
            <w:pPr>
              <w:spacing w:after="0"/>
              <w:rPr>
                <w:sz w:val="24"/>
                <w:szCs w:val="24"/>
                <w:color w:val="auto"/>
              </w:rPr>
            </w:pPr>
          </w:p>
        </w:tc>
        <w:tc>
          <w:tcPr>
            <w:tcW w:w="9640" w:type="dxa"/>
            <w:vAlign w:val="bottom"/>
            <w:gridSpan w:val="12"/>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Banking facilities between HSBC Bank plc and Switchgear &amp; Instrumentation Limited and Switchgear &amp; Instrumentation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Properties Limited dated September 12, 2005 (filed as Exhibit 10.16 to our Form 10-K for the fiscal year ended October 31, 2005,</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and incorporated herein by reference).</w:t>
              </w:r>
            </w:hyperlink>
          </w:p>
        </w:tc>
        <w:tc>
          <w:tcPr>
            <w:tcW w:w="68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40" w:type="dxa"/>
            <w:vAlign w:val="bottom"/>
            <w:gridSpan w:val="1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Lease Agreement between the Company and C&amp;L Partnership, Ltd. dated April 19, 2006 (filed as Exhibit 10.2 to our Form 8-K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filed August 9, 2006, and incorporated herein by reference).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87" w:right="339" w:bottom="1440" w:gutter="0" w:footer="0" w:header="0"/>
        </w:sectPr>
      </w:pPr>
    </w:p>
    <w:p>
      <w:pPr>
        <w:ind w:left="640"/>
        <w:spacing w:after="0"/>
        <w:tabs>
          <w:tab w:leader="none" w:pos="11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26"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jc w:val="both"/>
        <w:ind w:right="160"/>
        <w:spacing w:after="0" w:line="237"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Employment Agreement dated as of May 8, 2012 between the Company and Milburn E. Honeycutt (filed as Exhibit 10.2 to our</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Form 10-Q for the quarter ended March 31, 2012, and incorporated herein by reference).</w:t>
        </w:r>
      </w:hyperlink>
    </w:p>
    <w:p>
      <w:pPr>
        <w:spacing w:after="0" w:line="158" w:lineRule="exact"/>
        <w:rPr>
          <w:sz w:val="20"/>
          <w:szCs w:val="20"/>
          <w:color w:val="auto"/>
        </w:rPr>
      </w:pPr>
    </w:p>
    <w:p>
      <w:pPr>
        <w:jc w:val="both"/>
        <w:ind w:right="160"/>
        <w:spacing w:after="0" w:line="22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Amended and Restated Credit Agreement dated as of April 26, 2012, between Powell PowerComm Inc., as Borrower, Powell</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Industries, Inc., Nextron Limited, PPC Technical Services Inc., as Guarantors, and HSBC Bank Canada, as Lender (filed as Exhibit</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10.4 to our Form 10-Q for the quarter ended March 31, 2012, and incorporated herein by reference).</w:t>
        </w:r>
      </w:hyperlink>
    </w:p>
    <w:p>
      <w:pPr>
        <w:spacing w:after="0" w:line="15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340" w:space="220"/>
            <w:col w:w="9680"/>
          </w:cols>
          <w:pgMar w:left="320" w:top="887" w:right="339" w:bottom="1440" w:gutter="0" w:footer="0" w:header="0"/>
          <w:type w:val="continuous"/>
        </w:sect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26" w:lineRule="exact"/>
        <w:rPr>
          <w:rFonts w:ascii="Times New Roman" w:cs="Times New Roman" w:eastAsia="Times New Roman" w:hAnsi="Times New Roman"/>
          <w:sz w:val="18"/>
          <w:szCs w:val="18"/>
          <w:u w:val="single" w:color="auto"/>
          <w:color w:val="0000FF"/>
        </w:rPr>
      </w:pPr>
    </w:p>
    <w:p>
      <w:pPr>
        <w:ind w:left="460"/>
        <w:spacing w:after="0"/>
        <w:tabs>
          <w:tab w:leader="none" w:pos="11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26" w:lineRule="exact"/>
        <w:rPr>
          <w:rFonts w:ascii="Times New Roman" w:cs="Times New Roman" w:eastAsia="Times New Roman" w:hAnsi="Times New Roman"/>
          <w:sz w:val="18"/>
          <w:szCs w:val="18"/>
          <w:u w:val="single" w:color="auto"/>
          <w:color w:val="0000FF"/>
        </w:rPr>
      </w:pPr>
    </w:p>
    <w:p>
      <w:pPr>
        <w:ind w:left="520"/>
        <w:spacing w:after="0"/>
        <w:tabs>
          <w:tab w:leader="none" w:pos="11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60"/>
        <w:spacing w:after="0" w:line="237"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Stock Purchase Agreement dated as of January 15, 2014, between the Company and Kapsch TrafficCom IVHS, Inc. (filed as</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Exhibit 10.1 to our Form 8-K filed January 17, 2014, and incorporated herein by reference).</w:t>
        </w:r>
      </w:hyperlink>
    </w:p>
    <w:p>
      <w:pPr>
        <w:spacing w:after="0" w:line="158"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Amended and Restated Powell Supply Agreement dated as of December 30, 2013, between the Company and General Electric</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 (filed as Exhibit 10.2 to our Form 10-Q filed February 5, 2014 and incorporated herein by reference).</w:t>
        </w:r>
      </w:hyperlink>
    </w:p>
    <w:p>
      <w:pPr>
        <w:spacing w:after="0" w:line="158" w:lineRule="exact"/>
        <w:rPr>
          <w:sz w:val="20"/>
          <w:szCs w:val="20"/>
          <w:color w:val="auto"/>
        </w:rPr>
      </w:pPr>
    </w:p>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u w:val="single" w:color="auto"/>
            <w:color w:val="0000FF"/>
          </w:rPr>
          <w:t>2014 Equity Incentive Plan (filed as Exhibit 10.2 to our Form 10-Q filed May 7, 2014 and incorporated herein by reference)</w:t>
        </w:r>
        <w:r>
          <w:rPr>
            <w:rFonts w:ascii="Times New Roman" w:cs="Times New Roman" w:eastAsia="Times New Roman" w:hAnsi="Times New Roman"/>
            <w:sz w:val="18"/>
            <w:szCs w:val="18"/>
            <w:color w:val="0000FF"/>
          </w:rPr>
          <w:t>.</w:t>
        </w:r>
      </w:hyperlink>
    </w:p>
    <w:p>
      <w:pPr>
        <w:spacing w:after="0" w:line="46" w:lineRule="exact"/>
        <w:rPr>
          <w:sz w:val="20"/>
          <w:szCs w:val="20"/>
          <w:color w:val="auto"/>
        </w:rPr>
      </w:pPr>
    </w:p>
    <w:p>
      <w:pPr>
        <w:sectPr>
          <w:pgSz w:w="11900" w:h="16838" w:orient="portrait"/>
          <w:cols w:equalWidth="0" w:num="2">
            <w:col w:w="1340" w:space="220"/>
            <w:col w:w="9680"/>
          </w:cols>
          <w:pgMar w:left="320" w:top="887" w:right="339" w:bottom="1440" w:gutter="0" w:footer="0" w:header="0"/>
          <w:type w:val="continuous"/>
        </w:sectPr>
      </w:pPr>
    </w:p>
    <w:p>
      <w:pPr>
        <w:ind w:left="500"/>
        <w:spacing w:after="0"/>
        <w:tabs>
          <w:tab w:leader="none" w:pos="1180" w:val="left"/>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hyperlink r:id="rId96">
        <w:r>
          <w:rPr>
            <w:rFonts w:ascii="Times New Roman" w:cs="Times New Roman" w:eastAsia="Times New Roman" w:hAnsi="Times New Roman"/>
            <w:sz w:val="18"/>
            <w:szCs w:val="18"/>
            <w:u w:val="single" w:color="auto"/>
            <w:color w:val="0000FF"/>
          </w:rPr>
          <w:t>Form of Restricted Stock Award Agreement under 2014 Equity Incentive Plan (filed as Exhibit 10.3 to our Form 10-Q filed May 7,</w:t>
        </w:r>
      </w:hyperlink>
    </w:p>
    <w:p>
      <w:pPr>
        <w:ind w:left="15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2014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4445</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98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5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tcBorders>
              <w:top w:val="single" w:sz="8" w:color="auto"/>
            </w:tcBorders>
            <w:gridSpan w:val="27"/>
          </w:tcPr>
          <w:p>
            <w:pPr>
              <w:spacing w:after="0" w:line="188"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Restricted Stock Unit Award Agreement under 2014 Equity Incentive Plan (filed as Exhibit 10.4 to our Form 10-Q filed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May 7, 2014 and incorporated herein by reference).</w:t>
              </w:r>
            </w:hyperlink>
          </w:p>
        </w:tc>
        <w:tc>
          <w:tcPr>
            <w:tcW w:w="60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Performance Unit Award Agreement under 2014 Equity Incentive Plan (filed as Exhibit 10.5 to our Form 10-Q filed May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7, 2014 and incorporated herein by reference).</w:t>
              </w:r>
            </w:hyperlink>
          </w:p>
        </w:tc>
        <w:tc>
          <w:tcPr>
            <w:tcW w:w="642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Stock Option Award Agreement under 2014 Equity Incentive Plan (filed as Exhibit 10.6 to our Form 10-Q filed May 7,</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2014 and incorporated herein by reference).</w:t>
              </w:r>
            </w:hyperlink>
          </w:p>
        </w:tc>
        <w:tc>
          <w:tcPr>
            <w:tcW w:w="658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Stock Appreciation Right Award Agreement under 2014 Equity Incentive Plan (filed as Exhibit 10.7 to our Form 10-Q</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filed May 7, 2014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vMerge w:val="continue"/>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2014 Non-Employee Director Equity Incentive Plan (filed as Exhibit 10.8 to our Form 10-Q filed May 7, 2014 and incorporated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herein by reference).</w:t>
              </w:r>
            </w:hyperlink>
          </w:p>
        </w:tc>
        <w:tc>
          <w:tcPr>
            <w:tcW w:w="81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Form 10-Q filed May 7, 2014 and incorporated herein by reference).</w:t>
              </w:r>
            </w:hyperlink>
          </w:p>
        </w:tc>
        <w:tc>
          <w:tcPr>
            <w:tcW w:w="47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Renewed banking facilities between HSBC Bank plc and Powell (UK) Limited dated October 20, 2014 (filed as Exhibit 10.48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our Form 10-K filed December 3, 2014, and incorporated herein by reference).</w:t>
              </w:r>
            </w:hyperlink>
          </w:p>
        </w:tc>
        <w:tc>
          <w:tcPr>
            <w:tcW w:w="392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Amending Agreement to Amended and Restated Credit Agreement, effective as of March 31, 2015, between Powell Canada Inc.,</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Powell Industries, Inc., Nextron Limited, PCG Northern Services Inc. and HSBC Bank Canada (filed as Exhibit 10.1 to our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10-Q filed May 6, 2015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vMerge w:val="continue"/>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Employment Agreement dated September 29, 2016, between the Company and Brett A. Cope (filed as Exhibit 10.1 to our 8-K filed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September 30, 2016 and incorporated herein by reference).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Employment Agreement effective November 5, 2018 by and between the Company and Michael W. Metcalf (filed as Exhibit 10.1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to our Form 8-K filed November 1, 2018 and incorporated herein by reference)</w:t>
              </w:r>
              <w:r>
                <w:rPr>
                  <w:rFonts w:ascii="Times New Roman" w:cs="Times New Roman" w:eastAsia="Times New Roman" w:hAnsi="Times New Roman"/>
                  <w:sz w:val="18"/>
                  <w:szCs w:val="18"/>
                  <w:color w:val="000000"/>
                </w:rPr>
                <w:t>.</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0" w:type="dxa"/>
            <w:vAlign w:val="bottom"/>
            <w:gridSpan w:val="9"/>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tcPr>
          <w:p>
            <w:pPr>
              <w:spacing w:after="0"/>
              <w:rPr>
                <w:sz w:val="24"/>
                <w:szCs w:val="24"/>
                <w:color w:val="auto"/>
              </w:rPr>
            </w:pPr>
          </w:p>
        </w:tc>
        <w:tc>
          <w:tcPr>
            <w:tcW w:w="9800" w:type="dxa"/>
            <w:vAlign w:val="bottom"/>
            <w:gridSpan w:val="2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Credit Agreement, dated September 27, 2019, by and between the Company, as Borrower, certain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subsidiaries of the Company identified therein, as Guarantors, Bank of America, N.A., as Administrative Agent, Swingline Lender</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80" w:type="dxa"/>
            <w:vAlign w:val="bottom"/>
            <w:gridSpan w:val="22"/>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and L/C Issuer, the Lenders party thereto and BofA Securities, Inc., as Sole Lead Arranger and Sole Bookrunner (filed as Exhibit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0000FF"/>
                </w:rPr>
                <w:t xml:space="preserve"> to our Form 10-K filed December 5, 2019 and incorporated herein by reference).</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6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Subsidiaries of Powell Industries, Inc.</w:t>
              </w:r>
            </w:hyperlink>
          </w:p>
        </w:tc>
        <w:tc>
          <w:tcPr>
            <w:tcW w:w="3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Consent of PricewaterhouseCoopers LLP.</w:t>
              </w:r>
            </w:hyperlink>
          </w:p>
        </w:tc>
        <w:tc>
          <w:tcPr>
            <w:tcW w:w="0" w:type="dxa"/>
            <w:vAlign w:val="bottom"/>
          </w:tcPr>
          <w:p>
            <w:pPr>
              <w:spacing w:after="0"/>
              <w:rPr>
                <w:sz w:val="1"/>
                <w:szCs w:val="1"/>
                <w:color w:val="auto"/>
              </w:rPr>
            </w:pPr>
          </w:p>
        </w:tc>
      </w:tr>
      <w:tr>
        <w:trPr>
          <w:trHeight w:val="39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Certification of Chief Executive Officer pursuant to Rule 13a-14(a)/15d-14(a)</w:t>
              </w:r>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39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Certification of Chief Financial Officer pursuant to Rule 13a-14(a)/15d-14(a).</w:t>
              </w:r>
            </w:hyperlink>
          </w:p>
        </w:tc>
        <w:tc>
          <w:tcPr>
            <w:tcW w:w="0" w:type="dxa"/>
            <w:vAlign w:val="bottom"/>
          </w:tcPr>
          <w:p>
            <w:pPr>
              <w:spacing w:after="0"/>
              <w:rPr>
                <w:sz w:val="1"/>
                <w:szCs w:val="1"/>
                <w:color w:val="auto"/>
              </w:rPr>
            </w:pPr>
          </w:p>
        </w:tc>
      </w:tr>
      <w:tr>
        <w:trPr>
          <w:trHeight w:val="35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gridSpan w:val="28"/>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Sarbanes-Oxley Act of 2002.</w:t>
              </w:r>
            </w:hyperlink>
          </w:p>
        </w:tc>
        <w:tc>
          <w:tcPr>
            <w:tcW w:w="7460" w:type="dxa"/>
            <w:vAlign w:val="bottom"/>
            <w:tcBorders>
              <w:top w:val="single" w:sz="8" w:color="0000FF"/>
            </w:tcBorders>
            <w:gridSpan w:val="14"/>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6"/>
          </w:tcPr>
          <w:p>
            <w:pPr>
              <w:ind w:left="388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sectPr>
      </w:pPr>
    </w:p>
    <w:bookmarkStart w:id="61" w:name="page62"/>
    <w:bookmarkEnd w:id="61"/>
    <w:p>
      <w:pPr>
        <w:ind w:left="2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46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4" w:lineRule="exact"/>
        <w:rPr>
          <w:sz w:val="20"/>
          <w:szCs w:val="20"/>
          <w:color w:val="auto"/>
        </w:rPr>
      </w:pPr>
    </w:p>
    <w:p>
      <w:pPr>
        <w:ind w:left="1200" w:hanging="1187"/>
        <w:spacing w:after="0" w:line="1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29"/>
          <w:szCs w:val="29"/>
          <w:color w:val="auto"/>
          <w:vertAlign w:val="superscript"/>
        </w:rPr>
        <w:t xml:space="preserve">— </w:t>
      </w:r>
      <w:hyperlink w:anchor="page69">
        <w:r>
          <w:rPr>
            <w:rFonts w:ascii="Times New Roman" w:cs="Times New Roman" w:eastAsia="Times New Roman" w:hAnsi="Times New Roman"/>
            <w:sz w:val="17"/>
            <w:szCs w:val="17"/>
            <w:u w:val="single" w:color="auto"/>
            <w:color w:val="0000FF"/>
          </w:rPr>
          <w:t>Certification of Chief Financial Officer Pursuant to Section 18 U.S.C. Section 1350, as Adopted Pursuant to Section 906 of the</w:t>
        </w:r>
      </w:hyperlink>
      <w:r>
        <w:rPr>
          <w:rFonts w:ascii="Times New Roman" w:cs="Times New Roman" w:eastAsia="Times New Roman" w:hAnsi="Times New Roman"/>
          <w:sz w:val="29"/>
          <w:szCs w:val="29"/>
          <w:color w:val="auto"/>
        </w:rPr>
        <w:t xml:space="preserve"> </w:t>
      </w:r>
      <w:hyperlink w:anchor="page69">
        <w:r>
          <w:rPr>
            <w:rFonts w:ascii="Times New Roman" w:cs="Times New Roman" w:eastAsia="Times New Roman" w:hAnsi="Times New Roman"/>
            <w:sz w:val="17"/>
            <w:szCs w:val="17"/>
            <w:u w:val="single" w:color="auto"/>
            <w:color w:val="0000FF"/>
          </w:rPr>
          <w:t>Sarbanes-Oxley Act of 2002.</w:t>
        </w:r>
      </w:hyperlink>
    </w:p>
    <w:p>
      <w:pPr>
        <w:spacing w:after="0" w:line="155" w:lineRule="exact"/>
        <w:rPr>
          <w:sz w:val="20"/>
          <w:szCs w:val="20"/>
          <w:color w:val="auto"/>
        </w:rPr>
      </w:pPr>
    </w:p>
    <w:p>
      <w:pPr>
        <w:ind w:left="36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Instance Document</w:t>
      </w:r>
    </w:p>
    <w:p>
      <w:pPr>
        <w:spacing w:after="0" w:line="58" w:lineRule="exact"/>
        <w:rPr>
          <w:sz w:val="20"/>
          <w:szCs w:val="20"/>
          <w:color w:val="auto"/>
        </w:rPr>
      </w:pPr>
    </w:p>
    <w:p>
      <w:pPr>
        <w:ind w:left="30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58" w:lineRule="exact"/>
        <w:rPr>
          <w:sz w:val="20"/>
          <w:szCs w:val="20"/>
          <w:color w:val="auto"/>
        </w:rPr>
      </w:pPr>
    </w:p>
    <w:p>
      <w:pPr>
        <w:ind w:left="28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58" w:lineRule="exact"/>
        <w:rPr>
          <w:sz w:val="20"/>
          <w:szCs w:val="20"/>
          <w:color w:val="auto"/>
        </w:rPr>
      </w:pPr>
    </w:p>
    <w:p>
      <w:pPr>
        <w:ind w:left="30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58" w:lineRule="exact"/>
        <w:rPr>
          <w:sz w:val="20"/>
          <w:szCs w:val="20"/>
          <w:color w:val="auto"/>
        </w:rPr>
      </w:pPr>
    </w:p>
    <w:p>
      <w:pPr>
        <w:ind w:left="28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58" w:lineRule="exact"/>
        <w:rPr>
          <w:sz w:val="20"/>
          <w:szCs w:val="20"/>
          <w:color w:val="auto"/>
        </w:rPr>
      </w:pPr>
    </w:p>
    <w:p>
      <w:pPr>
        <w:ind w:left="32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70" w:lineRule="exact"/>
        <w:rPr>
          <w:sz w:val="20"/>
          <w:szCs w:val="20"/>
          <w:color w:val="auto"/>
        </w:rPr>
      </w:pPr>
    </w:p>
    <w:p>
      <w:pPr>
        <w:ind w:left="720" w:right="120" w:hanging="694"/>
        <w:spacing w:after="0" w:line="237"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1" w:lineRule="exact"/>
        <w:rPr>
          <w:sz w:val="20"/>
          <w:szCs w:val="20"/>
          <w:color w:val="auto"/>
        </w:rPr>
      </w:pPr>
    </w:p>
    <w:p>
      <w:pPr>
        <w:ind w:left="720" w:hanging="694"/>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19" w:right="49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7" w:lineRule="exact"/>
        <w:rPr>
          <w:sz w:val="20"/>
          <w:szCs w:val="20"/>
          <w:color w:val="auto"/>
        </w:rPr>
      </w:pPr>
    </w:p>
    <w:p>
      <w:pPr>
        <w:ind w:left="7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Brett A. Cope</w:t>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ectPr>
          <w:pgSz w:w="11900" w:h="16838" w:orient="portrait"/>
          <w:cols w:equalWidth="0" w:num="1">
            <w:col w:w="11220"/>
          </w:cols>
          <w:pgMar w:left="320" w:top="887" w:right="35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 indicated:</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40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84"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00" w:lineRule="exact"/>
        <w:rPr>
          <w:sz w:val="20"/>
          <w:szCs w:val="20"/>
          <w:color w:val="auto"/>
        </w:rPr>
      </w:pPr>
    </w:p>
    <w:p>
      <w:pPr>
        <w:spacing w:after="0" w:line="30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Milburn Honeycutt</w:t>
      </w:r>
    </w:p>
    <w:p>
      <w:pPr>
        <w:spacing w:after="0" w:line="38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/s/Thomas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Thomas W. Powell</w:t>
      </w:r>
    </w:p>
    <w:p>
      <w:pPr>
        <w:spacing w:after="0" w:line="22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Katheryn B. Curtis</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Perry L. Elders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Perry L. Elders</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James W. McGill</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John D. White</w:t>
      </w:r>
    </w:p>
    <w:p>
      <w:pPr>
        <w:spacing w:after="0" w:line="198"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24765</wp:posOffset>
            </wp:positionV>
            <wp:extent cx="39090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4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Chairman of the Board</w:t>
      </w:r>
    </w:p>
    <w:p>
      <w:pPr>
        <w:jc w:val="center"/>
        <w:ind w:right="1720"/>
        <w:spacing w:after="0" w:line="215" w:lineRule="auto"/>
        <w:rPr>
          <w:sz w:val="20"/>
          <w:szCs w:val="20"/>
          <w:color w:val="auto"/>
        </w:rPr>
      </w:pPr>
      <w:r>
        <w:rPr>
          <w:rFonts w:ascii="Times New Roman" w:cs="Times New Roman" w:eastAsia="Times New Roman" w:hAnsi="Times New Roman"/>
          <w:sz w:val="17"/>
          <w:szCs w:val="17"/>
          <w:color w:val="auto"/>
        </w:rPr>
        <w:t>President and Chief Executive Officer</w:t>
      </w:r>
    </w:p>
    <w:p>
      <w:pPr>
        <w:jc w:val="center"/>
        <w:ind w:right="1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9"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Executive Vice President</w:t>
      </w:r>
    </w:p>
    <w:p>
      <w:pPr>
        <w:jc w:val="center"/>
        <w:ind w:right="17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jc w:val="center"/>
        <w:ind w:right="1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Vice President</w:t>
      </w:r>
    </w:p>
    <w:p>
      <w:pPr>
        <w:jc w:val="center"/>
        <w:ind w:right="1720"/>
        <w:spacing w:after="0" w:line="203"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right="1720"/>
        <w:spacing w:after="0" w:line="203" w:lineRule="auto"/>
        <w:rPr>
          <w:sz w:val="20"/>
          <w:szCs w:val="20"/>
          <w:color w:val="auto"/>
        </w:rPr>
      </w:pPr>
      <w:r>
        <w:rPr>
          <w:rFonts w:ascii="Times New Roman" w:cs="Times New Roman" w:eastAsia="Times New Roman" w:hAnsi="Times New Roman"/>
          <w:sz w:val="18"/>
          <w:szCs w:val="18"/>
          <w:color w:val="auto"/>
        </w:rPr>
        <w:t>Corporate Controller</w:t>
      </w:r>
    </w:p>
    <w:p>
      <w:pPr>
        <w:spacing w:after="0" w:line="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6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Chairman Emeritus of the Board</w:t>
      </w:r>
    </w:p>
    <w:p>
      <w:pPr>
        <w:jc w:val="center"/>
        <w:ind w:right="1720"/>
        <w:spacing w:after="0"/>
        <w:rPr>
          <w:sz w:val="20"/>
          <w:szCs w:val="20"/>
          <w:color w:val="auto"/>
        </w:rPr>
      </w:pPr>
      <w:r>
        <w:rPr>
          <w:rFonts w:ascii="Times New Roman" w:cs="Times New Roman" w:eastAsia="Times New Roman" w:hAnsi="Times New Roman"/>
          <w:sz w:val="18"/>
          <w:szCs w:val="18"/>
          <w:color w:val="auto"/>
        </w:rPr>
        <w:t>Director</w:t>
      </w:r>
    </w:p>
    <w:p>
      <w:pPr>
        <w:spacing w:after="0" w:line="3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171450</wp:posOffset>
            </wp:positionV>
            <wp:extent cx="7115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6040" w:space="720"/>
            <w:col w:w="4460"/>
          </w:cols>
          <w:pgMar w:left="320" w:top="887"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9, 2020</w:t>
      </w:r>
    </w:p>
    <w:p>
      <w:pPr>
        <w:sectPr>
          <w:pgSz w:w="11900" w:h="16838" w:orient="portrait"/>
          <w:cols w:equalWidth="0" w:num="1">
            <w:col w:w="11220"/>
          </w:cols>
          <w:pgMar w:left="320" w:top="8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887" w:right="35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220"/>
          </w:cols>
          <w:pgMar w:left="134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333-196171) of Powell Industries, Inc. of our report dated December 9, 2020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2020</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Michael W. Metcalf</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2020,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2020,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86" Type="http://schemas.openxmlformats.org/officeDocument/2006/relationships/hyperlink" Target="http://www.sec.gov/Archives/edgar/data/80420/000119312512421889/d424375dex31.htm" TargetMode="External"/><Relationship Id="rId87" Type="http://schemas.openxmlformats.org/officeDocument/2006/relationships/hyperlink" Target="http://www.sec.gov/Archives/edgar/data/80420/000095012903000042/h02247exv10w7.txt" TargetMode="External"/><Relationship Id="rId88" Type="http://schemas.openxmlformats.org/officeDocument/2006/relationships/hyperlink" Target="http://www.sec.gov/Archives/edgar/data/80420/000095012903000042/h02247exv10w9.txt" TargetMode="External"/><Relationship Id="rId89" Type="http://schemas.openxmlformats.org/officeDocument/2006/relationships/hyperlink" Target="http://www.sec.gov/Archives/edgar/data/80420/000095012906000313/h31947exv10w16.htm" TargetMode="External"/><Relationship Id="rId90" Type="http://schemas.openxmlformats.org/officeDocument/2006/relationships/hyperlink" Target="http://www.sec.gov/Archives/edgar/data/80420/000095013406015374/h38545exv10w2.htm" TargetMode="External"/><Relationship Id="rId91" Type="http://schemas.openxmlformats.org/officeDocument/2006/relationships/hyperlink" Target="http://www.sec.gov/Archives/edgar/data/80420/000119312512222108/d337560dex102.htm" TargetMode="External"/><Relationship Id="rId92" Type="http://schemas.openxmlformats.org/officeDocument/2006/relationships/hyperlink" Target="http://www.sec.gov/Archives/edgar/data/80420/000119312512222108/d337560dex104.htm" TargetMode="External"/><Relationship Id="rId93" Type="http://schemas.openxmlformats.org/officeDocument/2006/relationships/hyperlink" Target="http://www.sec.gov/Archives/edgar/data/80420/000119312514014351/d661947dex101.htm" TargetMode="External"/><Relationship Id="rId94" Type="http://schemas.openxmlformats.org/officeDocument/2006/relationships/hyperlink" Target="http://www.sec.gov/Archives/edgar/data/80420/000156459014000140/powl-ex10_20131231466.htm" TargetMode="External"/><Relationship Id="rId95" Type="http://schemas.openxmlformats.org/officeDocument/2006/relationships/hyperlink" Target="http://www.sec.gov/Archives/edgar/data/80420/000156459014001858/powl-ex10_20140331386.htm" TargetMode="External"/><Relationship Id="rId96" Type="http://schemas.openxmlformats.org/officeDocument/2006/relationships/hyperlink" Target="http://www.sec.gov/Archives/edgar/data/80420/000156459014001858/powl-ex10_20140331532.htm" TargetMode="External"/><Relationship Id="rId99" Type="http://schemas.openxmlformats.org/officeDocument/2006/relationships/hyperlink" Target="http://www.sec.gov/Archives/edgar/data/80420/000156459014001858/powl-ex10_20140331533.htm" TargetMode="External"/><Relationship Id="rId100" Type="http://schemas.openxmlformats.org/officeDocument/2006/relationships/hyperlink" Target="http://www.sec.gov/Archives/edgar/data/80420/000156459014001858/powl-ex10_20140331387.htm" TargetMode="External"/><Relationship Id="rId101" Type="http://schemas.openxmlformats.org/officeDocument/2006/relationships/hyperlink" Target="http://www.sec.gov/Archives/edgar/data/80420/000156459014001858/powl-ex10_20140331534.htm" TargetMode="External"/><Relationship Id="rId102" Type="http://schemas.openxmlformats.org/officeDocument/2006/relationships/hyperlink" Target="http://www.sec.gov/Archives/edgar/data/80420/000156459014001858/powl-ex10_20140331535.htm" TargetMode="External"/><Relationship Id="rId103" Type="http://schemas.openxmlformats.org/officeDocument/2006/relationships/hyperlink" Target="http://www.sec.gov/Archives/edgar/data/80420/000156459014001858/powl-ex10_20140331388.htm" TargetMode="External"/><Relationship Id="rId104" Type="http://schemas.openxmlformats.org/officeDocument/2006/relationships/hyperlink" Target="http://www.sec.gov/Archives/edgar/data/80420/000156459014001858/powl-ex10_20140331536.htm" TargetMode="External"/><Relationship Id="rId105" Type="http://schemas.openxmlformats.org/officeDocument/2006/relationships/hyperlink" Target="http://www.sec.gov/Archives/edgar/data/80420/000156459014006033/powl-ex1048_2014093076.htm" TargetMode="External"/><Relationship Id="rId106" Type="http://schemas.openxmlformats.org/officeDocument/2006/relationships/hyperlink" Target="http://www.sec.gov/Archives/edgar/data/80420/000156459015003392/powl-ex101_20150331597.htm" TargetMode="External"/><Relationship Id="rId107" Type="http://schemas.openxmlformats.org/officeDocument/2006/relationships/hyperlink" Target="http://www.sec.gov/Archives/edgar/data/80420/000119312516726999/d262942dex101.htm" TargetMode="External"/><Relationship Id="rId108" Type="http://schemas.openxmlformats.org/officeDocument/2006/relationships/hyperlink" Target="http://www.sec.gov/Archives/edgar/data/80420/000008042018000027/ex101-metcalfmichaelwxcfoe.htm" TargetMode="External"/><Relationship Id="rId109" Type="http://schemas.openxmlformats.org/officeDocument/2006/relationships/hyperlink" Target="http://www.sec.gov/Archives/edgar/data/80420/000008042019000039/exhibit102510k2019credit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2020-12-09T13:35:51Z</dcterms:created>
  <dcterms:modified xsi:type="dcterms:W3CDTF">2020-12-09T13:35:51Z</dcterms:modified>
</cp:coreProperties>
</file>