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140.xml.htm"/>
      <w:bookmarkStart w:id="1" w:name="kswkform4_17909731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 Ping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8550 MOSLEY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POWELL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POWL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Corp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(2)(4)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average of the high and low stock price on 09/30/2026.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that have a time-based vesting provision.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average closing stock price from September 1, 2026 - September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reported number of shares have been adjusted to reflect the impact of the issuer's 3-for-1 forward split of its Common Stock effected on April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W. Metcalf, Power of Attorney for Ping 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4984" TargetMode="External"/><Relationship Id="rId5" Type="http://schemas.openxmlformats.org/officeDocument/2006/relationships/hyperlink" Target="http://www.sec.gov/cgi-bin/browse-edgar?action=getcompany&amp;CIK=000008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3459</Characters>
  <CharactersWithSpaces>4020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