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277495</wp:posOffset>
            </wp:positionH>
            <wp:positionV relativeFrom="page">
              <wp:posOffset>620395</wp:posOffset>
            </wp:positionV>
            <wp:extent cx="70148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534670</wp:posOffset>
            </wp:positionV>
            <wp:extent cx="7014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484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107315</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161290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99"/>
        </w:trPr>
        <w:tc>
          <w:tcPr>
            <w:tcW w:w="370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102870</wp:posOffset>
            </wp:positionV>
            <wp:extent cx="2126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26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center"/>
              <w:ind w:left="101"/>
              <w:spacing w:after="0"/>
              <w:rPr>
                <w:sz w:val="20"/>
                <w:szCs w:val="20"/>
                <w:color w:val="auto"/>
              </w:rPr>
            </w:pPr>
            <w:r>
              <w:rPr>
                <w:rFonts w:ascii="Arial" w:cs="Arial" w:eastAsia="Arial" w:hAnsi="Arial"/>
                <w:sz w:val="18"/>
                <w:szCs w:val="18"/>
                <w:b w:val="1"/>
                <w:bCs w:val="1"/>
                <w:color w:val="auto"/>
                <w:w w:val="91"/>
              </w:rPr>
              <w:t>88-0106100</w:t>
            </w: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6320" w:type="dxa"/>
            <w:vAlign w:val="bottom"/>
            <w:gridSpan w:val="3"/>
          </w:tcPr>
          <w:p>
            <w:pPr>
              <w:jc w:val="center"/>
              <w:ind w:right="3920"/>
              <w:spacing w:after="0"/>
              <w:rPr>
                <w:sz w:val="20"/>
                <w:szCs w:val="20"/>
                <w:color w:val="auto"/>
              </w:rPr>
            </w:pPr>
            <w:r>
              <w:rPr>
                <w:rFonts w:ascii="Arial" w:cs="Arial" w:eastAsia="Arial" w:hAnsi="Arial"/>
                <w:sz w:val="18"/>
                <w:szCs w:val="18"/>
                <w:b w:val="1"/>
                <w:bCs w:val="1"/>
                <w:color w:val="auto"/>
                <w:w w:val="89"/>
              </w:rPr>
              <w:t>8550 Mosley Road</w:t>
            </w:r>
          </w:p>
        </w:tc>
        <w:tc>
          <w:tcPr>
            <w:tcW w:w="1300" w:type="dxa"/>
            <w:vAlign w:val="bottom"/>
          </w:tcPr>
          <w:p>
            <w:pPr>
              <w:spacing w:after="0"/>
              <w:rPr>
                <w:sz w:val="20"/>
                <w:szCs w:val="20"/>
                <w:color w:val="auto"/>
              </w:rPr>
            </w:pP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88"/>
              </w:rPr>
              <w:t>Houston, Texas</w:t>
            </w:r>
          </w:p>
        </w:tc>
        <w:tc>
          <w:tcPr>
            <w:tcW w:w="1300" w:type="dxa"/>
            <w:vAlign w:val="bottom"/>
          </w:tcPr>
          <w:p>
            <w:pPr>
              <w:jc w:val="center"/>
              <w:ind w:left="121"/>
              <w:spacing w:after="0"/>
              <w:rPr>
                <w:sz w:val="20"/>
                <w:szCs w:val="20"/>
                <w:color w:val="auto"/>
              </w:rPr>
            </w:pPr>
            <w:r>
              <w:rPr>
                <w:rFonts w:ascii="Arial" w:cs="Arial" w:eastAsia="Arial" w:hAnsi="Arial"/>
                <w:sz w:val="18"/>
                <w:szCs w:val="18"/>
                <w:b w:val="1"/>
                <w:bCs w:val="1"/>
                <w:color w:val="auto"/>
                <w:w w:val="89"/>
              </w:rPr>
              <w:t>77075-1180</w:t>
            </w:r>
          </w:p>
        </w:tc>
      </w:tr>
      <w:tr>
        <w:trPr>
          <w:trHeight w:val="218"/>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277"/>
        </w:trPr>
        <w:tc>
          <w:tcPr>
            <w:tcW w:w="6320" w:type="dxa"/>
            <w:vAlign w:val="bottom"/>
            <w:gridSpan w:val="3"/>
          </w:tcPr>
          <w:p>
            <w:pPr>
              <w:jc w:val="center"/>
              <w:ind w:left="1917"/>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00" w:type="dxa"/>
            <w:vAlign w:val="bottom"/>
          </w:tcPr>
          <w:p>
            <w:pPr>
              <w:spacing w:after="0"/>
              <w:rPr>
                <w:sz w:val="24"/>
                <w:szCs w:val="24"/>
                <w:color w:val="auto"/>
              </w:rPr>
            </w:pPr>
          </w:p>
        </w:tc>
      </w:tr>
      <w:tr>
        <w:trPr>
          <w:trHeight w:val="234"/>
        </w:trPr>
        <w:tc>
          <w:tcPr>
            <w:tcW w:w="584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(713) 944-6900</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35"/>
        </w:trPr>
        <w:tc>
          <w:tcPr>
            <w:tcW w:w="2480" w:type="dxa"/>
            <w:vAlign w:val="bottom"/>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391"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04"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20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20" w:type="dxa"/>
            <w:vAlign w:val="bottom"/>
          </w:tcPr>
          <w:p>
            <w:pPr>
              <w:spacing w:after="0"/>
              <w:rPr>
                <w:sz w:val="18"/>
                <w:szCs w:val="18"/>
                <w:color w:val="auto"/>
              </w:rPr>
            </w:pPr>
          </w:p>
        </w:tc>
        <w:tc>
          <w:tcPr>
            <w:tcW w:w="2460" w:type="dxa"/>
            <w:vAlign w:val="bottom"/>
            <w:vMerge w:val="restart"/>
          </w:tcPr>
          <w:p>
            <w:pPr>
              <w:ind w:left="2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83"/>
        </w:trPr>
        <w:tc>
          <w:tcPr>
            <w:tcW w:w="2040" w:type="dxa"/>
            <w:vAlign w:val="bottom"/>
            <w:vMerge w:val="continue"/>
          </w:tcPr>
          <w:p>
            <w:pPr>
              <w:spacing w:after="0"/>
              <w:rPr>
                <w:sz w:val="24"/>
                <w:szCs w:val="24"/>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rPr>
              <w:t>Accelerated filer x</w:t>
            </w:r>
          </w:p>
        </w:tc>
        <w:tc>
          <w:tcPr>
            <w:tcW w:w="2460" w:type="dxa"/>
            <w:vAlign w:val="bottom"/>
            <w:vMerge w:val="continue"/>
          </w:tcPr>
          <w:p>
            <w:pPr>
              <w:spacing w:after="0"/>
              <w:rPr>
                <w:sz w:val="24"/>
                <w:szCs w:val="24"/>
                <w:color w:val="auto"/>
              </w:rPr>
            </w:pPr>
          </w:p>
        </w:tc>
        <w:tc>
          <w:tcPr>
            <w:tcW w:w="2180" w:type="dxa"/>
            <w:vAlign w:val="bottom"/>
          </w:tcPr>
          <w:p>
            <w:pPr>
              <w:jc w:val="center"/>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1720" w:type="dxa"/>
            <w:vAlign w:val="bottom"/>
          </w:tcPr>
          <w:p>
            <w:pPr>
              <w:jc w:val="center"/>
              <w:ind w:left="370"/>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(Do not check if a smaller reporting company)</w:t>
      </w:r>
    </w:p>
    <w:p>
      <w:pPr>
        <w:spacing w:after="0" w:line="198" w:lineRule="exact"/>
        <w:rPr>
          <w:sz w:val="24"/>
          <w:szCs w:val="24"/>
          <w:color w:val="auto"/>
        </w:rPr>
      </w:pPr>
    </w:p>
    <w:p>
      <w:pPr>
        <w:ind w:firstLine="5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40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At May 4, 2018, there were 11,464,938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70148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86360</wp:posOffset>
            </wp:positionV>
            <wp:extent cx="7014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ectPr>
          <w:pgSz w:w="11900" w:h="16838" w:orient="portrait"/>
          <w:cols w:equalWidth="0" w:num="1">
            <w:col w:w="11420"/>
          </w:cols>
          <w:pgMar w:left="240" w:top="1044" w:right="239" w:bottom="705" w:gutter="0" w:footer="0" w:header="0"/>
        </w:sect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44" w:right="239" w:bottom="705"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3"/>
        </w:trPr>
        <w:tc>
          <w:tcPr>
            <w:tcW w:w="10700" w:type="dxa"/>
            <w:vAlign w:val="bottom"/>
            <w:gridSpan w:val="20"/>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80" w:type="dxa"/>
            <w:vAlign w:val="bottom"/>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8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680" w:type="dxa"/>
            <w:vAlign w:val="bottom"/>
            <w:gridSpan w:val="6"/>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3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(Loss)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06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5300" w:type="dxa"/>
            <w:vAlign w:val="bottom"/>
            <w:gridSpan w:val="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6480" w:type="dxa"/>
            <w:vAlign w:val="bottom"/>
            <w:tcBorders>
              <w:top w:val="single" w:sz="8" w:color="0000EE"/>
            </w:tcBorders>
            <w:gridSpan w:val="15"/>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3560" w:type="dxa"/>
            <w:vAlign w:val="bottom"/>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6"/>
          </w:tcPr>
          <w:p>
            <w:pPr>
              <w:spacing w:after="0"/>
              <w:rPr>
                <w:sz w:val="21"/>
                <w:szCs w:val="21"/>
                <w:color w:val="auto"/>
              </w:rPr>
            </w:pPr>
          </w:p>
        </w:tc>
        <w:tc>
          <w:tcPr>
            <w:tcW w:w="5660" w:type="dxa"/>
            <w:vAlign w:val="bottom"/>
            <w:gridSpan w:val="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426"/>
        </w:trPr>
        <w:tc>
          <w:tcPr>
            <w:tcW w:w="224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22">
              <w:r>
                <w:rPr>
                  <w:rFonts w:ascii="Arial" w:cs="Arial" w:eastAsia="Arial" w:hAnsi="Arial"/>
                  <w:sz w:val="18"/>
                  <w:szCs w:val="18"/>
                  <w:b w:val="1"/>
                  <w:bCs w:val="1"/>
                  <w:color w:val="0000EE"/>
                  <w:w w:val="96"/>
                </w:rPr>
                <w:t>Part II — Other Information</w:t>
              </w:r>
            </w:hyperlink>
          </w:p>
        </w:tc>
        <w:tc>
          <w:tcPr>
            <w:tcW w:w="84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50"/>
        </w:trPr>
        <w:tc>
          <w:tcPr>
            <w:tcW w:w="140" w:type="dxa"/>
            <w:vAlign w:val="bottom"/>
          </w:tcPr>
          <w:p>
            <w:pPr>
              <w:spacing w:after="0"/>
              <w:rPr>
                <w:sz w:val="21"/>
                <w:szCs w:val="21"/>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1.</w:t>
              </w:r>
            </w:hyperlink>
          </w:p>
        </w:tc>
        <w:tc>
          <w:tcPr>
            <w:tcW w:w="136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8680" w:type="dxa"/>
            <w:vAlign w:val="bottom"/>
            <w:gridSpan w:val="1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50"/>
        </w:trPr>
        <w:tc>
          <w:tcPr>
            <w:tcW w:w="140" w:type="dxa"/>
            <w:vAlign w:val="bottom"/>
          </w:tcPr>
          <w:p>
            <w:pPr>
              <w:spacing w:after="0"/>
              <w:rPr>
                <w:sz w:val="21"/>
                <w:szCs w:val="21"/>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1A. Risk Factors</w:t>
              </w:r>
            </w:hyperlink>
          </w:p>
        </w:tc>
        <w:tc>
          <w:tcPr>
            <w:tcW w:w="8980" w:type="dxa"/>
            <w:vAlign w:val="bottom"/>
            <w:gridSpan w:val="1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50"/>
        </w:trPr>
        <w:tc>
          <w:tcPr>
            <w:tcW w:w="140" w:type="dxa"/>
            <w:vAlign w:val="bottom"/>
          </w:tcPr>
          <w:p>
            <w:pPr>
              <w:spacing w:after="0"/>
              <w:rPr>
                <w:sz w:val="21"/>
                <w:szCs w:val="21"/>
                <w:color w:val="auto"/>
              </w:rPr>
            </w:pPr>
          </w:p>
        </w:tc>
        <w:tc>
          <w:tcPr>
            <w:tcW w:w="520" w:type="dxa"/>
            <w:vAlign w:val="bottom"/>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10040" w:type="dxa"/>
            <w:vAlign w:val="bottom"/>
            <w:gridSpan w:val="16"/>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50"/>
        </w:trPr>
        <w:tc>
          <w:tcPr>
            <w:tcW w:w="140" w:type="dxa"/>
            <w:vAlign w:val="bottom"/>
          </w:tcPr>
          <w:p>
            <w:pPr>
              <w:spacing w:after="0"/>
              <w:rPr>
                <w:sz w:val="21"/>
                <w:szCs w:val="21"/>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9420" w:type="dxa"/>
            <w:vAlign w:val="bottom"/>
            <w:gridSpan w:val="14"/>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723"/>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4"/>
          </w:tcPr>
          <w:p>
            <w:pPr>
              <w:jc w:val="right"/>
              <w:ind w:right="1420"/>
              <w:spacing w:after="0"/>
              <w:rPr>
                <w:sz w:val="20"/>
                <w:szCs w:val="20"/>
                <w:color w:val="auto"/>
              </w:rPr>
            </w:pPr>
            <w:r>
              <w:rPr>
                <w:rFonts w:ascii="Arial" w:cs="Arial" w:eastAsia="Arial" w:hAnsi="Arial"/>
                <w:sz w:val="18"/>
                <w:szCs w:val="18"/>
                <w:color w:val="auto"/>
              </w:rPr>
              <w:t>2</w:t>
            </w:r>
          </w:p>
        </w:tc>
        <w:tc>
          <w:tcPr>
            <w:tcW w:w="3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30, 2017</w:t>
            </w:r>
          </w:p>
        </w:tc>
        <w:tc>
          <w:tcPr>
            <w:tcW w:w="0" w:type="dxa"/>
            <w:vAlign w:val="bottom"/>
          </w:tcPr>
          <w:p>
            <w:pPr>
              <w:spacing w:after="0"/>
              <w:rPr>
                <w:sz w:val="1"/>
                <w:szCs w:val="1"/>
                <w:color w:val="auto"/>
              </w:rPr>
            </w:pPr>
          </w:p>
        </w:tc>
      </w:tr>
      <w:tr>
        <w:trPr>
          <w:trHeight w:val="236"/>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48,237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68,359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20,925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26,829</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15,104</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Accounts receivable, less allowance for doubtful accounts of $264 and $179</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68,074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53,852</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51,554</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22,012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18,448</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8,222</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3,539</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3,701</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235,911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250,071</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134,675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139,420</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1,602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13,800</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6,828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414,986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Current maturities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33,269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salaries, bonuses and commissions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12,079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14,984</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26,166</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product warranty</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2,241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Other accrued expenses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5,618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5,860</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credit ─ short term</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85,707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85,579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5,600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5,314</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93,745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93,690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E)</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$.01; 5,000,000 shares authorized; none issued</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280"/>
              <w:spacing w:after="0"/>
              <w:rPr>
                <w:sz w:val="20"/>
                <w:szCs w:val="20"/>
                <w:color w:val="auto"/>
              </w:rPr>
            </w:pPr>
            <w:r>
              <w:rPr>
                <w:rFonts w:ascii="Arial" w:cs="Arial" w:eastAsia="Arial" w:hAnsi="Arial"/>
                <w:sz w:val="16"/>
                <w:szCs w:val="16"/>
                <w:color w:val="auto"/>
                <w:w w:val="97"/>
              </w:rPr>
              <w:t>Common stock, par value $.01; 30,000,000 shares authorized; 12,268,956 and 12,234,656 and shares issued,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8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54,329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295,653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310,598</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806,018 shares at cost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(20,343)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(18,754)</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306,392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321,296</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400,137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414,986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732"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732"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29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104,680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191,689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215,021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89,084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88,858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168,713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184,200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30,821</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31,692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Restructuring and separation expenses</w:t>
            </w:r>
          </w:p>
        </w:tc>
        <w:tc>
          <w:tcPr>
            <w:tcW w:w="4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Loss per share: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Weighted average shares: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11,509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11,445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11,503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Dividends per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45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(1,275)</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(4,605)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Six months ended March 31,</w:t>
            </w:r>
          </w:p>
        </w:tc>
        <w:tc>
          <w:tcPr>
            <w:tcW w:w="136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380" w:type="dxa"/>
            <w:vAlign w:val="bottom"/>
          </w:tcPr>
          <w:p>
            <w:pPr>
              <w:jc w:val="right"/>
              <w:ind w:right="117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(8,992)</w:t>
            </w:r>
          </w:p>
        </w:tc>
        <w:tc>
          <w:tcPr>
            <w:tcW w:w="12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(1,128)</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Adjustments to reconcile net loss to net cash provided by (used in)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3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6,138</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1,820</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Bad debt expense (recovery)</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1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amended supply agreement</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34,084</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Costs and billings in excess of estimated earnings on uncompleted contracts</w:t>
            </w:r>
          </w:p>
        </w:tc>
        <w:tc>
          <w:tcPr>
            <w:tcW w:w="13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(2,074)</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6,088</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3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(6,929)</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(14,397)</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13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7"/>
        </w:trPr>
        <w:tc>
          <w:tcPr>
            <w:tcW w:w="6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short-term investments</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Maturities of short-term investments</w:t>
            </w:r>
          </w:p>
        </w:tc>
        <w:tc>
          <w:tcPr>
            <w:tcW w:w="13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26,019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restricted cash</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1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(1,702)</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1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(16,576)</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 on industrial development revenue bonds</w:t>
            </w:r>
          </w:p>
        </w:tc>
        <w:tc>
          <w:tcPr>
            <w:tcW w:w="1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withheld in lieu of employee tax withholding</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1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(5,934)</w:t>
            </w:r>
          </w:p>
        </w:tc>
      </w:tr>
      <w:tr>
        <w:trPr>
          <w:trHeight w:val="27"/>
        </w:trPr>
        <w:tc>
          <w:tcPr>
            <w:tcW w:w="6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(20,479)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(3,638)</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3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68,359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97,720</w:t>
            </w:r>
          </w:p>
        </w:tc>
      </w:tr>
      <w:tr>
        <w:trPr>
          <w:trHeight w:val="27"/>
        </w:trPr>
        <w:tc>
          <w:tcPr>
            <w:tcW w:w="6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380" w:type="dxa"/>
            <w:vAlign w:val="bottom"/>
            <w:tcBorders>
              <w:bottom w:val="single" w:sz="8" w:color="auto"/>
            </w:tcBorders>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48,237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93,468</w:t>
            </w:r>
          </w:p>
        </w:tc>
      </w:tr>
      <w:tr>
        <w:trPr>
          <w:trHeight w:val="20"/>
        </w:trPr>
        <w:tc>
          <w:tcPr>
            <w:tcW w:w="6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5320"/>
        <w:spacing w:after="0" w:line="375" w:lineRule="auto"/>
        <w:rPr>
          <w:sz w:val="20"/>
          <w:szCs w:val="20"/>
          <w:color w:val="auto"/>
        </w:rPr>
      </w:pPr>
      <w:r>
        <w:rPr>
          <w:rFonts w:ascii="Arial" w:cs="Arial" w:eastAsia="Arial" w:hAnsi="Arial"/>
          <w:sz w:val="18"/>
          <w:szCs w:val="18"/>
          <w:color w:val="auto"/>
        </w:rPr>
        <w:t xml:space="preserve">A. OVERVIEW AND SUMMARY OF SIGNIFICANT ACCOUNTING POLICIES </w:t>
      </w:r>
      <w:r>
        <w:rPr>
          <w:rFonts w:ascii="Arial" w:cs="Arial" w:eastAsia="Arial" w:hAnsi="Arial"/>
          <w:sz w:val="18"/>
          <w:szCs w:val="18"/>
          <w:i w:val="1"/>
          <w:i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develop, design, manufacture and service custom-engineered products and systems for the distribution, control and monitoring of electrical energy. Headquartered in Houston, Texas, we serve the oil and gas refining, onshore and offshore oil and gas production, petrochemical, pipeline, terminal, mining and metals, light rail traction power, electric utility, pulp and paper and other heavy industrial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2017, which was filed with the Securities and Exchange Commission (SEC) on December 6,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2018 and Fiscal 2017 used throughout this report shall mean our fiscal years ended September 30, 2018 and 2017,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and cost recognition for construction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Estimates routinely change as new events occur, additional information becomes available or operating environments change. Actual results may differ from our prior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 the assets recognized from costs incurred to obtain or fulfill a contract. This standard is effective for fiscal years, and interim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periods within those years, beginning after December 15, 2017, which would be our fiscal year ending September 30, 2019. We plan to use the modified retrospective basis upon adoption. As part of our implementation process, we are evaluating a sample of contracts to identity potential impacts of the standard on our current accounting policies and disclosures. We will update our accounting policies and procedures and determine the impact from this new standard on our contracts outstanding as of October 1, 2018. While we are still evaluating the potential impact of this standard on our financial statements, we believe accounting for variable consideration, cancellations for convenience clauses and the number of performance obligations contained in each contract could have the greatest significance. The materiality of this guidance on our financial statements will be determined in large part by the contracts that are in progress as of the adoption date.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2015, the FASB issued an amendment to the topic regarding income taxes which requires an entity to separate deferred income tax liabilities and assets into current and noncurrent amounts in the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require that deferred income tax liabilities and assets be classified as noncurrent in a classified statement of financial position. We have adopted this topic prospectively in Fiscal 2018 and our statement of financial position reflects this reclassification. We have not retrospectively adjusted prior periods.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 new topic on leases which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topic is effective for fiscal years beginning after December 15, 2018, including interim periods within those fiscal years. This would be our fiscal year ending September 30, 2020. We are still evaluating the potential impact of this topic on our financial statements.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November 2016, the FASB issued a new topic on the statement of cash flows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topic is effective for fiscal years beginning after December 15, 2017, and interim periods within those fiscal years, which would be our fiscal year ending September 30, 2019. We are still evaluating this new standard, but we do not expect it to have a material impact on our consolidated financial position or results of operations.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 new topic on modification accounting with regards to stock based compensation. This new topic clarifies when a change to the terms or conditions of a share-based payment award should be accounted for as a modification. An entity should account for the effects of a modification unless the fair value, vesting conditions and classification, as an equity instrument or a liability instrument, of the modified award are the same before and after a change to the terms or conditions of the share-based payment award. This topic is effective for annual reporting periods beginning after December 15, 2017, which is our fiscal year ending September 30, 2019. We do not expect this topic to have a material impact on our consolidated financial position or results of operations.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B. EARNINGS PER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 reconciles basic and diluted weighted average shares used in the computation of earnings per share (in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45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(3,330)</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11,509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11,445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11,503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11,441</w:t>
            </w: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10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diluted shares</w:t>
            </w:r>
          </w:p>
        </w:tc>
        <w:tc>
          <w:tcPr>
            <w:tcW w:w="10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11,509</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11,445</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11,503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11,441</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loss per share:</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30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51"/>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quarters and six months ended March 31, 2018 and 2017, we incurred net losses and therefore all potential common shares were deemed to be anti-dilutive.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 DETAIL OF SELECTED BALANCE SHEET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receivable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6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6"/>
              </w:rPr>
              <w:t>Three months ended March 31,</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tcBorders>
              <w:bottom w:val="single" w:sz="8" w:color="auto"/>
            </w:tcBorders>
            <w:gridSpan w:val="7"/>
          </w:tcPr>
          <w:p>
            <w:pPr>
              <w:jc w:val="right"/>
              <w:ind w:right="552"/>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04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1000" w:type="dxa"/>
            <w:vAlign w:val="bottom"/>
            <w:tcBorders>
              <w:bottom w:val="single" w:sz="8" w:color="CFF0FC"/>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340" w:type="dxa"/>
            <w:vAlign w:val="bottom"/>
            <w:tcBorders>
              <w:bottom w:val="single" w:sz="8" w:color="CFF0FC"/>
            </w:tcBorders>
            <w:gridSpan w:val="3"/>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9"/>
              </w:rPr>
              <w:t>179</w:t>
            </w:r>
          </w:p>
        </w:tc>
        <w:tc>
          <w:tcPr>
            <w:tcW w:w="4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811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Bad debt expense (recovery)</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10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(373)</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4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340" w:type="dxa"/>
            <w:vAlign w:val="bottom"/>
            <w:gridSpan w:val="3"/>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9"/>
              </w:rPr>
              <w:t>264</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310</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73"/>
        </w:trPr>
        <w:tc>
          <w:tcPr>
            <w:tcW w:w="5040" w:type="dxa"/>
            <w:vAlign w:val="bottom"/>
          </w:tcPr>
          <w:p>
            <w:pPr>
              <w:spacing w:after="0"/>
              <w:rPr>
                <w:sz w:val="20"/>
                <w:szCs w:val="20"/>
                <w:color w:val="auto"/>
              </w:rPr>
            </w:pPr>
            <w:r>
              <w:rPr>
                <w:rFonts w:ascii="Arial" w:cs="Arial" w:eastAsia="Arial" w:hAnsi="Arial"/>
                <w:sz w:val="18"/>
                <w:szCs w:val="18"/>
                <w:i w:val="1"/>
                <w:iCs w:val="1"/>
                <w:color w:val="auto"/>
              </w:rPr>
              <w:t>Inventories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w w:val="90"/>
              </w:rPr>
              <w:t>The components of inventories are summarized below (in thousands):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504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5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w w:val="96"/>
              </w:rPr>
              <w:t>March 31, 2018</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w w:val="94"/>
              </w:rPr>
              <w:t>September 30, 2017</w:t>
            </w: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 parts and subassemblies, net</w:t>
            </w:r>
          </w:p>
        </w:tc>
        <w:tc>
          <w:tcPr>
            <w:tcW w:w="10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21,059</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17,848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953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600</w:t>
            </w:r>
          </w:p>
        </w:tc>
      </w:tr>
      <w:tr>
        <w:trPr>
          <w:trHeight w:val="27"/>
        </w:trPr>
        <w:tc>
          <w:tcPr>
            <w:tcW w:w="504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50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inventories</w:t>
            </w:r>
          </w:p>
        </w:tc>
        <w:tc>
          <w:tcPr>
            <w:tcW w:w="10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22,012</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18,448</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and Estimated Earnings on Uncompleted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costs and estimated earnings and related amounts billed on uncompleted contracts are summarized below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CFF0FC"/>
            </w:tcBorders>
          </w:tcPr>
          <w:p>
            <w:pPr>
              <w:spacing w:after="0"/>
              <w:rPr>
                <w:sz w:val="16"/>
                <w:szCs w:val="16"/>
                <w:color w:val="auto"/>
              </w:rPr>
            </w:pPr>
          </w:p>
        </w:tc>
        <w:tc>
          <w:tcPr>
            <w:tcW w:w="104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000" w:type="dxa"/>
            <w:vAlign w:val="bottom"/>
            <w:tcBorders>
              <w:bottom w:val="single" w:sz="8" w:color="CFF0FC"/>
            </w:tcBorders>
          </w:tcPr>
          <w:p>
            <w:pPr>
              <w:spacing w:after="0"/>
              <w:rPr>
                <w:sz w:val="16"/>
                <w:szCs w:val="16"/>
                <w:color w:val="auto"/>
              </w:rPr>
            </w:pPr>
          </w:p>
        </w:tc>
        <w:tc>
          <w:tcPr>
            <w:tcW w:w="340" w:type="dxa"/>
            <w:vAlign w:val="bottom"/>
            <w:tcBorders>
              <w:bottom w:val="single" w:sz="8" w:color="CFF0FC"/>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0"/>
              </w:rPr>
              <w:t>September 30, 2017</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Costs incurred on uncompleted contracts</w:t>
            </w: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988,433</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3"/>
            <w:shd w:val="clear" w:color="auto" w:fill="CFF0FC"/>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987,164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313,031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316,970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1,301,464</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1,304,134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(1,286,178)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(1,278,746)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10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7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15,286</w:t>
            </w:r>
          </w:p>
        </w:tc>
        <w:tc>
          <w:tcPr>
            <w:tcW w:w="20" w:type="dxa"/>
            <w:vAlign w:val="bottom"/>
            <w:shd w:val="clear" w:color="auto" w:fill="CFF0FC"/>
          </w:tcPr>
          <w:p>
            <w:pPr>
              <w:spacing w:after="0"/>
              <w:rPr>
                <w:sz w:val="22"/>
                <w:szCs w:val="22"/>
                <w:color w:val="auto"/>
              </w:rPr>
            </w:pPr>
          </w:p>
        </w:tc>
        <w:tc>
          <w:tcPr>
            <w:tcW w:w="220" w:type="dxa"/>
            <w:vAlign w:val="bottom"/>
            <w:gridSpan w:val="3"/>
            <w:shd w:val="clear" w:color="auto" w:fill="CFF0FC"/>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gridSpan w:val="2"/>
            <w:vMerge w:val="restart"/>
          </w:tcPr>
          <w:p>
            <w:pPr>
              <w:ind w:left="40"/>
              <w:spacing w:after="0"/>
              <w:rPr>
                <w:sz w:val="20"/>
                <w:szCs w:val="20"/>
                <w:color w:val="auto"/>
              </w:rPr>
            </w:pPr>
            <w:r>
              <w:rPr>
                <w:rFonts w:ascii="Arial" w:cs="Arial" w:eastAsia="Arial" w:hAnsi="Arial"/>
                <w:sz w:val="18"/>
                <w:szCs w:val="18"/>
                <w:color w:val="auto"/>
                <w:w w:val="93"/>
              </w:rPr>
              <w:t>Included in the accompanying balance sheets under the following captions:</w:t>
            </w:r>
          </w:p>
        </w:tc>
        <w:tc>
          <w:tcPr>
            <w:tcW w:w="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w w:val="91"/>
              </w:rPr>
              <w:t>Costs and estimated earnings in excess of billings on uncompleted contracts</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44,008</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3"/>
            <w:shd w:val="clear" w:color="auto" w:fill="CFF0FC"/>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51,554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1"/>
              </w:rPr>
              <w:t>Billings in excess of costs and estimated earnings on uncompleted contracts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(28,722)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(26,166)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10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7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15,286</w:t>
            </w:r>
          </w:p>
        </w:tc>
        <w:tc>
          <w:tcPr>
            <w:tcW w:w="20" w:type="dxa"/>
            <w:vAlign w:val="bottom"/>
            <w:shd w:val="clear" w:color="auto" w:fill="CFF0FC"/>
          </w:tcPr>
          <w:p>
            <w:pPr>
              <w:spacing w:after="0"/>
              <w:rPr>
                <w:sz w:val="22"/>
                <w:szCs w:val="22"/>
                <w:color w:val="auto"/>
              </w:rPr>
            </w:pPr>
          </w:p>
        </w:tc>
        <w:tc>
          <w:tcPr>
            <w:tcW w:w="220" w:type="dxa"/>
            <w:vAlign w:val="bottom"/>
            <w:gridSpan w:val="3"/>
            <w:shd w:val="clear" w:color="auto" w:fill="CFF0FC"/>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Accrued Product Warranty</w:t>
            </w:r>
          </w:p>
        </w:tc>
        <w:tc>
          <w:tcPr>
            <w:tcW w:w="10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4"/>
          </w:tcPr>
          <w:p>
            <w:pPr>
              <w:spacing w:after="0"/>
              <w:rPr>
                <w:sz w:val="20"/>
                <w:szCs w:val="20"/>
                <w:color w:val="auto"/>
              </w:rPr>
            </w:pPr>
            <w:r>
              <w:rPr>
                <w:rFonts w:ascii="Arial" w:cs="Arial" w:eastAsia="Arial" w:hAnsi="Arial"/>
                <w:sz w:val="18"/>
                <w:szCs w:val="18"/>
                <w:color w:val="auto"/>
                <w:w w:val="98"/>
              </w:rPr>
              <w:t>Activity in our product warranty accrual consisted of the following (in thousands):</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8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ind w:right="32"/>
              <w:spacing w:after="0"/>
              <w:rPr>
                <w:sz w:val="20"/>
                <w:szCs w:val="20"/>
                <w:color w:val="auto"/>
              </w:rPr>
            </w:pPr>
            <w:r>
              <w:rPr>
                <w:rFonts w:ascii="Arial" w:cs="Arial" w:eastAsia="Arial" w:hAnsi="Arial"/>
                <w:sz w:val="14"/>
                <w:szCs w:val="14"/>
                <w:b w:val="1"/>
                <w:bCs w:val="1"/>
                <w:color w:val="auto"/>
                <w:w w:val="93"/>
              </w:rPr>
              <w:t>Six months ended March 31,</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1040" w:type="dxa"/>
            <w:vAlign w:val="bottom"/>
            <w:tcBorders>
              <w:bottom w:val="single" w:sz="8" w:color="CFF0FC"/>
            </w:tcBorders>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2,890</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4,230</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Increase (decrease) in warranty expense</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Deduction for warranty charges</w:t>
            </w: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(944)</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104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3,649</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 LONG-TERM DEBT</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4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8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80" w:type="dxa"/>
            <w:vAlign w:val="bottom"/>
            <w:tcBorders>
              <w:bottom w:val="single" w:sz="8" w:color="CFF0FC"/>
            </w:tcBorders>
          </w:tcPr>
          <w:p>
            <w:pPr>
              <w:spacing w:after="0"/>
              <w:rPr>
                <w:sz w:val="24"/>
                <w:szCs w:val="24"/>
                <w:color w:val="auto"/>
              </w:rPr>
            </w:pPr>
          </w:p>
        </w:tc>
        <w:tc>
          <w:tcPr>
            <w:tcW w:w="104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w w:val="98"/>
              </w:rPr>
              <w:t>March 31, 2018</w:t>
            </w:r>
          </w:p>
        </w:tc>
        <w:tc>
          <w:tcPr>
            <w:tcW w:w="1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Industrial development revenue bonds</w:t>
            </w: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long-term debt</w:t>
            </w:r>
          </w:p>
        </w:tc>
        <w:tc>
          <w:tcPr>
            <w:tcW w:w="10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Revolver</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$75.0 million revolving credit facility (U.S. Revolver) to provide working capital support and letters of credit which expires on June 27, 2022. The amount available under the U.S. Revolver at March 31, 2018 was reduced by $29.0 million for our outstanding letters of credit. Currently, our U.S. Revolver can only be used for letters of credit until we meet certain financial ratios. There were no loans outstanding under the U.S. Revolver as of March 31, 2018.</w:t>
      </w:r>
    </w:p>
    <w:p>
      <w:pPr>
        <w:spacing w:after="0" w:line="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Per the terms of the U.S. Revolver, we are required to maintain a cash balance in a pledged cash collateral account equal to 102% of the outstanding amount of any loans and letter of credit obligations until we meet certain financial ratios. As of March 31, 2018, the balance in the pledged account was $30.5 million. The cash collateral associated with the outstanding letters of credit that are due to expire beyond twelve months has been classified as non-current restricted cash on the balance sheet. As of March 31, 2018, there was $46.0 million available for the issuance of letters of credit under the U.S. Revolver.</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interest rate for amounts outstanding under the U.S. Revolver is a floating rate based upon the higher of the Federal Funds Rate plus 0.5%, the bank’s prime rate, or the Eurocurrency rate plus 1.00%. Once the applicable rate is determined, a margin ranging up to 1.25% is added to the applicable rate.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outstanding under the U.S. Revolver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6" w:right="2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may be accelerated and may become immediately due and payable. It also contains financial covenants defining various financial measures and the levels of these measures with which we must comply, as well as a “material adverse change” clause. A “material adverse change” is defined as a material change in our operations, business, properties, liabilities or condition (financial or otherwise) or a material impairment of our ability to perform our obligations under our credit agreements. As of March 31, 2018, we were in compliance with all of the financial covenants of the U.S. Revolver.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Revenue Bonds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March 31, 2018. While the Bonds mature in 2021, the reimbursement agreement requires annual redemptions of $0.4 million that commenced on October 25, 2002. A sinking fund is used for the redemption of the Bonds. The Bonds bear interest at a floating rate determined weekly by the Bonds’ remarketing agent, which was the underwriter for the Bonds and is an affiliate of the bank. This interest rate was 1.76% as of March 31, 2018.</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E.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Surety Bonds and Bank Guarantees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customers require us to post letters of credit or surety bonds which assure that we will perform under the terms of our contract. In the event of default, the counterparty may demand payment from the bank under a letter of credit or performance by the surety under a bond. To date, there have been no significant expenses related to either letters of credit or surety bonds for the periods reported. We were contingently liable for letters of credit of $29.0 million as of March 31, 2018. We also had surety bonds totaling $176.9 million that were outstanding, with additional bonding capacity of $573.1 million available, at March 31, 2018.</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we have a $7.0 million facility agreement (Facility Agreement) between Powell (UK) Limited and a large international bank. This Facility Agreement provides Powell (UK) Limited the ability to enter into bank guarantees as well as forward exchange contracts and currency options. At March 31, 2018, we had outstanding guarantees totaling $4.0 million under this Facility Agreement and amounts available under this Facility Agreement were $3.0 million. This facility expires May 31, 2018.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As of March 31, 2018, we were in compliance with all of the financial covenants of the Facility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Liquidated Damages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March 31, 2018, our exposure to possible liquidated damages was $2.5 million, of which approximately $1.6 million is probable. Based on our actual or projected failure to meet these various contractual commitments, $1.6 million has been recorded as a reduction to revenue. We will attempt to obtain change orders, contract extensions or accelerate project completion which may resolve the potential for any unaccrued liquidated damage. Should we fail to achieve relief on some or all of these contractual obligations, we could be required to pay additional liquidated damages, which could negatively impact our future operating results.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F. STOCK-BASED COMPENSATION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Refer to our Annual Report on Form 10-K for the fiscal year ended September 30, 2017 for a full description of our existing stock-based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issue restricted stock units (RSUs) to certain officers and key employees of the Company. The fair value of the RSUs is based on the price of our common stock as reported on the NASDAQ Global Market on the grant dates. The typical annual grant vests over a three-year period from the date of issuance. Sixty percent of those grants are time-based and vest over a three-year period on each anniversary of the grant date, based on continued employment. The remaining forty percent of the grant will be earned based on the three-year earnings performance of the Company following the grant date. At March 31, 2018, there were 206,584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RSU activity (number of shares) for the six months ended March 31, 2018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5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85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8"/>
              </w:rPr>
              <w:t>Fair Value</w:t>
            </w:r>
          </w:p>
        </w:tc>
      </w:tr>
      <w:tr>
        <w:trPr>
          <w:trHeight w:val="192"/>
        </w:trPr>
        <w:tc>
          <w:tcPr>
            <w:tcW w:w="85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Per Share</w:t>
            </w:r>
          </w:p>
        </w:tc>
      </w:tr>
      <w:tr>
        <w:trPr>
          <w:trHeight w:val="250"/>
        </w:trPr>
        <w:tc>
          <w:tcPr>
            <w:tcW w:w="850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2017</w:t>
            </w:r>
          </w:p>
        </w:tc>
        <w:tc>
          <w:tcPr>
            <w:tcW w:w="1360" w:type="dxa"/>
            <w:vAlign w:val="bottom"/>
            <w:tcBorders>
              <w:top w:val="single" w:sz="8" w:color="auto"/>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177,737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37.00</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86,500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29.88</w:t>
            </w:r>
          </w:p>
        </w:tc>
      </w:tr>
      <w:tr>
        <w:trPr>
          <w:trHeight w:val="27"/>
        </w:trPr>
        <w:tc>
          <w:tcPr>
            <w:tcW w:w="8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(34,853)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35.64</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Forfeited/canceled</w:t>
            </w:r>
          </w:p>
        </w:tc>
        <w:tc>
          <w:tcPr>
            <w:tcW w:w="1360" w:type="dxa"/>
            <w:vAlign w:val="bottom"/>
          </w:tcPr>
          <w:p>
            <w:pPr>
              <w:jc w:val="right"/>
              <w:spacing w:after="0"/>
              <w:rPr>
                <w:sz w:val="20"/>
                <w:szCs w:val="20"/>
                <w:color w:val="auto"/>
              </w:rPr>
            </w:pPr>
            <w:r>
              <w:rPr>
                <w:rFonts w:ascii="Arial" w:cs="Arial" w:eastAsia="Arial" w:hAnsi="Arial"/>
                <w:sz w:val="18"/>
                <w:szCs w:val="18"/>
                <w:color w:val="auto"/>
              </w:rPr>
              <w:t>(22,800)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41.88</w:t>
            </w:r>
          </w:p>
        </w:tc>
      </w:tr>
      <w:tr>
        <w:trPr>
          <w:trHeight w:val="27"/>
        </w:trPr>
        <w:tc>
          <w:tcPr>
            <w:tcW w:w="850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March 31, 2018</w:t>
            </w:r>
          </w:p>
        </w:tc>
        <w:tc>
          <w:tcPr>
            <w:tcW w:w="13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206,584</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33.71</w:t>
            </w:r>
          </w:p>
        </w:tc>
      </w:tr>
      <w:tr>
        <w:trPr>
          <w:trHeight w:val="20"/>
        </w:trPr>
        <w:tc>
          <w:tcPr>
            <w:tcW w:w="8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March 31, 2018 and 2017, we recorded compensation expense of $1.7 million and $1.3 million, respectively, related to the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non-employee director receives 2,000 restricted shares of the Company’s common stock annually. Fifty-percent of the restricted stock granted to each of our non-employee directors vests immediately, while the remaining fifty-percent will vest on the first anniversary of the grant date. Compensation expense is recognized immediately for the first fifty-percent of the restricted stock granted, while compensation expense for the remaining fifty-percent is recognized over the remaining vesting period based on the price per share on the grant date. In February 2018, 12,000 shares of restricted stock were issued to our non-employee directors under the 2014 Director Plan at a price of $27.88 per share.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March 31, 2018 and 2017, we recorded compensation expense of $0.4 million and $0.5 million, respectively, related to restricted stock.</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G. FAIR VALUE MEASUREMENTS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March 31, 2018 (in thousands):</w:t>
      </w:r>
    </w:p>
    <w:p>
      <w:pPr>
        <w:spacing w:after="0" w:line="200" w:lineRule="exact"/>
        <w:rPr>
          <w:sz w:val="20"/>
          <w:szCs w:val="20"/>
          <w:color w:val="auto"/>
        </w:rPr>
      </w:pPr>
    </w:p>
    <w:p>
      <w:pPr>
        <w:spacing w:after="0" w:line="219"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Fair Value Measurements at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Significant</w:t>
            </w:r>
          </w:p>
        </w:tc>
        <w:tc>
          <w:tcPr>
            <w:tcW w:w="134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48,237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48,237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20,925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20,925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30,478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30,478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5,309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2017 (in thousands):</w:t>
      </w:r>
    </w:p>
    <w:p>
      <w:pPr>
        <w:spacing w:after="0" w:line="176"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at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Significant</w:t>
            </w:r>
          </w:p>
        </w:tc>
        <w:tc>
          <w:tcPr>
            <w:tcW w:w="13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68,359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26,829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26,829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24,851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24,851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Condensed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Restricted cash represents a pledged cash collateral balance which is required under our U.S. Revolver and is held in an interest-bearing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See Note D for further discussion on restricted cash.</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 We hold investments in an irrevocable Rabbi Trust for our deferred compensation plan. These assets include both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company-owned life insurance policies. Under the plan, participants designate investment options to serve as the basis for measurement of the notional value of their accounts. The mutual funds and company-owned life insurance policies are combined in the plan and are therefore categorized as Level 2 in the fair value measurement hierarchy.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quarter ended March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 INCOME TAXES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4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(5,090)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(2,174)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(3,914)</w:t>
            </w:r>
          </w:p>
        </w:tc>
      </w:tr>
      <w:tr>
        <w:trPr>
          <w:trHeight w:val="270"/>
        </w:trPr>
        <w:tc>
          <w:tcPr>
            <w:tcW w:w="4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(1,345)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(2,786)</w:t>
            </w:r>
          </w:p>
        </w:tc>
      </w:tr>
      <w:tr>
        <w:trPr>
          <w:trHeight w:val="230"/>
        </w:trPr>
        <w:tc>
          <w:tcPr>
            <w:tcW w:w="44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(3,330)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(8,992)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second quarter of Fiscal 2018, the effective tax rate was impacted by the relative amounts of income/loss recognized in various jurisdictions as well as a deferred tax expense due to the remeasurement of our U.S. deferred tax assets, which are not expected to be realized prior to the end of Fiscal 2018 and a foreign tax loss which is reserved with a valuation allowance. On December 22, 2017, President Trump signed into law the Tax Cuts and Jobs Act (the Act). The Act lowers the corporate tax rate from 35% to 21% effective January 1, 2018. As a result, the U.S. federal statutory rate for Fiscal 2018 is a reduced blended U.S. tax rate of 24.5%. The final impact of the Act may differ from our estimates based on changes in interpretations or assumptions we make, as well as the issuance of additional guidance. The effective tax rate for the second quarter of Fiscal 2017 was favorably impacted by the lower tax rate in the United Kingdom, the relative amounts of income/loss recognized in various jurisdictions, as well as the utilization of net operating loss carryforwards in Canada that are fully reserved with a valuation allowance.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tax rate for the six months ended March 31, 2018 was favorably impacted due to the lower corporate tax rate for C corporations under the Act, but was partially offset by deferred tax expense of $0.8 million due to the re-measurement of our U.S. deferred tax assets, which are not expected to be realized prior to the end of Fiscal 2018. The effective tax rate for the six months ended March 31, 2017 was favorably impacted by a discrete item relating to the close of an IRS audit recorded during the first quarter of Fiscal 2017 due to the release of a $0.3 million FIN 48 reserve relating to the R&amp;D Tax Credit. Additionally, the effective tax rate for the six months ended March 31, 2017 was impacted by the lower tax rate in the United Kingdom, the relative amounts of income/loss recognized in various jurisdictions, as well as the utilization of net operating loss carryforwards in Canada that are fully reserved with a valuation allowance.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SUBSEQUENT EVENTS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7, 2018, our Board of Directors declared a quarterly cash dividend on our common stock in the amount of $0.26 per share. The dividend is payable on June 20, 2018 to shareholders of record at the close of business on May 23,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1" w:lineRule="exact"/>
        <w:rPr>
          <w:sz w:val="20"/>
          <w:szCs w:val="20"/>
          <w:color w:val="auto"/>
        </w:rPr>
      </w:pPr>
    </w:p>
    <w:p>
      <w:pPr>
        <w:jc w:val="both"/>
        <w:ind w:left="600" w:hanging="322"/>
        <w:spacing w:after="0" w:line="264"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largely dependent on customers in the oil and gas markets and we are adversely impacted by extended periods of low oil or gas prices, which decrease our customers' spending, the demand for our products and services and the prices we are able to charge. This has had, and may continue to have, an adverse effect on our future operating results.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backlog is subject to unexpected adjustments and cancellations and, therefore, may not be a reliable indicator of our future earnings.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percentage-of-completion accounting on our fixed-price contracts could result in volatility in our results of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adversely impact our ability to meet commitments to our customers.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requires skilled labor and we may be unable to attract and retain qualified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exposed to risks relating to the use of subcontractors on some of our projects.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and product diversification through strategic acquisitions involves a number of risks.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surety bonds, letters of credit, bank guarantees, or other financial assurances, may be necessary for us to successfully bid on and obtain certain contracts.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remain in compliance with covenants or obtain waivers or amendments under our credit agreement could adversely impact our business.</w:t>
      </w:r>
    </w:p>
    <w:p>
      <w:pPr>
        <w:spacing w:after="0" w:line="140" w:lineRule="exact"/>
        <w:rPr>
          <w:rFonts w:ascii="Arial" w:cs="Arial" w:eastAsia="Arial" w:hAnsi="Arial"/>
          <w:sz w:val="16"/>
          <w:szCs w:val="16"/>
          <w:color w:val="auto"/>
        </w:rPr>
      </w:pPr>
    </w:p>
    <w:p>
      <w:pPr>
        <w:ind w:left="600" w:right="2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items we have outlined above are important factors that could cause estimates included in our financial statements to differ materially from actual results and those expressed in a forward-looking statement made in this report or elsewhere by us or on our behalf. We have discussed these factors in more detail in our Annual Report on Form 10-K for the year ended September 30, 2017.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2017 which was filed with the Securities and Exchange Commission (SEC) on December 6, 2017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We develop, design, manufacture and service custom-engineered equipment and systems for the distribution, control and monitoring of electrical energy. Headquartered in Houston, Texas, we serve the oil and gas refining, onshore and offshore oil and gas production, petrochemical, pipeline, terminal, mining and metals, light rail traction power, electric utility, pulp and paper and other heavy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 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significant decline in oil and gas prices from peak 2014 levels, many of our customers have reduced their capital budgets and cut costs, and in certain instances have delayed or cancelled projects that we were pursuing. As a result, our revenues and project backlog have declined, and may continue to decline, which may further negatively impact our operations. In response to our reduced project backlog and the challenging market outlook in our core oil, gas and petrochemical markets, we took steps in Fiscal 2016 and 2017 to reduce our overall cost structure and better align our costs with future production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31, 2018 Compared to the Quarter Ended March 31, 2017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Revenues decreased by 3%, or $3.2 million, to $101.5 million in the second quarter of Fiscal 2018, compared to the second quarter of Fiscal 2017, primarily due to the decrease in our project backlog at the beginning of the respective quarter. This decrease in revenues is primarily from our international operations as we complete existing projects and continue to see lower demand from customers in their core oil and gas markets. Domestic revenues decreased by 5%, or $4.0 million, to $71.6 million in the second quarter of Fiscal 2018, compared to the second quarter of Fiscal 2017. The reduction in domestic revenues year over year was driven by the decline in our project backlog mentioned above. International revenues increased by 3%, or $0.8 million, to $30.0 million in the second quarter of Fiscal 2018, compared to the second quarter of Fiscal 2017. Our international revenue includes both revenue generated from our international facilities as well as export revenues from our domestic facilities. The increase in international revenues resulted from an increase in international export projects manufactured at our domestic facilities. Revenues from commercial and industrial customers increased slightly by 1%, or $0.7 million, to $70.6 million in the second quarter of Fiscal 2018, compared to the second quarter of Fiscal 2017. Revenues from public and private utilities increased by 43%, or $6.9 million, to $22.8 million in the second quarter of Fiscal 2018, compared to the second quarter of Fiscal 2017. Revenues from municipal and transit projects decreased by 57%, or $10.8 million, to $8.0 million in the second quarter of Fiscal 2018, compared to the second quarter of Fiscal 2017. The increase in public and private utilities and the decrease in municipal and transit revenues were primarily due to the timing of projects.</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for the second quarter of Fiscal 2018 decreased by 21%, or $3.4 million, to $12.4 million, compared to the second quarter of Fiscal 2017. Gross profit as a percentage of revenues decreased to 12% in the second quarter of Fiscal 2018, compared to 15% in the second quarter of Fiscal 2017. Gross profit and margins continued to be negatively impacted by our reduced volume resulting in under absorption of our manufacturing facility costs and a shift in project mix to smaller projects. This decline in volume and margins is primarily due to the decline in our project backlog at the beginning of the respective periods resulting from depressed market conditions and competitive pricing pressures primarily in our core oil, gas and petrochemical markets. Gross profit and margins were also negatively impacted by costs incurred on an oil and gas project for which change orders have not been finalized.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increased by less than $0.1 million, to $16.1 million during the second quarter of Fiscal 2018, compared to the second quarter of Fiscal 2017. Selling, general and administrative expenses, as a percentage of revenues, increased to 16% during the second quarter of Fiscal 2018, compared to 15% during the second quarter of Fiscal 2017, primarily due to the reduction in revenue.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Expenses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Fiscal 2018, we had no restructuring or separation expenses. However, in the second quarter of Fiscal 2017 we incurred $0.8 million in restructuring and separation expenses as we continued to reduce our overall cost structure to better align our costs with future production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an income tax benefit of $1.8 million in the second quarter of Fiscal 2018, compared to an income tax benefit of $1.3 million in the second quarter of Fiscal 2017. The effective tax rate for the second quarter of Fiscal 2018 was 35% compared to an effective tax rate of 62% in the second quarter of Fiscal 2017. On December 22, 2017, President Trump signed into law the Tax Cuts and Jobs Act (the Act). The Act lowers the corporate tax rate from 35% to 21% effective January 1, 2018. As a result, the effective tax rate for the second quarter of Fiscal 2018 is a reduced blended U.S. tax rate of 24.5%. The final impact of the Act may differ from our estimates based on changes in interpretations or assumptions we make, as well as the issuance of additional guidance. In the second quarter of Fiscal 2018, the effective tax rate was impacted by the relative amounts of income/loss recognized in various jurisdictions as well as a deferred tax expense due to the remeasurement of our U.S. deferred tax assets, which are not expected to be realized prior to the end of Fiscal 2018 and a foreign tax loss which is reserved with a valuation allowance.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for the second quarter of Fiscal 2017 was favorably impacted by the lower tax rate in the United Kingdom, the relative amounts of income/loss recognized in various jurisdictions, as well as the utilization of net operating loss carryforwards in Canada that are fully reserved with a valuation allowance.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Fiscal 2018, we recorded a loss of $3.3 million, or $0.29 per diluted share compared to a net loss of $0.8 million, or $0.07 per diluted share, in the second quarter of Fiscal 2017. The increase in our net loss compared to the prior year was primarily due to a decline from our international operations due to depressed market conditions and competitive pricing pressures, primarily in their core oil and gas markets and the reduction in our effective tax rate as a result of the 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order backlog at March 31, 2018 was $299.8 million, an increase from the $260.3 million at December 31, 2017, primarily due to an increase in commercial and industrial projects. New orders increased during the second quarter of Fiscal 2018 to $141.5 million, compared to $62.0 million in the second quarter of Fiscal 2017, primarily due to increased demand from our customers in our core oil, gas and petrochemical markets.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2018 Compared to the Six Months Ended March 31, 2017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Revenues decreased by 11%, or $23.3 million, to $191.7 million for the six months ended March 31, 2018, compared to the six months ended March 31, 2017, primarily due to the decrease in our project backlog at the beginning of the respective fiscal year as we complete existing projects and continue to see lower demand from our customers in our core oil, gas and petrochemical markets. Domestic revenues decreased by 18%, or $29.5 million, to $131.6 million for the six months ended March 31, 2018, compared to the six months ended March 31, 2017. The reduction in domestic revenues year over year was driven by the decline in our project backlog mentioned above. However, short-term, high demand remediation efforts following Hurricane Harvey resulted in approximately $7 million of revenue which partially offset the market challenges discussed above. International revenues increased by 12%, or $6.2 million, to $60.1 million for the six months ended March 31, 2018, compared to the six months ended March 31, 2017. Our international revenue includes both revenue generated from our international facilities as well as export revenues from our domestic facilities. The increase in international revenues resulted from an increase in international export projects manufactured at our domestic facilities. Revenues from commercial and industrial customers decreased by 8%, or $11.2 million, to $131.4 million for the six months ended March 31, 2018, compared to the six months ended March 31, 2017, primarily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54" w:right="2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due to lower demand in our core oil, gas and petrochemical markets. Revenues from public and private utilities increased by 48%, or $15.6 million, to $48.1 million for the six months ended March 31, 2018, compared to the six months ended March 31, 2017. Revenues from municipal and transit projects decreased by 70%, or $27.7 million, to $12.2 million for the six months ended March 31, 2018, compared to the six months ended March 31, 2017. The increase in public and private utilities and the decrease in municipal and transit revenues were primarily due to the timing of projects.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for the six months ended March 31, 2018 decreased by 25%, or $7.8 million, to $23.0 million, compared to the six months ended March 31, 2017. Gross profit as a percentage of revenues decreased to 12% for the six months ended March 31, 2018, compared to 14% for the six months ended March 31, 2017. Gross profit and margins continued to be negatively impacted by our reduced volume resulting in under absorption of our manufacturing facility costs and a shift in project mix to smaller projects. This decline in volume and margins is primarily due to the decline in our project backlogs at the beginning of the respective periods resulting from depressed market conditions and competitive pricing pressures primarily in our core oil, gas and petrochemical markets. Gross profit and margins were also negatively impacted by costs incurred on an oil and gas project for which change orders have not been finalized.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2%, or $0.6 million, to $32.3 million for the six months ended March 31, 2018, compared to the six months ended March 31, 2017, primarily due to the timing of variable performance based compensation. Selling, general and administrative expenses, as a percentage of revenues, increased to 17% during the six months ended March 31, 2018, compared to 15% during the six months ended March 31, 2017, primarily due to the reduction in revenue and slight increase in costs year over year.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six months ended March 31, 2018, we had no restructuring or separation expenses. However, in the six months ended March 31, 2017, we incurred $0.8 million in restructuring and separation expenses as we continued to reduce our overall cost structure to better align our costs with future production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recorded an income tax benefit of $2.8 million for both the six months ended March 31, 2018 and 2017. However, the effective tax rate for the six months ended March 31, 2018 was 24% compared to an effective tax rate of 71% for the six months ended March 31, 2017. The effective tax rate for the six months ended March 31, 2018 was favorably impacted due to the lower corporate tax rate under the Act, but was partially offset by deferred tax expense of $0.8 million due to the remeasurement of our U.S. deferred tax assets, which are not expected to be realized prior to the end of Fiscal 2018. The effective tax rate for the six months ended March 31, 2017 was favorably impacted by a discrete item relating to the close of an IRS audit recorded during the first quarter of Fiscal 2017 due to the release of a $0.3 million FIN 48 reserve relating to the R&amp;D Tax Credit. Additionally, the effective tax rate for the six months ended March 31, 2017 was impacted by the lower tax rate in the United Kingdom, the relative amounts of income/loss recognized in various jurisdictions, as well as the utilization of net operating loss carryforwards in Canada that are fully reserved with a valuation allowance.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March 31, 2018, we recorded a loss of $9.0 million, or $0.78 per diluted share compared to a net loss of $1.1 million, or $0.10 per diluted share, for the six months ended March 31, 2017. The increase in our net loss compared to the prior year was primarily due to a decline in our project backlog at the beginning of the respective periods due to depressed market conditions and competitive pricing pressures, primarily in our core oil, gas and petrochemical markets and the reduction in our income tax benefit as a result of the 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order backlog at March 31, 2018 was $299.8 million, an increase from the $250.1 million at September 30, 2017, primarily due to an increase in commercial and industrial projects. New orders increased during the six months ended March 31, 2018 to $241.4 million, compared to $152.8 million for the six months ended March 31, 2017, primarily due to increased demand from our customers in our core oil, gas and petrochemical markets.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As of March 31, 2018, current assets exceeded current liabilities by 2.8 times and our debt to total capitalization was 0.52%.</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cash equivalents and short-term investments decreased to $69.2 million at March 31, 2018, compared to $95.2 million at September 30, 2017. We had restricted cash held in a pledged collateral account related to our U.S. Revolver of $30.5 million at March 31, 2018 and $24.9 million at September 30, 2017. For further information regarding our U.S. Revolver, see Note D of Notes to Condensed Consolidated Financial Statements.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U.S. Revolver is a $75.0 million revolving credit facility in the U.S. As of March 31, 2018, there were no amounts borrowed under this facility. Total letters of credit outstanding under our U.S. Revolver, which reduce our availability, were $29.0 million at March 31, 2018 and $24.1 million at September 30, 2017. As of March 31, 2018, there was $46.0 million available for the issuance of letters of credit under the U.S. Revolver. Total long-term debt, including current maturities, totaled $1.6 million at March 31, 2018, compared to $2.0 million at September 30, 2017. For further information regarding our debt, see Notes D and E of Notes to Condensed Consolidated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$33 million of our cash and short-term investments at March 31, 2018 was held outside of the United States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under current tax laws we would incur additional tax expense upon such repatriation.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that cash and short-term investments available and borrowing capacity under our U.S. Revolver should be sufficient to finance future operating activities,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in operating activities decreased to $10.6 million during the six months ended March 31, 2018, compared to cash provided by operating activities of $19.7 million during the same period in Fiscal 2017. This decrease in operating cash flow for the six months ended March 31, 2018 was primarily due to the reduction in earnings year over year and increases in accounts receivable, partially offset by project billings. Cash flow from operations is primarily influenced by project volume, the timing of milestone payments from our customers and the payment terms with our suppliers.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Net cash used in investing activities during the six months ended March 31, 2018 totaled $3.1 million compared to $16.6 million during the same period in Fiscal 2017. For the six months ended March 31, 2018, our net short-term investment activity was $5.3 million and we spent approximately $2.8 million on purchases of plant improvements and equipment. For the six months ended March 31, 2017, we had purchases of short-term investments of $14.9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$6.8 million and $6.7 million during the six months ended March 31, 2018 and 2017, respectively. These amounts primarily consisted of cash dividends of approximately $5.9 million in each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of Notes to Condensed Consolidated Financial Statements included in this report for information on new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disclosed in our Annual Report on Form 10-K for the year ended September 30, 2017.</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March 31, 2018, our operating loss was positively impacted by $2.5 million, as a result of changes in contract estimates related to projects in progress at the beginning of the respective periods. These changes in estimates resulted primarily from, among other things, successful execution and close-out improvements, as well as other changes in facts and circumstances during these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Projects typically take a number of months to produce, and schedules may change during the course of any particular project.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revenues have historically been from the oil, gas and petrochemical markets. Although oil and gas commodity price levels have stabilized, our customers continue to delay their investments. The reduction in available projects across the markets we serve has increased price pressures during this market cycle. This reduction in new business opportunities and increased market price pressures have impacted, and may continue to negatively impact, our backlog, revenues and operating results.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results have been, and we anticipate could continue to be, negatively impacted by factors such as the timing of new order awards, customer approval of final engineering and design specifications and delays in customer construction schedules, all of which have and could continue to have, a negative impact on the timing of project execution. Our operating results also have been, and could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We continue to assess our cost structure, operating performance and service offerings as the oil, gas and petrochemical markets remain challenging and uncertain. Although our international operations continue to see challenging market conditions, our domestic operations have experienced a recent increase in bookings and we anticipate second half revenues and operating results to improve over the first half of Fiscal 2018.</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strong working capital position, cash available, low debt position and borrowing capacity under our existing credit facility should be sufficient to finance future operating activities, research and development initiatives,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exchange rates and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and their industries are typically engineering, procurement and construction firms, oil and gas refining, offshore oil and gas production, petrochemical, pipeline, terminal, mining and metals, light rail traction power, electric utility, pulp and paper and other heavy industrial customers. We maintain ongoing discussions with customers regarding contract status with respect to payment status, change orders and billing terms in an effort to monitor collections of amounts billed.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income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the six months ended March 31, 2018, our realized foreign exchange losses were $0.6 million and are included in selling, general and administrative expenses in the Condensed Consolidated Statements of Operations.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accumulated other comprehensive loss, which is included as a component of stockholders’ equity, was $20.3 million as of March 31, 2018, an increase of $1.6 million compared to September 30, 2017. This increase in comprehensive loss was primarily a result of fluctuations in the currency exchange rates for the Canadian Dollar and British Pound Sterling as we remeasured the foreign operations of those divisions.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decide to borrow under our credit facility,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material changes from the risk factors previously disclosed in the Company’s Annual Report on Form 10-K for the fiscal year ended September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420" w:right="40" w:hanging="818"/>
        <w:spacing w:after="0" w:line="293" w:lineRule="auto"/>
        <w:tabs>
          <w:tab w:leader="none" w:pos="1400" w:val="left"/>
        </w:tabs>
        <w:rPr>
          <w:sz w:val="20"/>
          <w:szCs w:val="20"/>
          <w:color w:val="auto"/>
        </w:rPr>
      </w:pPr>
      <w:r>
        <w:rPr>
          <w:rFonts w:ascii="Arial" w:cs="Arial" w:eastAsia="Arial" w:hAnsi="Arial"/>
          <w:sz w:val="18"/>
          <w:szCs w:val="18"/>
          <w:color w:val="auto"/>
        </w:rPr>
        <w:t>3.1</w:t>
        <w:tab/>
        <w:t>— Certificate of Incorporation of Powell Industries, Inc. filed with the Secretary of State of the State of Delaware on February 11, 2004 (filed as Exhibit 3.1 to our Form 8-A/A filed November 1, 2004, and incorporated herein by reference).</w:t>
      </w:r>
    </w:p>
    <w:p>
      <w:pPr>
        <w:spacing w:after="0" w:line="210" w:lineRule="exact"/>
        <w:rPr>
          <w:sz w:val="20"/>
          <w:szCs w:val="20"/>
          <w:color w:val="auto"/>
        </w:rPr>
      </w:pPr>
    </w:p>
    <w:p>
      <w:pPr>
        <w:ind w:left="1420" w:right="20" w:hanging="81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w:t>
        <w:tab/>
        <w:t xml:space="preserve">— </w:t>
      </w:r>
      <w:hyperlink r:id="rId19">
        <w:r>
          <w:rPr>
            <w:rFonts w:ascii="Arial" w:cs="Arial" w:eastAsia="Arial" w:hAnsi="Arial"/>
            <w:sz w:val="18"/>
            <w:szCs w:val="18"/>
            <w:u w:val="single" w:color="auto"/>
            <w:color w:val="0000FF"/>
          </w:rPr>
          <w:t>Amended and Restated Bylaws of Powell Industries, Inc. (filed as Exhibit 3.1 to our Form 8-K filed October 12, 2012, and</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FF"/>
          </w:rPr>
          <w:t>incorporated herein by reference).</w:t>
        </w:r>
      </w:hyperlink>
    </w:p>
    <w:p>
      <w:pPr>
        <w:spacing w:after="0" w:line="238" w:lineRule="exact"/>
        <w:rPr>
          <w:sz w:val="20"/>
          <w:szCs w:val="20"/>
          <w:color w:val="auto"/>
        </w:rPr>
      </w:pPr>
    </w:p>
    <w:p>
      <w:pPr>
        <w:ind w:left="760"/>
        <w:spacing w:after="0"/>
        <w:tabs>
          <w:tab w:leader="none" w:pos="140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*31.1</w:t>
        <w:tab/>
        <w:t>—</w:t>
      </w:r>
      <w:r>
        <w:rPr>
          <w:sz w:val="20"/>
          <w:szCs w:val="20"/>
          <w:color w:val="auto"/>
        </w:rPr>
        <w:tab/>
      </w:r>
      <w:hyperlink w:anchor="page25">
        <w:r>
          <w:rPr>
            <w:rFonts w:ascii="Arial" w:cs="Arial" w:eastAsia="Arial" w:hAnsi="Arial"/>
            <w:sz w:val="16"/>
            <w:szCs w:val="16"/>
            <w:u w:val="single" w:color="auto"/>
            <w:color w:val="0000FF"/>
          </w:rPr>
          <w:t>Certification of Chief Executive Officer pursuant to Rule 13a-14(a)/15d-14(a).</w:t>
        </w:r>
      </w:hyperlink>
    </w:p>
    <w:p>
      <w:pPr>
        <w:spacing w:after="0" w:line="279" w:lineRule="exact"/>
        <w:rPr>
          <w:sz w:val="20"/>
          <w:szCs w:val="20"/>
          <w:color w:val="auto"/>
        </w:rPr>
      </w:pPr>
    </w:p>
    <w:p>
      <w:pPr>
        <w:ind w:left="760"/>
        <w:spacing w:after="0"/>
        <w:tabs>
          <w:tab w:leader="none" w:pos="140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*31.2</w:t>
        <w:tab/>
        <w:t>—</w:t>
      </w:r>
      <w:r>
        <w:rPr>
          <w:sz w:val="20"/>
          <w:szCs w:val="20"/>
          <w:color w:val="auto"/>
        </w:rPr>
        <w:tab/>
      </w:r>
      <w:hyperlink w:anchor="page26">
        <w:r>
          <w:rPr>
            <w:rFonts w:ascii="Arial" w:cs="Arial" w:eastAsia="Arial" w:hAnsi="Arial"/>
            <w:sz w:val="16"/>
            <w:szCs w:val="16"/>
            <w:u w:val="single" w:color="auto"/>
            <w:color w:val="0000FF"/>
          </w:rPr>
          <w:t>Certification of Chief Financial Officer pursuant to Rule 13a-14(a)/15d-14(a).</w:t>
        </w:r>
      </w:hyperlink>
    </w:p>
    <w:p>
      <w:pPr>
        <w:spacing w:after="0" w:line="279" w:lineRule="exact"/>
        <w:rPr>
          <w:sz w:val="20"/>
          <w:szCs w:val="20"/>
          <w:color w:val="auto"/>
        </w:rPr>
      </w:pPr>
    </w:p>
    <w:p>
      <w:pPr>
        <w:ind w:left="1420" w:right="40" w:hanging="99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*32.1</w:t>
        <w:tab/>
        <w:t xml:space="preserve">— </w:t>
      </w:r>
      <w:hyperlink w:anchor="page27">
        <w:r>
          <w:rPr>
            <w:rFonts w:ascii="Arial" w:cs="Arial" w:eastAsia="Arial" w:hAnsi="Arial"/>
            <w:sz w:val="18"/>
            <w:szCs w:val="18"/>
            <w:u w:val="single" w:color="auto"/>
            <w:color w:val="0000FF"/>
          </w:rPr>
          <w:t>Certification of Chief Executive Officer Pursuant to Section 18 U.S.C. Section 1350, as Adopted Pursuant to Section 906 of the</w:t>
        </w:r>
      </w:hyperlink>
      <w:r>
        <w:rPr>
          <w:rFonts w:ascii="Arial" w:cs="Arial" w:eastAsia="Arial" w:hAnsi="Arial"/>
          <w:sz w:val="18"/>
          <w:szCs w:val="18"/>
          <w:color w:val="auto"/>
        </w:rPr>
        <w:t xml:space="preserve"> </w:t>
      </w:r>
      <w:hyperlink w:anchor="page27">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1420" w:right="20" w:hanging="99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*32.2</w:t>
        <w:tab/>
        <w:t xml:space="preserve">— </w:t>
      </w:r>
      <w:hyperlink w:anchor="page28">
        <w:r>
          <w:rPr>
            <w:rFonts w:ascii="Arial" w:cs="Arial" w:eastAsia="Arial" w:hAnsi="Arial"/>
            <w:sz w:val="18"/>
            <w:szCs w:val="18"/>
            <w:u w:val="single" w:color="auto"/>
            <w:color w:val="0000FF"/>
          </w:rPr>
          <w:t>Certification of Chief Financial Officer Pursuant to Section 18 U.S.C. Section 1350, as Adopted Pursuant to Section 906 of the</w:t>
        </w:r>
      </w:hyperlink>
      <w:r>
        <w:rPr>
          <w:rFonts w:ascii="Arial" w:cs="Arial" w:eastAsia="Arial" w:hAnsi="Arial"/>
          <w:sz w:val="18"/>
          <w:szCs w:val="18"/>
          <w:color w:val="auto"/>
        </w:rPr>
        <w:t xml:space="preserve"> </w:t>
      </w:r>
      <w:hyperlink w:anchor="page28">
        <w:r>
          <w:rPr>
            <w:rFonts w:ascii="Arial" w:cs="Arial" w:eastAsia="Arial" w:hAnsi="Arial"/>
            <w:sz w:val="18"/>
            <w:szCs w:val="18"/>
            <w:u w:val="single" w:color="auto"/>
            <w:color w:val="0000FF"/>
          </w:rPr>
          <w:t>Sarbanes-Oxley Act of 2002.</w:t>
        </w:r>
      </w:hyperlink>
    </w:p>
    <w:p>
      <w:pPr>
        <w:spacing w:after="0" w:line="224" w:lineRule="exact"/>
        <w:rPr>
          <w:sz w:val="20"/>
          <w:szCs w:val="20"/>
          <w:color w:val="auto"/>
        </w:rPr>
      </w:pPr>
    </w:p>
    <w:p>
      <w:pPr>
        <w:ind w:left="460"/>
        <w:spacing w:after="0"/>
        <w:tabs>
          <w:tab w:leader="none" w:pos="1400" w:val="left"/>
          <w:tab w:leader="none" w:pos="174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2"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8020" w:type="dxa"/>
            <w:vAlign w:val="bottom"/>
            <w:gridSpan w:val="2"/>
          </w:tcPr>
          <w:p>
            <w:pPr>
              <w:ind w:left="2020"/>
              <w:spacing w:after="0"/>
              <w:rPr>
                <w:sz w:val="20"/>
                <w:szCs w:val="20"/>
                <w:color w:val="auto"/>
              </w:rPr>
            </w:pPr>
            <w:r>
              <w:rPr>
                <w:rFonts w:ascii="Arial" w:cs="Arial" w:eastAsia="Arial" w:hAnsi="Arial"/>
                <w:sz w:val="18"/>
                <w:szCs w:val="18"/>
                <w:color w:val="auto"/>
              </w:rPr>
              <w:t>POWELL INDUSTRIES, INC.</w:t>
            </w:r>
          </w:p>
        </w:tc>
      </w:tr>
      <w:tr>
        <w:trPr>
          <w:trHeight w:val="270"/>
        </w:trPr>
        <w:tc>
          <w:tcPr>
            <w:tcW w:w="3360" w:type="dxa"/>
            <w:vAlign w:val="bottom"/>
          </w:tcPr>
          <w:p>
            <w:pPr>
              <w:spacing w:after="0"/>
              <w:rPr>
                <w:sz w:val="23"/>
                <w:szCs w:val="23"/>
                <w:color w:val="auto"/>
              </w:rPr>
            </w:pPr>
          </w:p>
        </w:tc>
        <w:tc>
          <w:tcPr>
            <w:tcW w:w="8020" w:type="dxa"/>
            <w:vAlign w:val="bottom"/>
            <w:gridSpan w:val="2"/>
          </w:tcPr>
          <w:p>
            <w:pPr>
              <w:ind w:left="2020"/>
              <w:spacing w:after="0"/>
              <w:rPr>
                <w:sz w:val="20"/>
                <w:szCs w:val="20"/>
                <w:color w:val="auto"/>
              </w:rPr>
            </w:pPr>
            <w:r>
              <w:rPr>
                <w:rFonts w:ascii="Arial" w:cs="Arial" w:eastAsia="Arial" w:hAnsi="Arial"/>
                <w:sz w:val="18"/>
                <w:szCs w:val="18"/>
                <w:color w:val="auto"/>
              </w:rPr>
              <w:t>(Registrant)</w:t>
            </w:r>
          </w:p>
        </w:tc>
      </w:tr>
      <w:tr>
        <w:trPr>
          <w:trHeight w:val="540"/>
        </w:trPr>
        <w:tc>
          <w:tcPr>
            <w:tcW w:w="3360" w:type="dxa"/>
            <w:vAlign w:val="bottom"/>
          </w:tcPr>
          <w:p>
            <w:pPr>
              <w:spacing w:after="0"/>
              <w:rPr>
                <w:sz w:val="20"/>
                <w:szCs w:val="20"/>
                <w:color w:val="auto"/>
              </w:rPr>
            </w:pPr>
            <w:r>
              <w:rPr>
                <w:rFonts w:ascii="Arial" w:cs="Arial" w:eastAsia="Arial" w:hAnsi="Arial"/>
                <w:sz w:val="18"/>
                <w:szCs w:val="18"/>
                <w:color w:val="auto"/>
              </w:rPr>
              <w:t>Date: May 9, 2018</w:t>
            </w:r>
          </w:p>
        </w:tc>
        <w:tc>
          <w:tcPr>
            <w:tcW w:w="278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Brett A. Cope</w:t>
            </w:r>
          </w:p>
        </w:tc>
      </w:tr>
      <w:tr>
        <w:trPr>
          <w:trHeight w:val="27"/>
        </w:trPr>
        <w:tc>
          <w:tcPr>
            <w:tcW w:w="33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Brett A. Cope</w:t>
            </w:r>
          </w:p>
        </w:tc>
      </w:tr>
      <w:tr>
        <w:trPr>
          <w:trHeight w:val="270"/>
        </w:trPr>
        <w:tc>
          <w:tcPr>
            <w:tcW w:w="33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3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360" w:type="dxa"/>
            <w:vAlign w:val="bottom"/>
          </w:tcPr>
          <w:p>
            <w:pPr>
              <w:spacing w:after="0"/>
              <w:rPr>
                <w:sz w:val="24"/>
                <w:szCs w:val="24"/>
                <w:color w:val="auto"/>
              </w:rPr>
            </w:pPr>
          </w:p>
        </w:tc>
        <w:tc>
          <w:tcPr>
            <w:tcW w:w="278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Don R. Madison</w:t>
            </w:r>
          </w:p>
        </w:tc>
      </w:tr>
      <w:tr>
        <w:trPr>
          <w:trHeight w:val="27"/>
        </w:trPr>
        <w:tc>
          <w:tcPr>
            <w:tcW w:w="33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Don R. Madison</w:t>
            </w:r>
          </w:p>
        </w:tc>
      </w:tr>
    </w:tbl>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and Administrative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9, 2018</w:t>
      </w:r>
    </w:p>
    <w:p>
      <w:pPr>
        <w:sectPr>
          <w:pgSz w:w="11900" w:h="16838" w:orient="portrait"/>
          <w:cols w:equalWidth="0" w:num="1">
            <w:col w:w="11420"/>
          </w:cols>
          <w:pgMar w:left="240" w:top="58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Don R. Madison, certify that:</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9, 2018</w:t>
      </w:r>
    </w:p>
    <w:p>
      <w:pPr>
        <w:sectPr>
          <w:pgSz w:w="11900" w:h="16838" w:orient="portrait"/>
          <w:cols w:equalWidth="0" w:num="1">
            <w:col w:w="11420"/>
          </w:cols>
          <w:pgMar w:left="240" w:top="58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March 31, 2018,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56"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9, 2018</w:t>
      </w:r>
    </w:p>
    <w:p>
      <w:pPr>
        <w:sectPr>
          <w:pgSz w:w="11900" w:h="16838" w:orient="portrait"/>
          <w:cols w:equalWidth="0" w:num="1">
            <w:col w:w="11420"/>
          </w:cols>
          <w:pgMar w:left="240" w:top="58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March 31, 2018, as filed with the Securities and Exchange Commission on the date hereof, I, Don R. Madison, Executive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May 9, 2018</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19" Type="http://schemas.openxmlformats.org/officeDocument/2006/relationships/hyperlink" Target="http://www.sec.gov/Archives/edgar/data/80420/000119312512421889/d42437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2019-12-28T22:46:41Z</dcterms:created>
  <dcterms:modified xsi:type="dcterms:W3CDTF">2019-12-28T22:46:41Z</dcterms:modified>
</cp:coreProperties>
</file>