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Accelerated</w:t>
            </w:r>
          </w:p>
        </w:tc>
        <w:tc>
          <w:tcPr>
            <w:tcW w:w="5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Non-accelerated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filer</w:t>
            </w:r>
          </w:p>
        </w:tc>
        <w:tc>
          <w:tcPr>
            <w:tcW w:w="600" w:type="dxa"/>
            <w:vAlign w:val="bottom"/>
            <w:vMerge w:val="continue"/>
          </w:tcPr>
          <w:p>
            <w:pPr>
              <w:spacing w:after="0"/>
              <w:rPr>
                <w:sz w:val="22"/>
                <w:szCs w:val="22"/>
                <w:color w:val="auto"/>
              </w:rPr>
            </w:pP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2"/>
                <w:szCs w:val="22"/>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May 5, 2025, there were 12,068,223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$284 and $414, respectively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102,827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810,630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776,481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18,313</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965,368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445,107</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Shares issued: 12,874,241 and 12,795,256, respectively</w:t>
            </w: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12,068,223 and 11,989,238, respectively</w:t>
            </w:r>
          </w:p>
        </w:tc>
        <w:tc>
          <w:tcPr>
            <w:tcW w:w="2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541,363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483,073</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449,125</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192,388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377,106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338,211</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110,914</w:t>
            </w:r>
          </w:p>
        </w:tc>
      </w:tr>
      <w:tr>
        <w:trPr>
          <w:trHeight w:val="257"/>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65,369</w:t>
            </w:r>
          </w:p>
        </w:tc>
      </w:tr>
      <w:tr>
        <w:trPr>
          <w:trHeight w:val="256"/>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73,795</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r>
      <w:tr>
        <w:trPr>
          <w:trHeight w:val="23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0.5325</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0.5275</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33,488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81,093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57,573</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(2,269)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(7,132)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31,219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73,961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462,194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493,673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496,332</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46,330</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46,330</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18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60,990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536,736</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541,363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2023</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325,281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24,085</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346,162</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366,320</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33,488</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21"/>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376,401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393,785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81,093</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57,573</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gain on derivative contracts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(recovery) expense,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100,891</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r>
      <w:tr>
        <w:trPr>
          <w:trHeight w:val="229"/>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245,875</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359,542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 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2024, which was filed with the Securities and Exchange Commission (SEC) on November 20,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2025 and Fiscal 2024 used throughout this report shall mean the current fiscal year ending September 30, 2025 and the prior fiscal year ended September 30,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is effective for fiscal years beginning after December 15, 2023 and interim periods within fiscal years beginning after December 15, 2024. A public entity should apply ASU 2023-07 retrospectively to all prior periods presented in the financial statements. Early adoption is permitted. We will implement the new disclosure requirements beginning with our Fiscal 2025 Form 10-K.</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46,330</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33,488</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11,992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12,191</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1860" w:type="dxa"/>
            <w:vAlign w:val="bottom"/>
            <w:gridSpan w:val="2"/>
            <w:shd w:val="clear" w:color="auto" w:fill="CFF0FC"/>
          </w:tcPr>
          <w:p>
            <w:pPr>
              <w:jc w:val="right"/>
              <w:ind w:right="16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60" w:type="dxa"/>
            <w:vAlign w:val="bottom"/>
            <w:tcBorders>
              <w:bottom w:val="single" w:sz="8" w:color="auto"/>
            </w:tcBorders>
            <w:gridSpan w:val="2"/>
          </w:tcPr>
          <w:p>
            <w:pPr>
              <w:jc w:val="right"/>
              <w:ind w:right="16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23,754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95,121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94,889</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255,656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(150,254)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(148,874)</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105,402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March 31, 2025 or September 30,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3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30"/>
        </w:trPr>
        <w:tc>
          <w:tcPr>
            <w:tcW w:w="4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95% of revenues for the three months ended March 31, 2025, 96% of revenues for the six months ended March 31, 2025, 95% of revenues for the three months ended March 31, 2024, and 94% of revenues for the six months ended March 31,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of revenues for the three months ended March 31, 2025, 4% of revenues for the six months ended March 31, 2025, 5% of revenues for the three months ended March 31, 2024, and 6% of revenues for the six months ended March 31, 2024.</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March 31, 2025, we had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backlog of $1.3 billion, of which approximately $831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March 31, 2025 and 2024, our operating results were positively impacted by $8.8 million and $7.8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six months ended March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Contract assets and liabilities as of March 31, 2025 and September 30, 2024 are summarized below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115,943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102,827</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w w:val="99"/>
              </w:rPr>
              <w:t>(283,372)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(287,763)</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(167,429)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(184,936)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March 31, 2025 and September 30, 2024,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six months ended March 31, 2025, we recognized revenue of $203.4 million that was related to contract liabilities outstanding at September 30, 2024.</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March 31, 2025 and September 30, 2024, we had retention amounts of $7.9 million and $7.1 million, respectively. Of the retained amount at March 31, 2025, $7.6 million is expected to be collected in the next twelve months and is recorded in accounts receivable. The remaining $0.3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six months ended March 31, 2025 and 2024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376,793</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44,510</w:t>
            </w: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w:t>
            </w: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and Africa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48"/>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449,125</w:t>
            </w: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24"/>
                <w:szCs w:val="24"/>
                <w:color w:val="auto"/>
              </w:rPr>
            </w:pPr>
          </w:p>
        </w:tc>
        <w:tc>
          <w:tcPr>
            <w:tcW w:w="25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187,456</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78,437</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utility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88,205</w:t>
            </w: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 rail traction power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r>
      <w:tr>
        <w:trPr>
          <w:trHeight w:val="230"/>
        </w:trPr>
        <w:tc>
          <w:tcPr>
            <w:tcW w:w="2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520,062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were no amounts borrowed under the U.S. Revolver, and letters of credit outstanding were $64.4 million. There was $85.6 million available for the issuance of letters of credit and borrowings under the U.S. Revolver as of March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were in compliance with all of the financial covenants of the U.S. Revolver.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$64.4 million as of March 31, 2025. We also had surety bonds totaling $420.3 million that were outstanding, with additional bonding capacity of $779.7 million available, at March 31, 2025.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$19.4 million facility agreement (Facility Agreement) between Powell (UK) Limited and a large international bank that provides Powell (UK) Limited the ability to enter into bank guarantees as well as forward exchange contracts and currency options. At March 31, 2025, we had outstanding guarantees totaling $4.0 million, with an additional capacity of $15.4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March 31, 2025,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March 31, 2025, certain contracts had a probable exposure to liquidated damages claims of $2.7 million, which could possibly increase to $3.6 million under certain circumstances. Based on our actual or projected failure to meet these various contractual commitments, $2.5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2024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and safety performance of the Company following the grant date. At March 31, 2025, there were 119,996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six months ended March 31, 2025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119,996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2025 and 2024, we recorded compensation expense of $2.2 million and $2.7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non-employee director receives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In February 2025, 3,500 shares of restricted stock were issued to our non-employee directors at a price of $200.02 per share. During the six months ended March 31, 2025 and 2024, we recorded compensation expense of $0.4 million and $0.2 million, respectively,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March 31, 2025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359,542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leases consist primarily of office and construction equipment. All of our future lease obligations are related to non-cancelable operating leases. The following table provides a summary of lease cost components for the three and six months ended March 31, 2025 and 2024, respectively (in thousands):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March 31, 2025 and September 30, 2024,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7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1,411</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7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7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72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March 31, 2025 (in thousands):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7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17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March 31, 2025 was 6.55%. The weighted average remaining lease term was 2.34 years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62,474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43,917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101,911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73,795</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16,144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10,429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20,818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16,222</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46,330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33,488</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81,093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57,573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26% and 20% for the three and six months ended March 31, 2025, respectively, compared to 24% and 22% for the three and six months ended March 31, 2024, respectively. The effective tax rates for the three and six months ended March 31, 2025 were favorably impacted by the estimated Research and Development (R&amp;D) Tax Credit, which was offset by the tax expense related to certain nondeductible items. In addition, discrete items related to the vesting of RSUs recorded in the first quarter of Fiscal 2025 favorably impacted the effective tax rate for the six months ended March 31, 2025. Similarly, the effective tax rates for the three and six months ended March 31, 2024 were favorably impacted by the estimated R&amp;D Tax Credit and discrete items related to the release of a reserve for unrecognized tax benefits upon expiration of the statute of limitations. These items were offset by an income inclusion related to U.S. global intangible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6, 2025, our Board of Directors declared a quarterly cash dividend on our common stock in the amount of $0.2675 per share. The dividend is payable on June 18, 2025 to shareholders of record at the close of business on May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revenues, income, acquisitions, liquidity and capital expenditures, the effect of tariffs,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the effect of tariffs, potentially disruptive or unanticipated changes in suppliers, the availability of cash on hand and other sources of liquidity to fund our operating expenses and capital expenditures, the impacts of future legislative and regulatory initiatives, electronic, cyber or physical security breaches, and other factors detailed herein and in our other SEC filings. Additional important risks, uncertainties and other factors are detailed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cyclicality has had, and may continue to have, an adverse effect on our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place competitive bids and adequately project costs may result in losses on our fixed-price contracts with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and limited supplier capacity may adversely impact our business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artificial intelligence (AI) initiatives, which could adversely affect our business, reputation, and results of operations.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applicable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 and may be subject to the risks of particular industries.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preferred stock on terms that could adversely affect the voting power or value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obtain, enforce, and protect intellectual property rights or third-party claims that we are infringing on their intellectual property could harm our business.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 change in control of our company, even if that change would be beneficial to our shareholders.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natural disasters, health epidemics, acts of war or terrorism, climate change, among others, could disrupt our business.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information security may require significant resources and present certain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Social, and Governance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Part I. Item 1A of our Annual Report on Form 10-K for the year ended September 30, 2024, which was filed with the SEC on November 20, 2024.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in this Quarterly Report on Form 10-Q and with our Annual Report on Form 10-K for the fiscal year ended September 30, 2024, which was filed with the SEC on November 20, 2024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2025, we reported revenues of $278.6 million, net income of $46.3 million, and generated $59.5 million in cash from operating activities. As of March 31, 2025, we had total assets of $965.4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remained at $1.3 billion as of March 31, 2025, of which approximately $831 million is expected to be recognized as revenue within the next twelve months. Although current commercial activity remains active in most of the markets that we compete in, we remain attentive to the macro environment and geopolitical events that may have an impact on future market activity.</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Oil and gas and petrochemical markets</w:t>
      </w:r>
      <w:r>
        <w:rPr>
          <w:rFonts w:ascii="Times New Roman" w:cs="Times New Roman" w:eastAsia="Times New Roman" w:hAnsi="Times New Roman"/>
          <w:sz w:val="18"/>
          <w:szCs w:val="18"/>
          <w:color w:val="auto"/>
        </w:rPr>
        <w:t>. The North American market is responding to increased international demand for Liquefied Natural Gas (LNG)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gas-to-chemical processes utilizing low-cost gas feedstocks. We believe the fundamentals of the U.S. natural gas market, through abundant supply and low cost, will continue to support investments in LNG, related gas processing, and petrochemical processes, and as a result, will continue to sustain our order activity associated with such markets, which is evidenced by two large, domestic LNG project awards during the first half of Fiscal 2025. In addition to the traditional crude oil refining and other oil and gas downstream processes, we have recently expanded our end markets into hydrogen production, carbon capture as well as alternative fuels, such as biofuels and sustainable aviation fuel, in response to the demand for clean energy.</w:t>
      </w:r>
    </w:p>
    <w:p>
      <w:pPr>
        <w:spacing w:after="0" w:line="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Electric utility market</w:t>
      </w:r>
      <w:r>
        <w:rPr>
          <w:rFonts w:ascii="Times New Roman" w:cs="Times New Roman" w:eastAsia="Times New Roman" w:hAnsi="Times New Roman"/>
          <w:sz w:val="18"/>
          <w:szCs w:val="18"/>
          <w:color w:val="auto"/>
        </w:rPr>
        <w:t>. Aligned with our strategy of end-market diversification, we seek to continue our focus and growth in electrical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 while also addressing a resurgence of power generation investment in this market.</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As a result of a mix of factors we are experiencing strong growth in commercial facilities that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various consumer goods and the expansion of data centers that support cloud computing and increasing investments in artificial intelligence. We are also experiencing increased activity in other industrial markets such as pulp and paper, and mining which includes the large mining project for the production of potash in the second quarter of Fiscal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key component parts and commodities. We continue to remain focused on the variables that impact our markets as well as cost management, labor availability and supply chain challenges.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second quarter of Fiscal 2025, we experienced an increase in volatility for commodity prices and ongoing supply chain delays for specific engineered components that remain a persistent challenge. Moreover, recently announced changes and proposed changes to U.S. global trade policy, along with potential international retaliatory measures, have caused high volatility in global markets and uncertainty around short- and long-term economic impacts in the United States and other markets we serve, including concerns over inflation, recession and slowing growth. We continue to evaluate and monitor the potential impacts of these changes and measures, including the imposition of tariffs, on our business and operations. We could potentially face the challenge of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March 31, 2025 Compared to the Quarter Ended March 31, 2024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increased by 9%, or $23.5 million, to $278.6 million in the second quarter of Fiscal 2025, primarily driven by strong project backlog at the end of Fiscal 2024 and strong bookings that continued through the first half of Fiscal 2025. Domestic revenues increased by 5%, or $10.9 million, to $227.8 million in the second quarter of Fiscal 2025. International revenues increased by 33%, or $12.6 million, to $50.8 million in the second quarter of Fiscal 2025, primarily driven by increased project volume from our Canada operations and increased activity in the Middle East and Africa region. Our international revenues include both revenues generated from our international facilities as well as revenues from export projects generated at our domestic facilities.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2025, revenue from our oil and gas market (excluding petrochemical) decreased by 3%, or $2.7 million, to $101.2 million; petrochemical market revenue decreased by 13%, or $6.4 million, to $43.7 million; revenue from our electric utility market increased by 48%, or $22.8 million, to $70.3 million; commercial and other industrial market revenue increased by 16%, or $5.5 million, to $40.4 million; and revenue from our light rail traction power market increased by 122%, or $5.5 million, to $10.0 million. These increases in revenue were primarily driven by our strategic effort to expand our business into electric utility and commercial and other industrial markets and the improved market conditions in these end markets. Revenue from all other markets combined decreased by 9%, or $1.3 million, to $13.0 million in the second quarter of Fiscal 2025 due to less project volume.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33%, or $20.7 million, to $83.4 million for the second quarter of Fiscal 2025. Gross profit as a percentage of revenues increased to 30% in the second quarter of Fiscal 2025, as compared to 25% in the second quarter of Fiscal 2024. The increase in gross profit was primarily driven by higher revenues, favorable volume leverage, strong project execution, as well as benefit from project closeouts in the second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by 4%, or $0.8 million, to $21.8 million in the second quarter of Fiscal 2025, primarily due to increased compensation expense. Selling, general and administrative expenses as a percentage of revenues remained at 8% for both periods.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$16.1 million in the second quarter of Fiscal 2025, compared to an income tax provision of $10.4 million in the second quarter of Fiscal 2024. The effective tax rate for the second quarter of Fiscal 2025 was 26%, compared to an effective tax rate of 24% for the second quarter of Fiscal 2024. For each of the three months ended March 31, 2025 and 2024, the effective tax rate was favorably impacted by the estimated Research and Development (R&amp;D) Tax Credit. Additionally, for the second quarter of Fiscal 2024, we recognized a benefit for discrete items related to the vesting of restricted stock units (RSUs) and the release of a reserve for unrecognized tax benefits. For further information regarding our income taxes, see Note J of the 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2025, we recorded net income of $46.3 million, or $3.81 per diluted share, compared to net income of $33.5 million, or $2.75 per diluted share, in the second quarter of Fiscal 2024. The increase in net income was primarily driven by higher revenue and improved gross profit margin in the second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March 31, 2025 was $1.3 billion, consistent with our backlog at December 31, 2024. Bookings, net of cancellations and scope reductions, increased by 6% in the second quarter of Fiscal 2025 to $249.0 million, compared to $235.4 million in the second quarter of Fiscal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2025 Compared to the Six Months Ended March 31, 2024 (Unaudited)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16%, or $70.9 million, to $520.1 million in the six months ended March 31, 2025, primarily driven by strong project backlog at the end of Fiscal 2024 and strong bookings that continued in the first half of Fiscal 2025. Domestic revenues increased by 13%, or $48.8 million, to $425.6 million in the six months ended March 31, 2025. International revenues increased by 31%, or $22.1 million, to $94.5 million in the six months ended March 31, 2025, primarily driven by increased project volume from our Canada operations.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six months ended March 31, 2025, revenue from our oil and gas market (excluding petrochemical) increased by 5%, or $9.4 million, to $196.8 million; petrochemical market revenue decreased by 2%, or $1.6 million, to $76.9 million; revenue from our electric utility market increased by 38%, or $33.4 million, to $121.6 million; commercial and other industrial market revenue increased by 42%, or $25.1 million, to $84.7 million; and revenue from our light rail traction power market increased by 106%, or $9.4 million, to $18.2 million. These increases in revenue were primarily driven by our strategic effort to expand our business into electric utility and commercial and other industrial markets and the improved market conditions in these end markets. Revenue from all other markets combined decreased by 18%, or $4.8 million, to $21.8 million in the six months ended March 31, 2025 due to less project volume.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29%, or $32.0 million, to $143.0 million for the six months ended March 31, 2025. Gross profit as a percentage of revenues increased to 27% in the first half of Fiscal 2025, compared to 25% in the first half of Fiscal 2024. The increase in gross profit was primarily driven by higher revenues in the first half of Fiscal 2025 and strong gross profit margin in the second quarter of Fiscal 2025 due to favorable volume leverage, strong project execution, as well as benefit from project closeouts in the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5%, or $1.9 million, to $43.2 million in the six months ended March 31, 2025, primarily due to increased compensation expense. Selling, general and administrative expenses as a percentage of revenues decreased to 8% during the first half of Fiscal 2025, compared to 9% during the first half of Fiscal 2024, resulting from higher revenues on our existing cost structure.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provision of $20.8 million in the six months ended March 31, 2025, compared to an income tax provision of $16.2 million in the six months ended March 31, 2024. The effective tax rate for the six months ended March 31, 2025 was 20%, compared to an effective tax rate of 22% for the six months ended March 31, 2024. For each of the six months ended March 31, 2025 and 2024, the effective tax rate was favorably impacted by discrete items related to the vesting of RSUs and the estimated R&amp;D Tax Credit. Additionally, we recognized a benefit due to the release of a reserve for unrecognized tax benefits in the six months ended March 31, 2024. The decreased effective tax rate for the first half of Fiscal 2025 was primarily driven by higher stock prices associated with the vested RSUs. For further information regarding our income taxes, see Note J of the Notes to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six months ended March 31, 2025, we recorded net income of $81.1 million, or $6.67 per diluted share, compared to net income of $57.6 million, or $4.73 per diluted share, in the six months ended March 31, 2024. The increase in net income was primarily driven by higher revenue and improved gross profit margin in the first half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March 31, 2025 was $1.3 billion, consistent with our backlog at September 30, 2024. Bookings, net of cancellations and scope reductions, increased by 20% during the six months ended March 31, 2025 to $517.6 million, compared to $433.0 million during the six months ended March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current assets exceeded current liabilities by 2.0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$389.3 million at March 31, 2025, compared to $358.4 million at September 30, 2024. The increase in cash, cash equivalents and short-term investments was primarily driven by our improved earnings due to higher gross profit, partially offset by capital spending, dividend payments, and cash payments related to shares withheld in lieu of employee tax withholding. We believe that our cash, cash equivalents and short-term investments, as well as available borrowings under our U.S. credit facility, will be sufficient to support our future operating activities, working capital requirements, payment of dividends and capital spending, as well as research and development initiatives for the next twelve months and beyond.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$75.4 million of our cash, cash equivalents and short-term investments at March 31, 2025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there were no amounts borrowed under the U.S. Revolver, and letters of credit outstanding were $64.4 million. There was $85.6 million available for the issuance of letters of credit and borrowings under the U.S. Revolver as of March 31, 2025. For further information regarding our debt, see Notes E and F of the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$59.5 million during the six months ended March 31, 2025, and provided net cash of $100.9 million during the same period in Fiscal 2024. Cash flow from operations is primarily influenced by project volume and margins, as well as working capital requirements, the timing of milestone payments from our customers, and payment terms with our suppliers. The decrease in operating cash flow was primarily due to working capital impact as we allocate capital to projects in the order book, partially offset by higher earnings.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provided $4.6 million of cash during the six months ended March 31, 2025 and used $11.2 million of cash during the same period in Fiscal 2024. Cash provided by investing activities in the first half of Fiscal 2025 was primarily due to net maturities of short-term investments, partially offset by capital spending on the facility expansion and improvement project at our electrical products facility in Houston. In December 2023, we acquired intellectual property for a total consideration of $0.5 million, of which $250 thousand was paid in cash.</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planned capital spending of approximately $11 million on a facility expansion and improvement project at our electrical products facility in Houston. We recently completed the expansion and improvement project and the incremental capacity will be in service in the third quarter of Fiscal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$18.4 million during the six months ended March 31, 2025 compared to $12.8 million used during the same period in Fiscal 2024. The increase in cash used in financing activities was primarily due to cash payments related to shares withheld in lieu of employee tax withholding, largely driven by the significant increase in our share price in the first half of Fiscal 2025 compared to the same period of Fiscal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2024, which was filed with the SEC on November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and six months ended March 31, 2025, as compared to the information previously reported under Part II, Item 7A within our Annual Report on Form 10-K for the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second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2025, none of our directors or officers adopted or terminated any "Rule 10b5-1 trading arrangements" or "non-Rule 10b5-1 trading arrangements,"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4">
        <w:r>
          <w:rPr>
            <w:rFonts w:ascii="Times New Roman" w:cs="Times New Roman" w:eastAsia="Times New Roman" w:hAnsi="Times New Roman"/>
            <w:sz w:val="17"/>
            <w:szCs w:val="17"/>
            <w:u w:val="single" w:color="auto"/>
            <w:color w:val="0000FF"/>
          </w:rPr>
          <w:t>Amended and Restated Certificate of Incorporation of Powell Industries, Inc. filed with the Secretary of State of the State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right="760"/>
        <w:spacing w:after="0" w:line="226" w:lineRule="auto"/>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Delaware on February 19, 2025 (filed as Exhibit 3.1 to our Form 8-K filed February 19, 2025, and incorporated herein by</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reference)</w:t>
        </w:r>
        <w:r>
          <w:rPr>
            <w:rFonts w:ascii="Times New Roman" w:cs="Times New Roman" w:eastAsia="Times New Roman" w:hAnsi="Times New Roman"/>
            <w:sz w:val="18"/>
            <w:szCs w:val="18"/>
            <w:color w:val="000000"/>
          </w:rPr>
          <w:t>.</w:t>
        </w:r>
      </w:hyperlink>
    </w:p>
    <w:p>
      <w:pPr>
        <w:spacing w:after="0" w:line="157"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6">
        <w:r>
          <w:rPr>
            <w:rFonts w:ascii="Times New Roman" w:cs="Times New Roman" w:eastAsia="Times New Roman" w:hAnsi="Times New Roman"/>
            <w:sz w:val="18"/>
            <w:szCs w:val="18"/>
            <w:u w:val="single" w:color="auto"/>
            <w:color w:val="0000FF"/>
          </w:rPr>
          <w:t>Second Amended and Restated Bylaws of Powell Industries, Inc. (filed as Exhibit 3.1 to our Form 8-K filed February 24, 2025, and</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The following financial statements from the Company’s Quarterly Report on Form 10-Q for the quarter ended March 31, 2025,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36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The cover page from the Company’s Quarterly Report on Form 10-Q for the quarter ended March 31, 2025, formatted in Inline XBRL (included as Exhibit 101).</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2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089"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03"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ectPr>
          <w:pgSz w:w="11900" w:h="16838" w:orient="portrait"/>
          <w:cols w:equalWidth="0" w:num="1">
            <w:col w:w="11240"/>
          </w:cols>
          <w:pgMar w:left="320" w:top="12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Metcalf,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4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ectPr>
          <w:pgSz w:w="11900" w:h="16838" w:orient="portrait"/>
          <w:cols w:equalWidth="0" w:num="1">
            <w:col w:w="11240"/>
          </w:cols>
          <w:pgMar w:left="320" w:top="12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March 31, 2025,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ectPr>
          <w:pgSz w:w="11900" w:h="16838" w:orient="portrait"/>
          <w:cols w:equalWidth="0" w:num="1">
            <w:col w:w="11240"/>
          </w:cols>
          <w:pgMar w:left="320" w:top="12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6"/>
          <w:szCs w:val="16"/>
          <w:color w:val="auto"/>
        </w:rPr>
        <w:t>March 31, 2025</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2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2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May 7,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7" Type="http://schemas.openxmlformats.org/officeDocument/2006/relationships/image" Target="media/image38.png"/><Relationship Id="rId44" Type="http://schemas.openxmlformats.org/officeDocument/2006/relationships/hyperlink" Target="https://www.sec.gov/Archives/edgar/data/80420/000008042025000034/ex31-amendedandrestatedcer.htm" TargetMode="External"/><Relationship Id="rId46" Type="http://schemas.openxmlformats.org/officeDocument/2006/relationships/hyperlink" Target="https://www.sec.gov/Archives/edgar/data/80420/000008042025000044/ex31-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2025-05-07T12:23:29Z</dcterms:created>
  <dcterms:modified xsi:type="dcterms:W3CDTF">2025-05-07T12:23:29Z</dcterms:modified>
</cp:coreProperties>
</file>