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1031875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1005840</wp:posOffset>
            </wp:positionV>
            <wp:extent cx="6900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2"/>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Accelerated</w:t>
            </w:r>
          </w:p>
        </w:tc>
        <w:tc>
          <w:tcPr>
            <w:tcW w:w="5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Non-accelerated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filer</w:t>
            </w:r>
          </w:p>
        </w:tc>
        <w:tc>
          <w:tcPr>
            <w:tcW w:w="600" w:type="dxa"/>
            <w:vAlign w:val="bottom"/>
            <w:vMerge w:val="continue"/>
          </w:tcPr>
          <w:p>
            <w:pPr>
              <w:spacing w:after="0"/>
              <w:rPr>
                <w:sz w:val="22"/>
                <w:szCs w:val="22"/>
                <w:color w:val="auto"/>
              </w:rPr>
            </w:pP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580" w:type="dxa"/>
            <w:vAlign w:val="bottom"/>
            <w:vMerge w:val="continue"/>
          </w:tcPr>
          <w:p>
            <w:pPr>
              <w:spacing w:after="0"/>
              <w:rPr>
                <w:sz w:val="22"/>
                <w:szCs w:val="22"/>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August 4, 2025, there were 12,068,548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ectPr>
          <w:pgSz w:w="11900" w:h="16838" w:orient="portrait"/>
          <w:cols w:equalWidth="0" w:num="1">
            <w:col w:w="11240"/>
          </w:cols>
          <w:pgMar w:left="320" w:top="1440" w:right="339" w:bottom="673"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73"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0"/>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10"/>
            <w:vMerge w:val="continue"/>
          </w:tcPr>
          <w:p>
            <w:pPr>
              <w:spacing w:after="0"/>
              <w:rPr>
                <w:sz w:val="15"/>
                <w:szCs w:val="15"/>
                <w:color w:val="auto"/>
              </w:rPr>
            </w:pPr>
          </w:p>
        </w:tc>
        <w:tc>
          <w:tcPr>
            <w:tcW w:w="8040" w:type="dxa"/>
            <w:vAlign w:val="bottom"/>
            <w:gridSpan w:val="10"/>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4"/>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gridSpan w:val="2"/>
          </w:tcPr>
          <w:p>
            <w:pPr>
              <w:spacing w:after="0"/>
              <w:rPr>
                <w:sz w:val="18"/>
                <w:szCs w:val="18"/>
                <w:color w:val="auto"/>
              </w:rPr>
            </w:pPr>
          </w:p>
        </w:tc>
        <w:tc>
          <w:tcPr>
            <w:tcW w:w="824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80" w:type="dxa"/>
            <w:vAlign w:val="bottom"/>
            <w:tcBorders>
              <w:left w:val="single" w:sz="8" w:color="0000FF"/>
            </w:tcBorders>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3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315,331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$269 and $414, respectively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214,405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102,827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85,873</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880,159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776,481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103,421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18,313</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1,042,216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4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73,633</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287,763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w:t>
            </w:r>
          </w:p>
        </w:tc>
        <w:tc>
          <w:tcPr>
            <w:tcW w:w="0" w:type="dxa"/>
            <w:vAlign w:val="bottom"/>
          </w:tcPr>
          <w:p>
            <w:pPr>
              <w:spacing w:after="0"/>
              <w:rPr>
                <w:sz w:val="1"/>
                <w:szCs w:val="1"/>
                <w:color w:val="auto"/>
              </w:rPr>
            </w:pPr>
          </w:p>
        </w:tc>
      </w:tr>
      <w:tr>
        <w:trPr>
          <w:trHeight w:val="207"/>
        </w:trPr>
        <w:tc>
          <w:tcPr>
            <w:tcW w:w="7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428,015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445,107</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Shares issued: 12,874,566 and 12,795,256, respectively</w:t>
            </w:r>
          </w:p>
        </w:tc>
        <w:tc>
          <w:tcPr>
            <w:tcW w:w="2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12,068,548 and 11,989,238, respectively</w:t>
            </w:r>
          </w:p>
        </w:tc>
        <w:tc>
          <w:tcPr>
            <w:tcW w:w="2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70,111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594,905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483,073</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13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5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53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806,335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737,293</w:t>
            </w: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198,374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206,428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575,480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544,639</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192,654</w:t>
            </w:r>
          </w:p>
        </w:tc>
      </w:tr>
      <w:tr>
        <w:trPr>
          <w:trHeight w:val="257"/>
        </w:trPr>
        <w:tc>
          <w:tcPr>
            <w:tcW w:w="5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63,316</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122,657</w:t>
            </w:r>
          </w:p>
        </w:tc>
      </w:tr>
      <w:tr>
        <w:trPr>
          <w:trHeight w:val="257"/>
        </w:trPr>
        <w:tc>
          <w:tcPr>
            <w:tcW w:w="5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(12,934)</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135,591</w:t>
            </w: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31,795</w:t>
            </w: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9"/>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r>
      <w:tr>
        <w:trPr>
          <w:trHeight w:val="234"/>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0.2675</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0.2650</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0.8000</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0.7925</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5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5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103,796</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462,194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483,073</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493,673</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(32,430)</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496,332</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46,330</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46,330</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189"/>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60,990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536,736</w:t>
            </w:r>
          </w:p>
        </w:tc>
        <w:tc>
          <w:tcPr>
            <w:tcW w:w="100" w:type="dxa"/>
            <w:vAlign w:val="bottom"/>
          </w:tcPr>
          <w:p>
            <w:pPr>
              <w:spacing w:after="0"/>
              <w:rPr>
                <w:sz w:val="16"/>
                <w:szCs w:val="16"/>
                <w:color w:val="auto"/>
              </w:rPr>
            </w:pPr>
          </w:p>
        </w:tc>
        <w:tc>
          <w:tcPr>
            <w:tcW w:w="8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(31,493)</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541,363</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48,234</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7,479</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35"/>
        </w:trPr>
        <w:tc>
          <w:tcPr>
            <w:tcW w:w="27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62,086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581,703</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(24,014)</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594,905</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32" w:right="359" w:bottom="1440" w:gutter="0" w:footer="0" w:header="0"/>
        </w:sectPr>
      </w:pPr>
    </w:p>
    <w:bookmarkStart w:id="6" w:name="page7"/>
    <w:bookmarkEnd w:id="6"/>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2023</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325,281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24,085</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346,162</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(23,824)</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366,320</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33,488</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376,401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(26,093)</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393,785</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46,223</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46,223</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2024</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12,794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69,305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419,384</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(27,079)</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436,739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32"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Pr>
          <w:p>
            <w:pPr>
              <w:spacing w:after="0"/>
              <w:rPr>
                <w:sz w:val="17"/>
                <w:szCs w:val="17"/>
                <w:color w:val="auto"/>
              </w:rPr>
            </w:pPr>
          </w:p>
        </w:tc>
        <w:tc>
          <w:tcPr>
            <w:tcW w:w="35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Nine months ended June 30,</w:t>
            </w:r>
          </w:p>
        </w:tc>
        <w:tc>
          <w:tcPr>
            <w:tcW w:w="780" w:type="dxa"/>
            <w:vAlign w:val="bottom"/>
            <w:tcBorders>
              <w:bottom w:val="single" w:sz="8" w:color="auto"/>
            </w:tcBorders>
          </w:tcPr>
          <w:p>
            <w:pPr>
              <w:spacing w:after="0"/>
              <w:rPr>
                <w:sz w:val="17"/>
                <w:szCs w:val="17"/>
                <w:color w:val="auto"/>
              </w:rPr>
            </w:pPr>
          </w:p>
        </w:tc>
      </w:tr>
      <w:tr>
        <w:trPr>
          <w:trHeight w:val="187"/>
        </w:trPr>
        <w:tc>
          <w:tcPr>
            <w:tcW w:w="68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129,327</w:t>
            </w:r>
          </w:p>
        </w:tc>
        <w:tc>
          <w:tcPr>
            <w:tcW w:w="100" w:type="dxa"/>
            <w:vAlign w:val="bottom"/>
          </w:tcPr>
          <w:p>
            <w:pPr>
              <w:spacing w:after="0"/>
              <w:rPr>
                <w:sz w:val="19"/>
                <w:szCs w:val="19"/>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103,796</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mark-to-market gain on derivative contracts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(recovery) expense,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(27,304)</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114,652</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(27,537)</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85,725</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245,875</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332,012</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32"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 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2024, which was filed with the Securities and Exchange Commission (SEC) on November 20,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2025 and Fiscal 2024 used throughout this report shall mean the current fiscal year ending September 30, 2025 and the prior fiscal year ended September 30,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 w:name="page10"/>
    <w:bookmarkEnd w:id="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and Disclosure Rules Issued but Not Yet Adopted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 reportable segment entities are subject to the disclosure requirement under Topic 280 in its entirety. ASU 2023-07 is effective for fiscal years beginning after December 15, 2023 and interim periods within fiscal years beginning after December 15, 2024. A public entity should apply ASU 2023-07 retrospectively to all prior periods presented in the financial statements. Early adoption is permitted. We will implement the new disclosure requirements beginning with our Fiscal 2025 Form 10-K.</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additional qualitative and quantitative information about specific expense categories in the notes to financial statements for both interim and annual reporting periods. In January 2025, the FASB further clarified the effective date for interim reporting periods. This ASU is effective for fiscal years beginning after December 15, 2026 and interim periods within those fiscal years beginning after December 15, 2027, with early adoption permitted. We are currently evaluating the impacts of the new standard.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336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840" w:type="dxa"/>
            <w:vAlign w:val="bottom"/>
            <w:gridSpan w:val="4"/>
          </w:tcPr>
          <w:p>
            <w:pPr>
              <w:ind w:left="260"/>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46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129,327</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103,796</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r>
      <w:tr>
        <w:trPr>
          <w:trHeight w:val="23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1820" w:type="dxa"/>
            <w:vAlign w:val="bottom"/>
            <w:gridSpan w:val="2"/>
            <w:shd w:val="clear" w:color="auto" w:fill="CFF0FC"/>
          </w:tcPr>
          <w:p>
            <w:pPr>
              <w:jc w:val="right"/>
              <w:ind w:right="16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20" w:type="dxa"/>
            <w:vAlign w:val="bottom"/>
            <w:tcBorders>
              <w:bottom w:val="single" w:sz="8" w:color="auto"/>
            </w:tcBorders>
            <w:gridSpan w:val="2"/>
          </w:tcPr>
          <w:p>
            <w:pPr>
              <w:jc w:val="right"/>
              <w:ind w:right="16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53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24,113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97,971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94,889</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11,163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153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262,865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(153,489)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(148,874)</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ind w:right="153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109,376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June 30, 2025 or September 30,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6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r>
      <w:tr>
        <w:trPr>
          <w:trHeight w:val="23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(1,412)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29"/>
        </w:trPr>
        <w:tc>
          <w:tcPr>
            <w:tcW w:w="4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w:t>
            </w: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the commissioning of these enclosures.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95% and 96% of revenues for the three and nine months ended June 30, 2025, respectively, and approximately 96% and 95% of revenues for the three and nine months ended June 30, 2024,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5% and 4% of revenues for the three and nine months ended June 30, 2025, respectively, and approximately 4% and 5% of revenues for the three and nine months ended June 30, 2024, respectively.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June 30, 2025, we had backlog of $1.4 billion, of which approximately $913 million is expected to be recognized as revenue within the next twelve months.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 w:name="page13"/>
    <w:bookmarkEnd w:id="12"/>
    <w:p>
      <w:pPr>
        <w:spacing w:after="0" w:line="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nine months ended June 30, 2025 and 2024, our operating results were positively impacted by $15.1 million and $14.2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nine months ended June 30,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of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June 30, 2025 and September 30, 2024 are summarized below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133,015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102,827</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8"/>
                <w:szCs w:val="18"/>
                <w:color w:val="auto"/>
                <w:w w:val="99"/>
              </w:rPr>
              <w:t>(299,512)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(287,763)</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9"/>
              </w:rPr>
              <w:t>(166,497)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(184,936)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June 30, 2025 and September 30, 2024,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nine months ended June 30, 2025, we recognized revenue of $244.4 million that was related to contract liabilities outstanding at September 30, 2024.</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June 30, 2025 and September 30, 2024, we had retention amounts of $8.0 million and $7.1 million, respectively. Of the retained amount at June 30, 2025, $7.5 million is expected to be collected in the next twelve months and is recorded in accounts receivable. The remaining $0.5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nine months ended June 30, 2025 and 2024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224,537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620,537</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108,275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74,205</w:t>
            </w: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and Africa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30"/>
        </w:trPr>
        <w:tc>
          <w:tcPr>
            <w:tcW w:w="20" w:type="dxa"/>
            <w:vAlign w:val="bottom"/>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48"/>
        </w:trPr>
        <w:tc>
          <w:tcPr>
            <w:tcW w:w="2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806,335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737,293</w:t>
            </w: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24"/>
                <w:szCs w:val="24"/>
                <w:color w:val="auto"/>
              </w:rPr>
            </w:pPr>
          </w:p>
        </w:tc>
        <w:tc>
          <w:tcPr>
            <w:tcW w:w="252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5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301,792</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135,221</w:t>
            </w:r>
          </w:p>
        </w:tc>
      </w:tr>
      <w:tr>
        <w:trPr>
          <w:trHeight w:val="230"/>
        </w:trPr>
        <w:tc>
          <w:tcPr>
            <w:tcW w:w="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utility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145,214</w:t>
            </w:r>
          </w:p>
        </w:tc>
      </w:tr>
      <w:tr>
        <w:trPr>
          <w:trHeight w:val="230"/>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134,188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101,610</w:t>
            </w:r>
          </w:p>
        </w:tc>
      </w:tr>
      <w:tr>
        <w:trPr>
          <w:trHeight w:val="229"/>
        </w:trPr>
        <w:tc>
          <w:tcPr>
            <w:tcW w:w="20" w:type="dxa"/>
            <w:vAlign w:val="bottom"/>
            <w:shd w:val="clear" w:color="auto" w:fill="CCEEFF"/>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 rail traction power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r>
      <w:tr>
        <w:trPr>
          <w:trHeight w:val="230"/>
        </w:trPr>
        <w:tc>
          <w:tcPr>
            <w:tcW w:w="20" w:type="dxa"/>
            <w:vAlign w:val="bottom"/>
            <w:tcBorders>
              <w:bottom w:val="single" w:sz="8" w:color="CCEEFF"/>
            </w:tcBorders>
          </w:tcPr>
          <w:p>
            <w:pPr>
              <w:spacing w:after="0"/>
              <w:rPr>
                <w:sz w:val="19"/>
                <w:szCs w:val="19"/>
                <w:color w:val="auto"/>
              </w:rPr>
            </w:pPr>
          </w:p>
        </w:tc>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806,335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there were no amounts borrowed under the U.S. Revolver, and letters of credit outstanding were $76.0 million. There was $74.0 million available for the issuance of letters of credit and borrowings under the U.S. Revolver as of June 30,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were in compliance with all of the financial covenants of the U.S. Revolver.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$76.0 million as of June 30, 2025. We also had surety bonds totaling $432.6 million that were outstanding, with additional bonding capacity of $767.4 million available, at June 30, 2025.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$20.5 million facility agreement (Facility Agreement) between Powell (UK) Limited and a large international bank that provides Powell (UK) Limited the ability to enter into bank guarantees as well as forward exchange contracts and currency options. At June 30, 2025, we had outstanding guarantees totaling $7.0 million, with an additional capacity of $13.5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June 30, 2025,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for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June 30, 2025, certain contracts had a probable exposure to liquidated damages claims of $2.9 million, which could possibly increase to $4.0 million under certain circumstances. Based on our actual or projected failure to meet these various contractual commitments, $2.7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2024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during a specified period prior to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and safety performance of the Company following the grant date. At June 30, 2025, there were 119,496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nine months ended June 30, 2025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29"/>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184.01</w:t>
            </w:r>
          </w:p>
        </w:tc>
      </w:tr>
      <w:tr>
        <w:trPr>
          <w:trHeight w:val="230"/>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119,496</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June 30, 2025 and 2024, we recorded compensation expense of $3.1 million and $3.4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non-employee director receives restricted shares of the Company's common stock valued at $0.1 million annually.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In February 2025, 3,500 shares of restricted stock were issued to our non-employee directors at a price of $200.02 per share. During the nine months ended June 30, 2025 and 2024, we recorded compensation expense of $0.5 million and $0.4 million, respectively, related to restricted stock.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16" w:name="page17"/>
    <w:bookmarkEnd w:id="16"/>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June 30, 2025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2025</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398,466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leases consist primarily of office and construction equipment. All of our future lease obligations are related to non-cancelable operating leases. The following table provides a summary of lease cost components for the three and nine months ended June 30, 2025 and 2024, respectively (in thousands):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June 30,</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45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45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June 30, 2025 and September 30, 2024,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6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8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June 30, 2025 (in thousands):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6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1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June 30, 2025 was 6.60%. The weighted average remaining lease term was 2.19 years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30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Nine months ended June 30,</w:t>
            </w:r>
          </w:p>
        </w:tc>
      </w:tr>
      <w:tr>
        <w:trPr>
          <w:trHeight w:val="187"/>
        </w:trPr>
        <w:tc>
          <w:tcPr>
            <w:tcW w:w="42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64,101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61,796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166,012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135,591</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15,867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15,573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36,685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31,795</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48,234</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46,223</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129,327</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103,796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25% and 22% for the three and nine months ended June 30, 2025, respectively, compared to 25% and 23% for the three and nine months ended June 30, 2024, respectively. The effective tax rates for the three and nine months ended June 30, 2025 and 2024 were favorably impacted by the estimated Research and Development (R&amp;D) Tax Credit and discrete items primarily related to the vesting of RSUs. These benefits were offset by the tax expense related to certain nondeductible items. In addition, for Fiscal 2024, favorable impacts were offset by an income inclusion related to U.S. global intangible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on July 15, 2025, we entered into a definitive agreement to acquire Remsdaq Ltd. (Remsdaq), a U.K.-based manufacturer of Supervisory Control and Data Acquisition Remote Terminal Units for electrical substation control and automation in generation, transmission and distribution, for total consideration of £12.2 million Pounds Sterling, or approximately $16.3 million, which will be funded with cash on hand. The consideration included an upfront payment of £9.2 million Pounds Sterling with the remaining portion contingent upon Remsdaq meeting certain technical and financial milestones. We expect the transaction to close during the fourth quarter of Fiscal 2025, subject to customary closing conditions.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OBBBA), which includes a broad range of tax reform provisions affecting businesses. The OBBBA extends and modifies certain key 2017 Tax Cuts &amp; Jobs Act (TCJA) provisions (both domestic and international) and revamps some of the TCJA’s provisions on the taxation of corporations’ foreign income. The OBBBA also expands certain Inflation Reduction Act incentives while accelerating the phase-out of others. We are currently evaluating the impact of the OBBBA on our operations, financial results and liquidity.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5, 2025, our Board of Directors declared a quarterly cash dividend on our common stock in the amount of $0.2675 per share. The dividend is payable on September 17, 2025 to shareholders of record at the close of business on August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revenues, income, acquisitions, liquidity and capital expenditures, the effect of tariffs, completion of the Remsdaq acquisition,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the effect of tariffs, potentially disruptive or unanticipated changes in suppliers, the availability of cash on hand and other sources of liquidity to fund our operating expenses and capital expenditures, the impacts of future legislative and regulatory initiatives, electronic, cyber or physical security breaches, and other factors detailed herein and in our other SEC filings. Additional important risks, uncertainties and other factors are detailed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cyclicality has had, and may continue to have, an adverse effect on our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place competitive bids and adequately project costs may result in losses on our fixed-price contracts with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concentration and limited supplier capacity may adversely impact our business and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artificial intelligence (AI) initiatives, which could adversely affect our business, reputation, and results of operations.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applicable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p>
      <w:pPr>
        <w:spacing w:after="0" w:line="5" w:lineRule="exact"/>
        <w:rPr>
          <w:sz w:val="20"/>
          <w:szCs w:val="20"/>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 and may be subject to the risks of particular industries.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preferred stock on terms that could adversely affect the voting power or value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obtain, enforce, and protect intellectual property rights or third-party claims that we are infringing on their intellectual property could harm our business.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 change in control of our company, even if that change would be beneficial to our shareholders.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natural disasters, health epidemics, acts of war or terrorism, climate change, among others, could disrupt our business.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data protection, and information security may require significant resources and present certain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Social, and Governance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“Risk Factors” in Part I. Item 1A of our Annual Report on Form 10-K for the year ended September 30, 2024, which was filed with the SEC on November 20, 2024. We can provide no assurance that the forward-looking statements contained in this report will occur as expected, and actual results may differ materially from those included in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in this Quarterly Report on Form 10-Q and with our Annual Report on Form 10-K for the fiscal year ended September 30, 2024, which was filed with the SEC on November 20, 2024 and is available on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2025, we reported revenues of $286.3 million, net income of $48.2 million, and generated $106.9 million in cash from operating activities. As of June 30, 2025, we had total assets of $1.0 billion.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increased to $1.4 billion as of June 30, 2025, of which approximately $913 million is expected to be recognized as revenue within the next twelve months. Although current commercial activity remains active in most of the markets that we compete in, we remain attentive to the macro environment and geopolitical events that may have an impact on future market activity.</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Oil and gas and petrochemical markets</w:t>
      </w:r>
      <w:r>
        <w:rPr>
          <w:rFonts w:ascii="Times New Roman" w:cs="Times New Roman" w:eastAsia="Times New Roman" w:hAnsi="Times New Roman"/>
          <w:sz w:val="18"/>
          <w:szCs w:val="18"/>
          <w:color w:val="auto"/>
        </w:rPr>
        <w:t>. The North American market is responding to increased international demand for Liquefied Natural Gas (LNG)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gas-to-chemical processes utilizing low-cost gas feedstocks. We believe the fundamentals of the U.S. natural gas market, through abundant supply and low cost, will continue to support investments in LNG, related gas processing, and petrochemical processes, and as a result, will continue to sustain our order activity associated with such markets, which is evidenced by two large, domestic LNG project awards during the first half of Fiscal 2025. Other oil and gas end markets are also experiencing increased commercial activity as we secured two large, offshore projects in our core oil and gas end markets during the third fiscal quarter. In addition to the traditional crude oil refining and other oil and gas downstream processes, we have expanded our end markets into hydrogen production, carbon capture as well as alternative fuels, such as biofuels and sustainable aviation fuel, in response to the demand for clean energy.</w:t>
      </w:r>
    </w:p>
    <w:p>
      <w:pPr>
        <w:spacing w:after="0" w:line="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Electric utility market</w:t>
      </w:r>
      <w:r>
        <w:rPr>
          <w:rFonts w:ascii="Times New Roman" w:cs="Times New Roman" w:eastAsia="Times New Roman" w:hAnsi="Times New Roman"/>
          <w:sz w:val="18"/>
          <w:szCs w:val="18"/>
          <w:color w:val="auto"/>
        </w:rPr>
        <w:t>. Aligned with our strategy of end-market diversification, we seek to continue our focus and growth in electrical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 while also addressing a resurgence of power generation investment in this market. During the third fiscal quarter, we won a project for a new power generation plant, representing the largest electric utility award in the Company's history.</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and other industrial markets. </w:t>
      </w:r>
      <w:r>
        <w:rPr>
          <w:rFonts w:ascii="Times New Roman" w:cs="Times New Roman" w:eastAsia="Times New Roman" w:hAnsi="Times New Roman"/>
          <w:sz w:val="18"/>
          <w:szCs w:val="18"/>
          <w:color w:val="auto"/>
        </w:rPr>
        <w:t>As a result of a mix of factors we are experiencing strong growth in commercial facilities that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of various consumer goods and the expansion of data centers that support cloud computing and increasing investments in artificial intelligence. We are also experiencing increased activity in other industrial end markets which includes the large mining project that we secured in the first half of Fiscal 2025 for the production of potash.</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booked an order for a domestic traction power project in the current quarter, representing the first large traction power project booked in several quarters.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continue to remain focused on the variables that impact our markets as well as cost management, labor availability and supply chain challenges.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contracts can limit our ability to pass these increases to our customers, thus negatively impacting our earnings and operations in future periods.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nine months of Fiscal 2025, we experienced an increase in volatility for commodity prices and ongoing supply chain delays for specific engineered components that remain a persistent challenge. Moreover, ongoing and recently proposed changes to U.S. global trade policy, along with potential international retaliatory measures, have continued to cause high volatility in global markets and uncertainty around short- and long-term economic impacts in the United States and other markets we serve, including concerns over inflation, recession and slowing growth. We continue to evaluate and monitor the potential impacts of these changes and measures, including the imposition of tariffs, on our business and operations. We could potentially face the challenge of increased costs of raw materials and engineered components as well as negative impacts on our margins; however, it is not possible to predict the impact, if any, of any changes or proposed changes to the U.S. global trade policy, or any international retaliatory measures, on our business and operations. In response to the rising cost environment and persistent supply chain challenges, we are taking strategic measures to effectively manage our product pricing, refine delivery schedules, and manage bid validity dates with our customers. Our supplier engagement includes improving forecasting and negotiating favorable terms that allow us to meet or exceed customer timelines. Additionally, we remain focused on enhancing factory efficiencies and improving project execution to mitigate risks and maintain customer satisfaction.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OBBBA), which includes a broad range of tax reform provisions affecting businesses. The OBBBA extends and modifies certain key 2017 Tax Cuts &amp; Jobs Act (TCJA) provisions (both domestic and international) and revamps some of the TCJA’s provisions on the taxation of corporations’ foreign income. The OBBBA also expands certain Inflation Reduction Act incentives while accelerating the phase-out of others. We are currently evaluating the impact of the OBBBA on our operations, financial results and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June 30, 2025 Compared to the Quarter Ended June 30, 2024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decreased by 1%, or $1.9 million, to $286.3 million in the third quarter of Fiscal 2025. Domestic revenues decreased by 8%, or $19.2 million, to $224.5 million in the third quarter of Fiscal 2025. International revenues increased by 39%, or $17.3 million, to $61.7 million in the third quarter of Fiscal 2025, primarily driven by increased project volume from our Canada operations and increased activity in the Middle East and Africa region. Our international revenues include both revenues generated from our international facilities as well as revenues from export projects generated at our domestic facilities.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of Fiscal 2025, revenue from our electric utility market increased by 31%, or $17.9 million, to $74.9 million; commercial and other industrial market revenue increased by 18%, or $7.5 million, to $49.5 million; and revenue from our light rail traction power market increased by 61%, or $3.2 million, to $8.5 million. These increases in revenue were primarily driven by our strategic effort to expand our business into electric utility and commercial and other industrial markets and the improved market conditions in these end markets. Revenue from our oil and gas market (excluding petrochemical) decreased by 8%, or $8.9 million, to $105.5 million; and revenue from our petrochemical market decreased by 36%, or $20.4 million, to $36.3 million in the third quarter of Fiscal 2025. These decreases in revenue were primarily driven by project timing within the oil and gas market as well as the reduction in backlog within the petrochemical market as the business nears completion of the large petrochemical order secured in Fiscal 2023. Revenue from all other markets combined decreased by 9%, or $1.2 million, to $11.5 million in the third quarter of Fiscal 2025 due to less project volume.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8%, or $6.2 million, to $87.9 million for the third quarter of Fiscal 2025. Gross profit as a percentage of revenues increased to 31% in the third quarter of Fiscal 2025, as compared to 28% in the third quarter of Fiscal 2024. The increase in gross profit was primarily driven by favorable volume leverage, strong project execution, as well as the benefit from project closeouts in the third quarter of Fiscal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14%, or $3.1 million, to $25.1 million in the third quarter of Fiscal 2025, primarily due to increased compensation and acquisition related expense. Selling, general and administrative expenses as a percentage of revenues increased to 9% during the third quarter of Fiscal 2025 compared to 8% during the third quarter of Fiscal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$15.9 million in the third quarter of Fiscal 2025, compared to an income tax provision of $15.6 million in the third quarter of Fiscal 2024. The effective tax rate for the third quarter of Fiscal 2025 and 2024 was 25%. For each of the three months ended June 30, 2025 and 2024, the effective tax rate was favorably impacted by the estimated Research and Development (R&amp;D) Tax Credit, which was offset by the tax expense related to certain nondeductible items. Additionally, in the third quarter of Fiscal 2024, this benefit was offset by an income inclusion related to U.S. global intangible income. For further information regarding our income taxes, see Note J of the Notes to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2025, we recorded net income of $48.2 million, or $3.96 per diluted share, compared to net income of $46.2 million, or $3.79 per diluted share, in the third quarter of Fiscal 2024. The increase in net income was primarily driven by improved gross profit margin in the third quarter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June 30, 2025 was $1.4 billion, a 7% increase from our $1.3 billion backlog at March 31, 2025. This increase was mainly driven by electric utility, oil and gas, and light rail traction power markets, partially offset by a decrease in the petrochemical market. As of June 30, 2025, oil and gas (excluding petrochemical) market accounted for 36%, electric utility market accounted for 32%, and commercial and other industrial market accounted for 11% of our backlog.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Bookings, net of cancellations and scope reductions, increased by 2% in the third quarter of Fiscal 2025 to $362.1 million, compared to $356.3 million in the third quarter of Fiscal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June 30, 2025 Compared to the Nine Months Ended June 30, 2024 (Unaudited)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increased by 9%, or $69.0 million, to $806.3 million in the nine months ended June 30, 2025, primarily driven by strong project backlog at the end of Fiscal 2024 and strong bookings that continued in the first nine months of Fiscal 2025. Domestic revenues increased by 5%, or $29.6 million, to $650.1 million in the nine months ended June 30, 2025. International revenues increased by 34%, or $39.4 million, to $156.2 million in the nine months ended June 30, 2025, primarily driven by increased project volume from our Canada operations and increased activity in the Middle East and Africa region. Our international revenues include both revenues generated from our international facilities as well as revenues from export projects generated at our domestic facilities.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nine months ended June 30, 2025, revenue from our oil and gas market (excluding petrochemical) increased by $0.5 million, to $302.3 million; revenue from our electric utility market increased by 35%, or $51.3 million, to $196.5 million; commercial and other industrial market revenue increased by 32%, or $32.6 million, to $134.2 million; and revenue from our light rail traction power market increased by 89%, or $12.6 million, to $26.8 million. These increases in revenue were primarily driven by our strategic effort to expand our business into electric utility and commercial and other industrial markets and the improved market conditions in these end markets. Revenue from our petrochemical market decreased by 16%, or $22.0 million, to $113.2 million with the reduction in backlog in this market and as the business nears completion of the large petrochemical order secured in Fiscal 2023. Revenue from all other markets combined decreased by 15%, or $5.9 million, to $33.3 million in the nine months ended June 30, 2025 due to less project volume.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20%, or $38.2 million, to $230.9 million for the nine months ended June 30, 2025. Gross profit as a percentage of revenues increased to 29% in the first nine months of Fiscal 2025, compared to 26% in the first nine months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Fiscal 2024. The increase in gross profit was primarily driven by higher revenues in the first nine months of Fiscal 2025 and strong gross profit margin in Fiscal 2025 due to favorable volume leverage, strong project execution, as well as the benefit from project closeouts in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8%, or $5.0 million, to $68.4 million in the nine months ended June 30, 2025, primarily due to increased compensation and acquisition related expense. Selling, general and administrative expenses as a percentage of revenues decreased to 8% during the first nine months of Fiscal 2025, compared to 9% during the first nine months of Fiscal 2024, resulting from higher revenues on our existing cost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income tax provision of $36.7 million in the nine months ended June 30, 2025, compared to an income tax provision of $31.8 million in the nine months ended June 30, 2024. The effective tax rate for the nine months ended June 30, 2025 was 22%, compared to an effective tax rate of 23% for the nine months ended June 30, 2024. For each of the nine months ended June 30, 2025 and 2024, the effective tax rate was favorably impacted by discrete items primarily related to the vesting of RSUs and the estimated R&amp;D Tax Credit, which was offset by the tax expense related to certain nondeductible items. For further information regarding our income taxes, see Note J of the Notes to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June 30, 2025, we recorded net income of $129.3 million, or $10.63 per diluted share, compared to net income of $103.8 million, or $8.52 per diluted share, in the nine months ended June 30, 2024. The increase in net income was primarily driven by higher revenue and improved gross profit margin in the first nine months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June 30, 2025 was $1.4 billion, a 6% increase from our $1.3 billion backlog at September 30, 2024. This increase was mainly driven by electric utility, and oil and gas markets, partially offset by a decrease in the petrochemical market. As of June 30, 2025, oil and gas (excluding petrochemical) market accounted for 36%, electric utility market accounted for 32%, and commercial and other industrial market accounted for 11% of our backlog.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Bookings, net of cancellations and scope reductions, increased by 11% during the nine months ended June 30, 2025 to $879.7 million, compared to $789.2 million during the nine months ended June 30, 2024. This increase was primarily driven by improved bookings in oil and gas, electric utility and light rail traction power markets, partially offset by decreased net bookings in petrochemical and commercial and other industrial markets.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current assets exceeded current liabilities by 2.1 times.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$433.0 million at June 30, 2025, compared to $358.4 million at September 30, 2024. The increase in cash, cash equivalents and short-term investments was primarily driven by our improved earnings due to higher gross profit, partially offset by capital spending, dividend payments, and cash payments related to shares withheld in lieu of employee tax withholding. We believe that our cash, cash equivalents and short-term investments, as well as available borrowings under our U.S. credit facility, will be sufficient to support our future operating activities, working capital requirements, payment of dividends and capital spending, as well as research and development initiatives for the next twelve months and beyond. As we assess our capital allocation framework relative to our strategic objectives, we will continue to deploy capital to both organic and inorganic initiatives, as well as maintain a prudent approach to other methods that improve shareholder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$73.3 million of our cash, cash equivalents and short-term investments at June 30, 2025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were no amounts borrowed under the U.S. Revolver, and letters of credit outstanding were $76.0 million. There was $74.0 million available for the issuance of letters of credit and borrowings under the U.S. Revolver as of June 30, 2025. For further information regarding our debt, see Notes E and F of the Notes to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$106.9 million during the nine months ended June 30, 2025, and provided net cash of $114.7 million during the same period in Fiscal 2024. Cash flow from operations is primarily influenced by project volume and margins, as well as working capital requirements, the timing of milestone payments from our customers, and payment terms with our suppliers. The decrease in operating cash flow was primarily due to working capital impact as we allocate capital to projects in the order book, partially offset by higher earnings.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$4.2 million of cash during the nine months ended June 30, 2025 and used $13.0 million of cash during the same period in Fiscal 2024. Cash used by investing activities in the first nine months of Fiscal 2025 was primarily due to capital spending on the facility expansion and improvement project at our electrical products facility in Houston, partially offset by net maturities of short-term investments. In December 2023, we acquired intellectual property for a total consideration of $0.5 million, of which $250 thousand was paid in cash.</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$11 million expansion and improvement project at our electrical products facility in Houston has been completed and the incremental capacity is now in service.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$21.7 million during the nine months ended June 30, 2025 compared to $16.0 million used during the same period in Fiscal 2024. The increase in cash used in financing activities was primarily due to cash payments related to shares withheld in lieu of employee tax withholding, largely driven by the significant increase in our share price in the first nine months of Fiscal 2025 compared to the same period of Fiscal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2024, which was filed with the SEC on November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as of and for the three and nine months ended June 30, 2025, as compared to the information previously reported under Part II, Item 7A within our Annual Report on Form 10-K for the fiscal year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third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2025, none of our directors or officers adopted or terminated any "Rule 10b5-1 trading arrangements" or "non-Rule 10b5-1 trading arrangements,"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5">
        <w:r>
          <w:rPr>
            <w:rFonts w:ascii="Times New Roman" w:cs="Times New Roman" w:eastAsia="Times New Roman" w:hAnsi="Times New Roman"/>
            <w:sz w:val="17"/>
            <w:szCs w:val="17"/>
            <w:u w:val="single" w:color="auto"/>
            <w:color w:val="0000FF"/>
          </w:rPr>
          <w:t>Amended and Restated Certificate of Incorporation of Powell Industries, Inc. filed with the Secretary of State of the State 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1680" w:right="760"/>
        <w:spacing w:after="0" w:line="226" w:lineRule="auto"/>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Delaware on February 19, 2025 (filed as Exhibit 3.1 to our Form 8-K filed February 19, 2025, and incorporated herein by</w:t>
        </w:r>
      </w:hyperlink>
      <w:r>
        <w:rPr>
          <w:rFonts w:ascii="Times New Roman" w:cs="Times New Roman" w:eastAsia="Times New Roman" w:hAnsi="Times New Roman"/>
          <w:sz w:val="18"/>
          <w:szCs w:val="18"/>
          <w:u w:val="single" w:color="auto"/>
          <w:color w:val="0000FF"/>
        </w:rPr>
        <w:t xml:space="preserve"> </w:t>
      </w:r>
      <w:hyperlink r:id="rId45">
        <w:r>
          <w:rPr>
            <w:rFonts w:ascii="Times New Roman" w:cs="Times New Roman" w:eastAsia="Times New Roman" w:hAnsi="Times New Roman"/>
            <w:sz w:val="18"/>
            <w:szCs w:val="18"/>
            <w:u w:val="single" w:color="auto"/>
            <w:color w:val="0000FF"/>
          </w:rPr>
          <w:t>reference)</w:t>
        </w:r>
        <w:r>
          <w:rPr>
            <w:rFonts w:ascii="Times New Roman" w:cs="Times New Roman" w:eastAsia="Times New Roman" w:hAnsi="Times New Roman"/>
            <w:sz w:val="18"/>
            <w:szCs w:val="18"/>
            <w:color w:val="000000"/>
          </w:rPr>
          <w:t>.</w:t>
        </w:r>
      </w:hyperlink>
    </w:p>
    <w:p>
      <w:pPr>
        <w:spacing w:after="0" w:line="157"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7">
        <w:r>
          <w:rPr>
            <w:rFonts w:ascii="Times New Roman" w:cs="Times New Roman" w:eastAsia="Times New Roman" w:hAnsi="Times New Roman"/>
            <w:sz w:val="18"/>
            <w:szCs w:val="18"/>
            <w:u w:val="single" w:color="auto"/>
            <w:color w:val="0000FF"/>
          </w:rPr>
          <w:t>Second Amended and Restated Bylaws of Powell Industries, Inc. (filed as Exhibit 3.1 to our Form 8-K filed February 24, 2025, and</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The following financial statements from the Company’s Quarterly Report on Form 10-Q for the quarter ended June 30, 2025, 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50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The cover page from the Company’s Quarterly Report on Form 10-Q for the quarter ended June 30, 2025, formatted in Inline XBRL (included as Exhibit 101).</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2" w:right="3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78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360" w:type="dxa"/>
            <w:vAlign w:val="bottom"/>
          </w:tcPr>
          <w:p>
            <w:pPr>
              <w:spacing w:after="0"/>
              <w:rPr>
                <w:sz w:val="20"/>
                <w:szCs w:val="20"/>
                <w:color w:val="auto"/>
              </w:rPr>
            </w:pPr>
          </w:p>
        </w:tc>
        <w:tc>
          <w:tcPr>
            <w:tcW w:w="78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30"/>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60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0"/>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3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332"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03"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ectPr>
          <w:pgSz w:w="11900" w:h="16838" w:orient="portrait"/>
          <w:cols w:equalWidth="0" w:num="1">
            <w:col w:w="11240"/>
          </w:cols>
          <w:pgMar w:left="320" w:top="12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Metcalf,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4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4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ectPr>
          <w:pgSz w:w="11900" w:h="16838" w:orient="portrait"/>
          <w:cols w:equalWidth="0" w:num="1">
            <w:col w:w="11240"/>
          </w:cols>
          <w:pgMar w:left="320" w:top="12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June 30, 2025,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ectPr>
          <w:pgSz w:w="11900" w:h="16838" w:orient="portrait"/>
          <w:cols w:equalWidth="0" w:num="1">
            <w:col w:w="11240"/>
          </w:cols>
          <w:pgMar w:left="320" w:top="12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6"/>
          <w:szCs w:val="16"/>
          <w:color w:val="auto"/>
        </w:rPr>
        <w:t>June 30, 2025</w:t>
      </w:r>
      <w:r>
        <w:rPr>
          <w:rFonts w:ascii="Times New Roman" w:cs="Times New Roman" w:eastAsia="Times New Roman" w:hAnsi="Times New Roman"/>
          <w:sz w:val="18"/>
          <w:szCs w:val="18"/>
          <w:color w:val="auto"/>
        </w:rPr>
        <w:t>,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2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2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August 6,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8" Type="http://schemas.openxmlformats.org/officeDocument/2006/relationships/image" Target="media/image39.png"/><Relationship Id="rId45" Type="http://schemas.openxmlformats.org/officeDocument/2006/relationships/hyperlink" Target="https://www.sec.gov/Archives/edgar/data/80420/000008042025000034/ex31-amendedandrestatedcer.htm" TargetMode="External"/><Relationship Id="rId47" Type="http://schemas.openxmlformats.org/officeDocument/2006/relationships/hyperlink" Target="https://www.sec.gov/Archives/edgar/data/80420/000008042025000044/ex31-second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2025-08-06T11:30:14Z</dcterms:created>
  <dcterms:modified xsi:type="dcterms:W3CDTF">2025-08-06T11:30:14Z</dcterms:modified>
</cp:coreProperties>
</file>