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38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3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0" w:lineRule="exact"/>
        <w:rPr>
          <w:sz w:val="24"/>
          <w:szCs w:val="24"/>
          <w:color w:val="auto"/>
        </w:rPr>
      </w:pPr>
    </w:p>
    <w:p>
      <w:pPr>
        <w:spacing w:after="0" w:line="20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25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7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_________________</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001-12488</w:t>
            </w:r>
          </w:p>
        </w:tc>
        <w:tc>
          <w:tcPr>
            <w:tcW w:w="33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88-0106100</w:t>
            </w:r>
          </w:p>
        </w:tc>
        <w:tc>
          <w:tcPr>
            <w:tcW w:w="0" w:type="dxa"/>
            <w:vAlign w:val="bottom"/>
          </w:tcPr>
          <w:p>
            <w:pPr>
              <w:spacing w:after="0"/>
              <w:rPr>
                <w:sz w:val="1"/>
                <w:szCs w:val="1"/>
                <w:color w:val="auto"/>
              </w:rPr>
            </w:pPr>
          </w:p>
        </w:tc>
      </w:tr>
      <w:tr>
        <w:trPr>
          <w:trHeight w:val="184"/>
        </w:trPr>
        <w:tc>
          <w:tcPr>
            <w:tcW w:w="404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28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(Commission File No.)</w:t>
            </w:r>
          </w:p>
        </w:tc>
        <w:tc>
          <w:tcPr>
            <w:tcW w:w="338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149"/>
        </w:trPr>
        <w:tc>
          <w:tcPr>
            <w:tcW w:w="404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2820" w:type="dxa"/>
            <w:vAlign w:val="bottom"/>
            <w:vMerge w:val="continue"/>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4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5"/>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2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820" w:type="dxa"/>
            <w:vAlign w:val="bottom"/>
          </w:tcPr>
          <w:p>
            <w:pPr>
              <w:spacing w:after="0"/>
              <w:rPr>
                <w:sz w:val="24"/>
                <w:szCs w:val="24"/>
                <w:color w:val="auto"/>
              </w:rPr>
            </w:pPr>
          </w:p>
        </w:tc>
        <w:tc>
          <w:tcPr>
            <w:tcW w:w="3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77075-1180</w:t>
            </w:r>
          </w:p>
        </w:tc>
        <w:tc>
          <w:tcPr>
            <w:tcW w:w="0" w:type="dxa"/>
            <w:vAlign w:val="bottom"/>
          </w:tcPr>
          <w:p>
            <w:pPr>
              <w:spacing w:after="0"/>
              <w:rPr>
                <w:sz w:val="1"/>
                <w:szCs w:val="1"/>
                <w:color w:val="auto"/>
              </w:rPr>
            </w:pPr>
          </w:p>
        </w:tc>
      </w:tr>
      <w:tr>
        <w:trPr>
          <w:trHeight w:val="243"/>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20" w:type="dxa"/>
            <w:vAlign w:val="bottom"/>
          </w:tcPr>
          <w:p>
            <w:pPr>
              <w:spacing w:after="0"/>
              <w:rPr>
                <w:sz w:val="21"/>
                <w:szCs w:val="21"/>
                <w:color w:val="auto"/>
              </w:rPr>
            </w:pPr>
          </w:p>
        </w:tc>
        <w:tc>
          <w:tcPr>
            <w:tcW w:w="33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8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Michael W. Metcalf, 713-944-6900</w:t>
      </w:r>
    </w:p>
    <w:p>
      <w:pPr>
        <w:spacing w:after="0" w:line="12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11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347" w:lineRule="exact"/>
        <w:rPr>
          <w:sz w:val="24"/>
          <w:szCs w:val="24"/>
          <w:color w:val="auto"/>
        </w:rPr>
      </w:pPr>
    </w:p>
    <w:p>
      <w:pPr>
        <w:spacing w:after="0" w:line="42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500" w:hanging="468"/>
        <w:spacing w:after="0"/>
        <w:tabs>
          <w:tab w:leader="none" w:pos="50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346"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388"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Conflict Minerals Report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Powell Industries, Inc. has included the Conflict Minerals Report as an exhibit to its Form SD for the period from January 1, 2025 to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indicates, “Powell,” “the Company,” “we,” “us” and “our” refer to Powell Industries, Inc. and its consolidated subsidiaries.</w:t>
      </w:r>
    </w:p>
    <w:p>
      <w:pPr>
        <w:spacing w:after="0" w:line="374" w:lineRule="exact"/>
        <w:rPr>
          <w:sz w:val="20"/>
          <w:szCs w:val="20"/>
          <w:color w:val="auto"/>
        </w:rPr>
      </w:pPr>
    </w:p>
    <w:p>
      <w:pPr>
        <w:jc w:val="both"/>
        <w:ind w:firstLine="226"/>
        <w:spacing w:after="0" w:line="395" w:lineRule="auto"/>
        <w:rPr>
          <w:sz w:val="20"/>
          <w:szCs w:val="20"/>
          <w:color w:val="auto"/>
        </w:rPr>
      </w:pPr>
      <w:r>
        <w:rPr>
          <w:rFonts w:ascii="Times New Roman" w:cs="Times New Roman" w:eastAsia="Times New Roman" w:hAnsi="Times New Roman"/>
          <w:sz w:val="18"/>
          <w:szCs w:val="18"/>
          <w:color w:val="auto"/>
        </w:rPr>
        <w:t>For the year 2025, certain of our operations manufactured, or contracted to manufacture, products for which 3TGs, as defined below, are necessary to their functionality or production (“Covered Products”). Conflict minerals are defined in Section 13(p) as (A) cassiterite, columbite-tantalite (coltan), gold, wolframite, and their derivatives, which are limited to tin, tantalum and tungsten (together with gold, collectively referred to as 3TGs), or (B) any other mineral or its derivatives determined by the Secretary of State to be financing conflict in the Democratic Republic of the Congo (“DRC”) or any adjoining country that shares an internationally recognized border with the DRC (the “Covered Countries”).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218" w:lineRule="exact"/>
        <w:rPr>
          <w:sz w:val="20"/>
          <w:szCs w:val="20"/>
          <w:color w:val="auto"/>
        </w:rPr>
      </w:pPr>
    </w:p>
    <w:p>
      <w:pPr>
        <w:jc w:val="both"/>
        <w:ind w:firstLine="185"/>
        <w:spacing w:after="0" w:line="407" w:lineRule="auto"/>
        <w:rPr>
          <w:sz w:val="20"/>
          <w:szCs w:val="20"/>
          <w:color w:val="auto"/>
        </w:rPr>
      </w:pPr>
      <w:r>
        <w:rPr>
          <w:rFonts w:ascii="Times New Roman" w:cs="Times New Roman" w:eastAsia="Times New Roman" w:hAnsi="Times New Roman"/>
          <w:sz w:val="18"/>
          <w:szCs w:val="18"/>
          <w:color w:val="auto"/>
        </w:rPr>
        <w:t xml:space="preserve">A summary of our RCOI and steps of due diligence on the source and chain of custody of any 3TGs in our Covered Products is included in our Conflict Minerals Report, which is filed as Exhibit 1.01 to this Form SD. In addition, our Conflict Minerals Policy is publicly available on our company website at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under the section entitled "Suppliers" and named as "Conflict Minerals Policy Statement."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78" w:lineRule="exact"/>
        <w:rPr>
          <w:sz w:val="20"/>
          <w:szCs w:val="20"/>
          <w:color w:val="auto"/>
        </w:rPr>
      </w:pPr>
    </w:p>
    <w:p>
      <w:pPr>
        <w:jc w:val="both"/>
        <w:ind w:firstLine="238"/>
        <w:spacing w:after="0" w:line="399" w:lineRule="auto"/>
        <w:rPr>
          <w:sz w:val="20"/>
          <w:szCs w:val="20"/>
          <w:color w:val="auto"/>
        </w:rPr>
      </w:pPr>
      <w:r>
        <w:rPr>
          <w:rFonts w:ascii="Times New Roman" w:cs="Times New Roman" w:eastAsia="Times New Roman" w:hAnsi="Times New Roman"/>
          <w:sz w:val="18"/>
          <w:szCs w:val="18"/>
          <w:color w:val="auto"/>
        </w:rPr>
        <w:t>The Report contains “forward-looking statements.” All statements other than statements of historical fact included in the Report are forward-looking statements. Such forward-looking statements include, but are not limited to, statements related to improvements in its processes and engagement with suppliers, as well as other statements that are not historical facts contained in or incorporated by reference into the Report. Statements that contain words such as “believes,” “expects,” “anticipates,” “intends,” “estimates,” “continue,” “should,” “could,” “may,” “plan,” “project,” “predict,” “potential,” “possible,” “would,” “outlook,” “will” or similar expressions are forward-looking statements.</w:t>
      </w:r>
    </w:p>
    <w:p>
      <w:pPr>
        <w:spacing w:after="0" w:line="210" w:lineRule="exact"/>
        <w:rPr>
          <w:sz w:val="20"/>
          <w:szCs w:val="20"/>
          <w:color w:val="auto"/>
        </w:rPr>
      </w:pPr>
    </w:p>
    <w:p>
      <w:pPr>
        <w:jc w:val="both"/>
        <w:ind w:firstLine="648"/>
        <w:spacing w:after="0" w:line="40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the Report; we disclaim any obligation to update or revise these statements unless required by applicable law, whether as a result of new information, future events or otherwise; and we caution you not to unduly rely on them. We have based these forward-looking statements on expectations and assumptions of management at the time the statements were made. While our management considers these expectations and</w:t>
      </w:r>
    </w:p>
    <w:p>
      <w:pPr>
        <w:sectPr>
          <w:pgSz w:w="11900" w:h="16838" w:orient="portrait"/>
          <w:cols w:equalWidth="0" w:num="1">
            <w:col w:w="11240"/>
          </w:cols>
          <w:pgMar w:left="320" w:top="954" w:right="339" w:bottom="1440" w:gutter="0" w:footer="0" w:header="0"/>
        </w:sectPr>
      </w:pPr>
    </w:p>
    <w:bookmarkStart w:id="2" w:name="page3"/>
    <w:bookmarkEnd w:id="2"/>
    <w:p>
      <w:pPr>
        <w:jc w:val="both"/>
        <w:spacing w:after="0" w:line="396" w:lineRule="auto"/>
        <w:rPr>
          <w:sz w:val="20"/>
          <w:szCs w:val="20"/>
          <w:color w:val="auto"/>
        </w:rPr>
      </w:pPr>
      <w:r>
        <w:rPr>
          <w:rFonts w:ascii="Times New Roman" w:cs="Times New Roman" w:eastAsia="Times New Roman" w:hAnsi="Times New Roman"/>
          <w:sz w:val="18"/>
          <w:szCs w:val="18"/>
          <w:color w:val="auto"/>
        </w:rPr>
        <w:t>assumptions to be reasonable, they are inherently subject to significant business, economic, competitive, regulatory and other risks, contingencies and uncertainties that could cause actual results to differ materially from those included in the Report, most of which are difficult to predict and many of which are beyond our control. These risks, contingencies and uncertainties relate to, but are not limited to, the factors detailed in the Report and in our other SEC filings.</w:t>
      </w:r>
    </w:p>
    <w:p>
      <w:pPr>
        <w:sectPr>
          <w:pgSz w:w="11900" w:h="16838" w:orient="portrait"/>
          <w:cols w:equalWidth="0" w:num="1">
            <w:col w:w="11240"/>
          </w:cols>
          <w:pgMar w:left="320" w:top="958" w:right="33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our Conflict Minerals Report as Exhibit 1.01 to this Form SD.</w:t>
      </w:r>
    </w:p>
    <w:p>
      <w:pPr>
        <w:spacing w:after="0" w:line="35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0" w:lineRule="exact"/>
        <w:rPr>
          <w:sz w:val="20"/>
          <w:szCs w:val="20"/>
          <w:color w:val="auto"/>
        </w:rPr>
      </w:pPr>
    </w:p>
    <w:p>
      <w:pPr>
        <w:spacing w:after="0" w:line="266"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for the calendar year ended December 31, 2025 as required by Item 1.01 of this Form.</w:t>
      </w:r>
    </w:p>
    <w:p>
      <w:pPr>
        <w:sectPr>
          <w:pgSz w:w="11900" w:h="16838" w:orient="portrait"/>
          <w:cols w:equalWidth="0" w:num="1">
            <w:col w:w="10139"/>
          </w:cols>
          <w:pgMar w:left="320" w:top="954"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78" w:lineRule="exact"/>
        <w:rPr>
          <w:sz w:val="20"/>
          <w:szCs w:val="20"/>
          <w:color w:val="auto"/>
        </w:rPr>
      </w:pPr>
    </w:p>
    <w:p>
      <w:pPr>
        <w:ind w:firstLine="234"/>
        <w:spacing w:after="0" w:line="42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
        <w:spacing w:after="0"/>
        <w:tabs>
          <w:tab w:leader="none" w:pos="5660" w:val="left"/>
          <w:tab w:leader="none" w:pos="624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85725</wp:posOffset>
            </wp:positionV>
            <wp:extent cx="3120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2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and Principal Accounting Officer</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ectPr>
          <w:pgSz w:w="11900" w:h="16838" w:orient="portrait"/>
          <w:cols w:equalWidth="0" w:num="1">
            <w:col w:w="11240"/>
          </w:cols>
          <w:pgMar w:left="320" w:top="95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5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This is the Conflict Minerals Report (this “Report”) of Powell Industries, Inc. (referred to herein as “Powell”, the “Company”, “we”, “us” or “our”) for calendar year 2025 in accordance with Rule 13p-1 under the Securities Exchange Act of 1934, as amended (the “Exchange Act”). Please refer to Section 13(p) of the Exchange Act and the general instructions to the Specialized Disclosure Report on Form SD for definitions of certain terms used in this Report, unless otherwise defined herein.</w:t>
      </w:r>
    </w:p>
    <w:p>
      <w:pPr>
        <w:spacing w:after="0" w:line="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This Report for the year ended December 31, 2025 is presented to comply with Rule 13p-1 under the Exchange Act (the “Rule”). The Rule was adopted by the Securities and Exchange Commission (SEC) to implement reporting and disclosure requirements related to conflict minerals as directed by the Dodd-Frank Wall Street Reform and Consumer Protection Act of 2010 (the “Dodd-Frank Act”). The Rule imposes certain reporting obligations on SEC registrants whose manufactured products contain conflict minerals which are necessary to the functionality or production of their products. Conflict Minerals are defined as cassiterite, columbite-tantalite, gold, wolframite, and their derivatives, which are limited to tin, tantalum, tungsten, and gold. For the purposes of this Report, tin, tantalum, tungsten and gold shall be collectively referred to as the 3TGs. These requirements apply to registrants whatever the geographic origin of the conflict minerals and whether or not they fund armed conflict.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Overview</w:t>
      </w:r>
    </w:p>
    <w:p>
      <w:pPr>
        <w:spacing w:after="0" w:line="2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 xml:space="preserve">Powell Industries, Inc. (we, us, our, Powell or the Company) is a Delaware corporation founded by William E. Powell in 1947. Our major subsidiaries, all of which are wholly owned, include Powell Electrical Systems, Inc.; Powell Canada, Inc.; Powell (UK) Limited; and Powell Industries International Limited. 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xml:space="preserve"> We have also posted on our company website Powell’s Conflict Minerals policy statement at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under the section entitled "Suppliers" and named as "Conflict Minerals Policy Statement." Unless otherwise expressly stated herein, no documents, third-party materials or references to websites (including Powell's) are incorporated by reference in, or to be considered to be a part of, this Report.</w:t>
      </w:r>
    </w:p>
    <w:p>
      <w:pPr>
        <w:spacing w:after="0" w:line="1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product scope includes designs tested to meet both United States (U.S.) and international standards, under both the American National Standards Institute (ANSI) and International Electrotechnical Commission (IEC). We also provide spare parts, retrofit and retrofill components for existing systems, and replacement circuit breakers for obsolete switchgear no longer produced by the original manufacturer. Our principal services include field service inspection, installation, commissioning, modification and repair services. Products and services are principally sold directly to the end user or to an engineering, procurement and construction (EPC) firm on behalf of the end user.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1 of 27</w:t>
      </w:r>
    </w:p>
    <w:p>
      <w:pPr>
        <w:sectPr>
          <w:pgSz w:w="11900" w:h="16838" w:orient="portrait"/>
          <w:cols w:equalWidth="0" w:num="1">
            <w:col w:w="11240"/>
          </w:cols>
          <w:pgMar w:left="320" w:top="131" w:right="339" w:bottom="1440" w:gutter="0" w:footer="0" w:header="0"/>
        </w:sectPr>
      </w:pPr>
    </w:p>
    <w:bookmarkStart w:id="6" w:name="page7"/>
    <w:bookmarkEnd w:id="6"/>
    <w:p>
      <w:pPr>
        <w:spacing w:after="0" w:line="2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Each project is specifically engineered and manufactured to meet the specifications and requirements of the individual customer. We market and sell our products and services, which are typically awarded in competitive bid situations, to a wide variety of customers and governmental agencies spanning diverse markets and geographic regions. Occasionally, our contracts may operate under a consortium or teaming arrangement. Typically, we enter into these arrangements with reputable companies with whom we have previously conducted business. These arrangements are generally made to leverage competitive positioning, or where scale or size dictates the use of such arrangement. We seek to establish long-term relationships with the end users of our systems as well as EPC firms contracted by those end users. We believe that fostering a culture of safety and focusing on customer satisfaction, along with our strong balance sheet, allows us to capitalize on opportunities in the industries we serve.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Description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broad and complex product range may contain conflict minerals within the following components:</w:t>
      </w:r>
    </w:p>
    <w:p>
      <w:pPr>
        <w:spacing w:after="0" w:line="387" w:lineRule="exact"/>
        <w:rPr>
          <w:sz w:val="20"/>
          <w:szCs w:val="20"/>
          <w:color w:val="auto"/>
        </w:rPr>
      </w:pPr>
    </w:p>
    <w:p>
      <w:pPr>
        <w:ind w:left="780" w:hanging="430"/>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Tantalum, used in capacitors</w:t>
      </w:r>
      <w:r>
        <w:rPr>
          <w:rFonts w:ascii="Times New Roman" w:cs="Times New Roman" w:eastAsia="Times New Roman" w:hAnsi="Times New Roman"/>
          <w:sz w:val="14"/>
          <w:szCs w:val="14"/>
          <w:color w:val="auto"/>
        </w:rPr>
        <w:t>,</w:t>
      </w:r>
    </w:p>
    <w:p>
      <w:pPr>
        <w:spacing w:after="0" w:line="157" w:lineRule="exact"/>
        <w:rPr>
          <w:rFonts w:ascii="Times New Roman" w:cs="Times New Roman" w:eastAsia="Times New Roman" w:hAnsi="Times New Roman"/>
          <w:sz w:val="18"/>
          <w:szCs w:val="18"/>
          <w:color w:val="auto"/>
        </w:rPr>
      </w:pPr>
    </w:p>
    <w:p>
      <w:pPr>
        <w:ind w:left="780" w:hanging="430"/>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Tin, used in soldered components,</w:t>
      </w:r>
    </w:p>
    <w:p>
      <w:pPr>
        <w:spacing w:after="0" w:line="157" w:lineRule="exact"/>
        <w:rPr>
          <w:rFonts w:ascii="Times New Roman" w:cs="Times New Roman" w:eastAsia="Times New Roman" w:hAnsi="Times New Roman"/>
          <w:sz w:val="18"/>
          <w:szCs w:val="18"/>
          <w:color w:val="auto"/>
        </w:rPr>
      </w:pPr>
    </w:p>
    <w:p>
      <w:pPr>
        <w:ind w:left="780" w:hanging="430"/>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Tungsten, used in coatings, alloys, heating elements and electrodes,</w:t>
      </w:r>
    </w:p>
    <w:p>
      <w:pPr>
        <w:spacing w:after="0" w:line="157" w:lineRule="exact"/>
        <w:rPr>
          <w:rFonts w:ascii="Times New Roman" w:cs="Times New Roman" w:eastAsia="Times New Roman" w:hAnsi="Times New Roman"/>
          <w:sz w:val="18"/>
          <w:szCs w:val="18"/>
          <w:color w:val="auto"/>
        </w:rPr>
      </w:pPr>
    </w:p>
    <w:p>
      <w:pPr>
        <w:ind w:left="780" w:hanging="430"/>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used in circuit boards, electrodes and electronic components.</w:t>
      </w:r>
    </w:p>
    <w:p>
      <w:pPr>
        <w:spacing w:after="0" w:line="38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Therefore, Powell conducted a reasonable country of origin inquiry in good faith to determine whether any of the 3TGs in its products originated from Conflict-Affected and High -Risk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Reasonable Country of Origin Inquiry (RCOI)</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Conflict-Affected and High-Risk Areas, Powell retained Assent Inc. (“Assent”), a third-party service provider, to assist us in reviewing the supply chain and identifying risks. We identified the scope of our inquiry by first completing a supplier list extraction from our preferred vendor list. This list was then filtered to remove service providers, indirect materials suppliers and inactive suppliers (minimum of one year since last purchase) so that all suppliers surveyed provided items to Powell that were used in final products in the year 2025. Once the in-scope assessment was completed, the list was updated with current contact information. This target list, comprised of 579 suppliers, was then provided to Assent for upload to their Assent Sustainability Manager software system (the “Assent Sustainability Manager”).</w:t>
      </w:r>
    </w:p>
    <w:p>
      <w:pPr>
        <w:spacing w:after="0" w:line="178"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To trace materials, and demonstrate transparency procured by the supply chain, Powell utilized the Conflict Minerals Reporting Template (CMRT) Version 6.4 or higher to conduct a survey of all in-scope suppliers.</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During the supplier survey, the Company contacted suppliers via the Assent Compliance Manager, a software-as-a-service (SaaS) platform provided by Assent that enables users to complete and track supplier communications, and allows suppliers to upload completed CMRTs directly to the platform for validation, assessment and management. 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2 of 27</w:t>
      </w:r>
    </w:p>
    <w:p>
      <w:pPr>
        <w:sectPr>
          <w:pgSz w:w="11900" w:h="16838" w:orient="portrait"/>
          <w:cols w:equalWidth="0" w:num="1">
            <w:col w:w="11240"/>
          </w:cols>
          <w:pgMar w:left="320" w:top="1440" w:right="339" w:bottom="1440" w:gutter="0" w:footer="0" w:header="0"/>
        </w:sectPr>
      </w:pPr>
    </w:p>
    <w:bookmarkStart w:id="7" w:name="page8"/>
    <w:bookmarkEnd w:id="7"/>
    <w:p>
      <w:pPr>
        <w:spacing w:after="0" w:line="2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Via the Assent Compliance Manager and Assent team, Powell requested that all suppliers complete a CMRT. Training and education to guide suppliers on best practices and the use of this template was included. Assent monitored and tracked all communications in the Assent Compliance Manager for future reporting and transparency. Powell directly contacted suppliers that were unresponsive to Assent’s communications during the diligence process and requested these suppliers complete the CMRT and submit it to Assent.</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spacing w:after="0" w:line="1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All submitted declaration forms are accepted so that data is retained, but they are classified as valid or invalid based on a set criteria of validation errors (see Appendix III for CMRT validation criteria).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Powell tracks program gaps to account for future improvement opportunities.</w:t>
      </w:r>
    </w:p>
    <w:p>
      <w:pPr>
        <w:spacing w:after="0" w:line="17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As of May 5, 2026, there were 579 suppliers in-scope of the conflict minerals program and 416 provided a completed CMRT. Powell’s total response rate for this reporting year was 72%. These metrics are summarized in the table below in order to assess progress over time: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040" w:type="dxa"/>
            <w:vAlign w:val="bottom"/>
            <w:shd w:val="clear" w:color="auto" w:fill="215273"/>
          </w:tcPr>
          <w:p>
            <w:pPr>
              <w:ind w:left="60"/>
              <w:spacing w:after="0"/>
              <w:rPr>
                <w:sz w:val="20"/>
                <w:szCs w:val="20"/>
                <w:color w:val="auto"/>
              </w:rPr>
            </w:pPr>
            <w:r>
              <w:rPr>
                <w:rFonts w:ascii="Arial" w:cs="Arial" w:eastAsia="Arial" w:hAnsi="Arial"/>
                <w:sz w:val="25"/>
                <w:szCs w:val="25"/>
                <w:color w:val="FFFFFF"/>
              </w:rPr>
              <w:t>Year</w:t>
            </w:r>
          </w:p>
        </w:tc>
        <w:tc>
          <w:tcPr>
            <w:tcW w:w="3040" w:type="dxa"/>
            <w:vAlign w:val="bottom"/>
            <w:shd w:val="clear" w:color="auto" w:fill="215273"/>
          </w:tcPr>
          <w:p>
            <w:pPr>
              <w:jc w:val="right"/>
              <w:ind w:right="768"/>
              <w:spacing w:after="0"/>
              <w:rPr>
                <w:sz w:val="20"/>
                <w:szCs w:val="20"/>
                <w:color w:val="auto"/>
              </w:rPr>
            </w:pPr>
            <w:r>
              <w:rPr>
                <w:rFonts w:ascii="Arial" w:cs="Arial" w:eastAsia="Arial" w:hAnsi="Arial"/>
                <w:sz w:val="25"/>
                <w:szCs w:val="25"/>
                <w:color w:val="FFFFFF"/>
              </w:rPr>
              <w:t>Suppliers in Scope</w:t>
            </w:r>
          </w:p>
        </w:tc>
        <w:tc>
          <w:tcPr>
            <w:tcW w:w="2900" w:type="dxa"/>
            <w:vAlign w:val="bottom"/>
            <w:shd w:val="clear" w:color="auto" w:fill="215273"/>
          </w:tcPr>
          <w:p>
            <w:pPr>
              <w:jc w:val="right"/>
              <w:ind w:right="1148"/>
              <w:spacing w:after="0"/>
              <w:rPr>
                <w:sz w:val="20"/>
                <w:szCs w:val="20"/>
                <w:color w:val="auto"/>
              </w:rPr>
            </w:pPr>
            <w:r>
              <w:rPr>
                <w:rFonts w:ascii="Arial" w:cs="Arial" w:eastAsia="Arial" w:hAnsi="Arial"/>
                <w:sz w:val="25"/>
                <w:szCs w:val="25"/>
                <w:color w:val="FFFFFF"/>
              </w:rPr>
              <w:t>% Responded</w:t>
            </w:r>
          </w:p>
        </w:tc>
      </w:tr>
      <w:tr>
        <w:trPr>
          <w:trHeight w:val="282"/>
        </w:trPr>
        <w:tc>
          <w:tcPr>
            <w:tcW w:w="2040" w:type="dxa"/>
            <w:vAlign w:val="bottom"/>
            <w:shd w:val="clear" w:color="auto" w:fill="F3F3F3"/>
          </w:tcPr>
          <w:p>
            <w:pPr>
              <w:ind w:left="80"/>
              <w:spacing w:after="0"/>
              <w:rPr>
                <w:sz w:val="20"/>
                <w:szCs w:val="20"/>
                <w:color w:val="auto"/>
              </w:rPr>
            </w:pPr>
            <w:r>
              <w:rPr>
                <w:rFonts w:ascii="Times New Roman" w:cs="Times New Roman" w:eastAsia="Times New Roman" w:hAnsi="Times New Roman"/>
                <w:sz w:val="22"/>
                <w:szCs w:val="22"/>
                <w:color w:val="auto"/>
              </w:rPr>
              <w:t>RY 2022</w:t>
            </w:r>
          </w:p>
        </w:tc>
        <w:tc>
          <w:tcPr>
            <w:tcW w:w="3040" w:type="dxa"/>
            <w:vAlign w:val="bottom"/>
            <w:shd w:val="clear" w:color="auto" w:fill="F3F3F3"/>
          </w:tcPr>
          <w:p>
            <w:pPr>
              <w:jc w:val="right"/>
              <w:ind w:right="1248"/>
              <w:spacing w:after="0"/>
              <w:rPr>
                <w:sz w:val="20"/>
                <w:szCs w:val="20"/>
                <w:color w:val="auto"/>
              </w:rPr>
            </w:pPr>
            <w:r>
              <w:rPr>
                <w:rFonts w:ascii="Times New Roman" w:cs="Times New Roman" w:eastAsia="Times New Roman" w:hAnsi="Times New Roman"/>
                <w:sz w:val="22"/>
                <w:szCs w:val="22"/>
                <w:color w:val="auto"/>
              </w:rPr>
              <w:t>566</w:t>
            </w:r>
          </w:p>
        </w:tc>
        <w:tc>
          <w:tcPr>
            <w:tcW w:w="2900" w:type="dxa"/>
            <w:vAlign w:val="bottom"/>
            <w:shd w:val="clear" w:color="auto" w:fill="F3F3F3"/>
          </w:tcPr>
          <w:p>
            <w:pPr>
              <w:jc w:val="right"/>
              <w:ind w:right="1128"/>
              <w:spacing w:after="0"/>
              <w:rPr>
                <w:sz w:val="20"/>
                <w:szCs w:val="20"/>
                <w:color w:val="auto"/>
              </w:rPr>
            </w:pPr>
            <w:r>
              <w:rPr>
                <w:rFonts w:ascii="Times New Roman" w:cs="Times New Roman" w:eastAsia="Times New Roman" w:hAnsi="Times New Roman"/>
                <w:sz w:val="22"/>
                <w:szCs w:val="22"/>
                <w:color w:val="auto"/>
              </w:rPr>
              <w:t>64%</w:t>
            </w:r>
          </w:p>
        </w:tc>
      </w:tr>
      <w:tr>
        <w:trPr>
          <w:trHeight w:val="283"/>
        </w:trPr>
        <w:tc>
          <w:tcPr>
            <w:tcW w:w="2040" w:type="dxa"/>
            <w:vAlign w:val="bottom"/>
            <w:shd w:val="clear" w:color="auto" w:fill="F3F3F3"/>
          </w:tcPr>
          <w:p>
            <w:pPr>
              <w:ind w:left="80"/>
              <w:spacing w:after="0"/>
              <w:rPr>
                <w:sz w:val="20"/>
                <w:szCs w:val="20"/>
                <w:color w:val="auto"/>
              </w:rPr>
            </w:pPr>
            <w:r>
              <w:rPr>
                <w:rFonts w:ascii="Times New Roman" w:cs="Times New Roman" w:eastAsia="Times New Roman" w:hAnsi="Times New Roman"/>
                <w:sz w:val="22"/>
                <w:szCs w:val="22"/>
                <w:color w:val="auto"/>
              </w:rPr>
              <w:t>RY 2023</w:t>
            </w:r>
          </w:p>
        </w:tc>
        <w:tc>
          <w:tcPr>
            <w:tcW w:w="3040" w:type="dxa"/>
            <w:vAlign w:val="bottom"/>
            <w:shd w:val="clear" w:color="auto" w:fill="F3F3F3"/>
          </w:tcPr>
          <w:p>
            <w:pPr>
              <w:jc w:val="right"/>
              <w:ind w:right="1248"/>
              <w:spacing w:after="0"/>
              <w:rPr>
                <w:sz w:val="20"/>
                <w:szCs w:val="20"/>
                <w:color w:val="auto"/>
              </w:rPr>
            </w:pPr>
            <w:r>
              <w:rPr>
                <w:rFonts w:ascii="Times New Roman" w:cs="Times New Roman" w:eastAsia="Times New Roman" w:hAnsi="Times New Roman"/>
                <w:sz w:val="22"/>
                <w:szCs w:val="22"/>
                <w:color w:val="auto"/>
              </w:rPr>
              <w:t>718</w:t>
            </w:r>
          </w:p>
        </w:tc>
        <w:tc>
          <w:tcPr>
            <w:tcW w:w="2900" w:type="dxa"/>
            <w:vAlign w:val="bottom"/>
            <w:shd w:val="clear" w:color="auto" w:fill="F3F3F3"/>
          </w:tcPr>
          <w:p>
            <w:pPr>
              <w:jc w:val="right"/>
              <w:ind w:right="1128"/>
              <w:spacing w:after="0"/>
              <w:rPr>
                <w:sz w:val="20"/>
                <w:szCs w:val="20"/>
                <w:color w:val="auto"/>
              </w:rPr>
            </w:pPr>
            <w:r>
              <w:rPr>
                <w:rFonts w:ascii="Times New Roman" w:cs="Times New Roman" w:eastAsia="Times New Roman" w:hAnsi="Times New Roman"/>
                <w:sz w:val="22"/>
                <w:szCs w:val="22"/>
                <w:color w:val="auto"/>
              </w:rPr>
              <w:t>65%</w:t>
            </w:r>
          </w:p>
        </w:tc>
      </w:tr>
      <w:tr>
        <w:trPr>
          <w:trHeight w:val="283"/>
        </w:trPr>
        <w:tc>
          <w:tcPr>
            <w:tcW w:w="2040" w:type="dxa"/>
            <w:vAlign w:val="bottom"/>
            <w:shd w:val="clear" w:color="auto" w:fill="F3F3F3"/>
          </w:tcPr>
          <w:p>
            <w:pPr>
              <w:ind w:left="80"/>
              <w:spacing w:after="0"/>
              <w:rPr>
                <w:sz w:val="20"/>
                <w:szCs w:val="20"/>
                <w:color w:val="auto"/>
              </w:rPr>
            </w:pPr>
            <w:r>
              <w:rPr>
                <w:rFonts w:ascii="Times New Roman" w:cs="Times New Roman" w:eastAsia="Times New Roman" w:hAnsi="Times New Roman"/>
                <w:sz w:val="22"/>
                <w:szCs w:val="22"/>
                <w:color w:val="auto"/>
              </w:rPr>
              <w:t>RY 2024</w:t>
            </w:r>
          </w:p>
        </w:tc>
        <w:tc>
          <w:tcPr>
            <w:tcW w:w="3040" w:type="dxa"/>
            <w:vAlign w:val="bottom"/>
            <w:shd w:val="clear" w:color="auto" w:fill="F3F3F3"/>
          </w:tcPr>
          <w:p>
            <w:pPr>
              <w:jc w:val="right"/>
              <w:ind w:right="1248"/>
              <w:spacing w:after="0"/>
              <w:rPr>
                <w:sz w:val="20"/>
                <w:szCs w:val="20"/>
                <w:color w:val="auto"/>
              </w:rPr>
            </w:pPr>
            <w:r>
              <w:rPr>
                <w:rFonts w:ascii="Times New Roman" w:cs="Times New Roman" w:eastAsia="Times New Roman" w:hAnsi="Times New Roman"/>
                <w:sz w:val="22"/>
                <w:szCs w:val="22"/>
                <w:color w:val="auto"/>
              </w:rPr>
              <w:t>648</w:t>
            </w:r>
          </w:p>
        </w:tc>
        <w:tc>
          <w:tcPr>
            <w:tcW w:w="2900" w:type="dxa"/>
            <w:vAlign w:val="bottom"/>
            <w:shd w:val="clear" w:color="auto" w:fill="F3F3F3"/>
          </w:tcPr>
          <w:p>
            <w:pPr>
              <w:jc w:val="right"/>
              <w:ind w:right="1128"/>
              <w:spacing w:after="0"/>
              <w:rPr>
                <w:sz w:val="20"/>
                <w:szCs w:val="20"/>
                <w:color w:val="auto"/>
              </w:rPr>
            </w:pPr>
            <w:r>
              <w:rPr>
                <w:rFonts w:ascii="Times New Roman" w:cs="Times New Roman" w:eastAsia="Times New Roman" w:hAnsi="Times New Roman"/>
                <w:sz w:val="22"/>
                <w:szCs w:val="22"/>
                <w:color w:val="auto"/>
              </w:rPr>
              <w:t>70%</w:t>
            </w:r>
          </w:p>
        </w:tc>
      </w:tr>
      <w:tr>
        <w:trPr>
          <w:trHeight w:val="285"/>
        </w:trPr>
        <w:tc>
          <w:tcPr>
            <w:tcW w:w="2040" w:type="dxa"/>
            <w:vAlign w:val="bottom"/>
            <w:shd w:val="clear" w:color="auto" w:fill="F3F3F3"/>
          </w:tcPr>
          <w:p>
            <w:pPr>
              <w:ind w:left="80"/>
              <w:spacing w:after="0"/>
              <w:rPr>
                <w:sz w:val="20"/>
                <w:szCs w:val="20"/>
                <w:color w:val="auto"/>
              </w:rPr>
            </w:pPr>
            <w:r>
              <w:rPr>
                <w:rFonts w:ascii="Times New Roman" w:cs="Times New Roman" w:eastAsia="Times New Roman" w:hAnsi="Times New Roman"/>
                <w:sz w:val="22"/>
                <w:szCs w:val="22"/>
                <w:color w:val="auto"/>
              </w:rPr>
              <w:t>RY 2025</w:t>
            </w:r>
          </w:p>
        </w:tc>
        <w:tc>
          <w:tcPr>
            <w:tcW w:w="3040" w:type="dxa"/>
            <w:vAlign w:val="bottom"/>
            <w:shd w:val="clear" w:color="auto" w:fill="F3F3F3"/>
          </w:tcPr>
          <w:p>
            <w:pPr>
              <w:jc w:val="right"/>
              <w:ind w:right="1248"/>
              <w:spacing w:after="0"/>
              <w:rPr>
                <w:sz w:val="20"/>
                <w:szCs w:val="20"/>
                <w:color w:val="auto"/>
              </w:rPr>
            </w:pPr>
            <w:r>
              <w:rPr>
                <w:rFonts w:ascii="Times New Roman" w:cs="Times New Roman" w:eastAsia="Times New Roman" w:hAnsi="Times New Roman"/>
                <w:sz w:val="22"/>
                <w:szCs w:val="22"/>
                <w:color w:val="auto"/>
              </w:rPr>
              <w:t>579</w:t>
            </w:r>
          </w:p>
        </w:tc>
        <w:tc>
          <w:tcPr>
            <w:tcW w:w="2900" w:type="dxa"/>
            <w:vAlign w:val="bottom"/>
            <w:shd w:val="clear" w:color="auto" w:fill="F3F3F3"/>
          </w:tcPr>
          <w:p>
            <w:pPr>
              <w:jc w:val="right"/>
              <w:ind w:right="1128"/>
              <w:spacing w:after="0"/>
              <w:rPr>
                <w:sz w:val="20"/>
                <w:szCs w:val="20"/>
                <w:color w:val="auto"/>
              </w:rPr>
            </w:pPr>
            <w:r>
              <w:rPr>
                <w:rFonts w:ascii="Times New Roman" w:cs="Times New Roman" w:eastAsia="Times New Roman" w:hAnsi="Times New Roman"/>
                <w:sz w:val="22"/>
                <w:szCs w:val="22"/>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5074920" cy="72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49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80"/>
        <w:spacing w:after="0"/>
        <w:rPr>
          <w:sz w:val="20"/>
          <w:szCs w:val="20"/>
          <w:color w:val="auto"/>
        </w:rPr>
      </w:pPr>
      <w:r>
        <w:rPr>
          <w:rFonts w:ascii="Arial" w:cs="Arial" w:eastAsia="Arial" w:hAnsi="Arial"/>
          <w:sz w:val="19"/>
          <w:szCs w:val="19"/>
          <w:b w:val="1"/>
          <w:bCs w:val="1"/>
          <w:color w:val="auto"/>
        </w:rPr>
        <w:t>Page 3 of 27</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below metrics provide a summary of the data collected, number of suppliers in scope and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171450</wp:posOffset>
            </wp:positionV>
            <wp:extent cx="4397375" cy="6969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97375" cy="696912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80"/>
        <w:spacing w:after="0"/>
        <w:rPr>
          <w:sz w:val="20"/>
          <w:szCs w:val="20"/>
          <w:color w:val="auto"/>
        </w:rPr>
      </w:pPr>
      <w:r>
        <w:rPr>
          <w:rFonts w:ascii="Arial" w:cs="Arial" w:eastAsia="Arial" w:hAnsi="Arial"/>
          <w:sz w:val="19"/>
          <w:szCs w:val="19"/>
          <w:b w:val="1"/>
          <w:bCs w:val="1"/>
          <w:color w:val="auto"/>
        </w:rPr>
        <w:t>Page 4 of 27</w:t>
      </w:r>
    </w:p>
    <w:p>
      <w:pPr>
        <w:sectPr>
          <w:pgSz w:w="11900" w:h="16838" w:orient="portrait"/>
          <w:cols w:equalWidth="0" w:num="1">
            <w:col w:w="11240"/>
          </w:cols>
          <w:pgMar w:left="320" w:top="143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below summarizes the status of the smelters or refiners, the level of risk and top source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4920615" cy="5040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20615"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5 of 27</w:t>
      </w:r>
    </w:p>
    <w:p>
      <w:pPr>
        <w:sectPr>
          <w:pgSz w:w="11900" w:h="16838" w:orient="portrait"/>
          <w:cols w:equalWidth="0" w:num="1">
            <w:col w:w="11240"/>
          </w:cols>
          <w:pgMar w:left="320" w:top="1431"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4783455" cy="2708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78345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Design of Due Diligence</w:t>
      </w:r>
    </w:p>
    <w:p>
      <w:pPr>
        <w:spacing w:after="0" w:line="25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Powell’s due diligence measures have been designed to conform, in all material respects, with the framework in the Organization for Economic Co-operation and Development (“OECD”) Guidance and related supplements. The program aligns with the five steps for due diligence that are described by the OECD Guidance and Powell continues to evaluate market expectations for data collection and reporting to achieve continuous improvement opportunities.</w:t>
      </w:r>
    </w:p>
    <w:p>
      <w:pPr>
        <w:spacing w:after="0" w:line="17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Due diligence requires Powell’s necessary reliance on data provided by direct suppliers and third-party audit programs. There is a risk of incomplete or inaccurate data.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Performed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5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 Strong Powell Management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due diligence framework and compliance efforts:</w:t>
      </w:r>
    </w:p>
    <w:p>
      <w:pPr>
        <w:spacing w:after="0" w:line="293" w:lineRule="exact"/>
        <w:rPr>
          <w:sz w:val="20"/>
          <w:szCs w:val="20"/>
          <w:color w:val="auto"/>
        </w:rPr>
      </w:pPr>
    </w:p>
    <w:p>
      <w:pPr>
        <w:jc w:val="both"/>
        <w:ind w:left="1200" w:right="80" w:hanging="755"/>
        <w:spacing w:after="0" w:line="306" w:lineRule="auto"/>
        <w:tabs>
          <w:tab w:leader="none" w:pos="12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communicated to our in-scope suppliers our efforts to comply with Section 1502 of the Dodd-Frank Act pursuant to a compliance statement, supplier code of conduct and other communications (together, the “Compliance Statement”). We requested that our</w:t>
      </w:r>
    </w:p>
    <w:p>
      <w:pPr>
        <w:spacing w:after="0" w:line="1" w:lineRule="exact"/>
        <w:rPr>
          <w:rFonts w:ascii="Times New Roman" w:cs="Times New Roman" w:eastAsia="Times New Roman" w:hAnsi="Times New Roman"/>
          <w:sz w:val="17"/>
          <w:szCs w:val="17"/>
          <w:color w:val="auto"/>
        </w:rPr>
      </w:pPr>
    </w:p>
    <w:p>
      <w:pPr>
        <w:jc w:val="both"/>
        <w:ind w:left="1200" w:right="8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in-scope suppliers provide a comprehensive conflict minerals declaration for all conflict minerals in the form of the CMRT version 6.4 or higher. We provide our Compliance Statement to all new suppliers and for existing suppliers, communicate the Compliance Statement as part of the business review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6 of 27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13" w:lineRule="exact"/>
        <w:rPr>
          <w:sz w:val="20"/>
          <w:szCs w:val="20"/>
          <w:color w:val="auto"/>
        </w:rPr>
      </w:pPr>
    </w:p>
    <w:p>
      <w:pPr>
        <w:ind w:left="1160" w:hanging="715"/>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internal compliance efforts, including internal reporting requirements, to support our supply chain due diligence process.</w:t>
      </w:r>
    </w:p>
    <w:p>
      <w:pPr>
        <w:spacing w:after="0" w:line="171" w:lineRule="exact"/>
        <w:rPr>
          <w:rFonts w:ascii="Times New Roman" w:cs="Times New Roman" w:eastAsia="Times New Roman" w:hAnsi="Times New Roman"/>
          <w:sz w:val="18"/>
          <w:szCs w:val="18"/>
          <w:color w:val="auto"/>
        </w:rPr>
      </w:pPr>
    </w:p>
    <w:p>
      <w:pPr>
        <w:jc w:val="both"/>
        <w:ind w:left="1200" w:right="80" w:hanging="755"/>
        <w:spacing w:after="0" w:line="305"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 risk mitigation response plan to address business relationships with suppliers that are DRC conflict undeterminable (as defined in Item 1.01(d)(5) of Form SD). Our program includes continuous monitoring to adjust our strategies as sourcing data improves and new information is received.</w:t>
      </w:r>
    </w:p>
    <w:p>
      <w:pPr>
        <w:spacing w:after="0" w:line="31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Powell has adopted a company policy with respect to conflict minerals which is posted on our website at powellind.com, under the Supply Chain section, named "Conflict Minerals Statement" (Conflict-Minerals-Policy.pdf). In addition, the Supplier Code of Conduct emphasizes the requirement that suppliers exercise due diligence in sourcing.</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Powell has established a management system for conflict minerals. Our management system is sponsored by the Chief Financial Officer as well as executive-level representatives and a team of subject matter experts from relevant functions, such as our Strategic Sourcing Manager, Corporate Controller, Vice President of Research and Product Development, Trade Compliance and Category Managers.</w:t>
      </w:r>
    </w:p>
    <w:p>
      <w:pPr>
        <w:spacing w:after="0" w:line="1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team of subject matter experts is responsible for implementing our conflict minerals compliance strategy and senior management is briefed about the results of our due diligence efforts.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Systems</w:t>
      </w:r>
    </w:p>
    <w:p>
      <w:pPr>
        <w:spacing w:after="0" w:line="2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Controls include, but are not limited to, our code of conduct which outlines expected behaviors for all Powell employees and a conflict minerals policy which can be found on our website under the section entitled "Supply Chain." We rely on our direct suppliers to provide information on the origin of the 3TG contained in components and materials supplied to us – including sources of 3TG that are supplied to them from lower tier suppliers. Contracts with our suppliers are frequently in force for three to five years or more and we cannot unilaterally impose new contract terms and flow-down requirements. As we enter into new contracts, or our contracts renew, we are adding a clause to require suppliers to provide information about the source of 3TG and smelters. It will take a number of years to ensure that all our supplier contracts contain appropriate flow-down clauses. In the meantime, as described below, we are working with selected suppliers to ensure they provide the 3TG sourcing information until the contracts can be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With respect to the OECD requirement to strengthen engagement with suppliers, we have, through Assent, provided education on the conflict minerals regulation. We have leveraged the existing communications within the Company, specifically the procurement department, to encourage supplier interactions with Assent as well as to help suppliers understand the requirement for completion of their CMRTs. Feedback from this engagement has allowed us to enhance the training and focus and adapt it to each user’s needs. It has also allowed for our supplier communications to be more focused and to clarify expectations.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Grievance Mechanisms</w:t>
      </w:r>
    </w:p>
    <w:p>
      <w:pPr>
        <w:spacing w:after="0" w:line="26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We have multiple longstanding grievance mechanisms whereby employees, contractors, suppliers and agents can report violations of Powell’s policies. There are established escalation protocols for reporting grievances internally,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7 of 27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as well as the EthicsPoint hotline, which is independently managed. Our ethics and reporting Hotline can be found at powellind.ethicspoint.com. Any violations are reported to the Corporate Compliance Officer.</w:t>
      </w:r>
    </w:p>
    <w:p>
      <w:pPr>
        <w:spacing w:after="0" w:line="14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Violations or grievances at the industry level can be reported to the RMI directly as well. This can be done at http://www.responsiblemineralsinitiative.org/responsible-minerals-assurance-process/grievance-mechanism/</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Records Maintenance</w:t>
      </w:r>
    </w:p>
    <w:p>
      <w:pPr>
        <w:spacing w:after="0" w:line="25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Powell has adopted a policy to retain relevant documentation for a period of five years. Through Assent, a document retention policy has been implemented to retain conflict minerals related documents, including supplier responses to CMRTs and the sources identified within each reporting period. Powell stores all of the information and findings from this process in a shared database that can be audited by internal or external parties.</w:t>
      </w:r>
    </w:p>
    <w:p>
      <w:pPr>
        <w:spacing w:after="0" w:line="318"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and Assess Risks in Our Supply Chain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Risk Evaluation</w:t>
      </w:r>
    </w:p>
    <w:p>
      <w:pPr>
        <w:spacing w:after="0" w:line="20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were assessed by their declaration responses on a CMRT, which the Assent Compliance Manager identifies automatically based on established criteria. These risks are addressed by Assent staff and members of the Company’s internal Conflict Minerals Team, who engage with suppliers to gather pertinent data and ask for corrective actions if needed, performing an overall assessment of the supplier’s conformity status, which is referred to as “conflict minerals status.”</w:t>
      </w:r>
    </w:p>
    <w:p>
      <w:pPr>
        <w:spacing w:after="0" w:line="10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is submitted, Powell is unable to determine if all of the specified smelters/refiners were used for 3TGs in the products supplied to the Company.</w:t>
      </w:r>
    </w:p>
    <w:p>
      <w:pPr>
        <w:spacing w:after="0" w:line="9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auto"/>
        </w:rPr>
        <w:t xml:space="preserve">Assent’s supplier risk assessment (flagging suppliers’ risk as </w:t>
      </w:r>
      <w:r>
        <w:rPr>
          <w:rFonts w:ascii="Times New Roman" w:cs="Times New Roman" w:eastAsia="Times New Roman" w:hAnsi="Times New Roman"/>
          <w:sz w:val="18"/>
          <w:szCs w:val="18"/>
          <w:i w:val="1"/>
          <w:iCs w:val="1"/>
          <w:color w:val="auto"/>
        </w:rPr>
        <w:t>high, medium, low</w:t>
      </w:r>
      <w:r>
        <w:rPr>
          <w:rFonts w:ascii="Times New Roman" w:cs="Times New Roman" w:eastAsia="Times New Roman" w:hAnsi="Times New Roman"/>
          <w:sz w:val="18"/>
          <w:szCs w:val="18"/>
          <w:color w:val="auto"/>
        </w:rPr>
        <w:t>) identifies problematic suppliers in a company’s supply chain. The risk assessment is derived from the smelter validation process, which establishes risk at the smelter level via an analysis that takes into account multiple conflict minerals factors.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Smelter Risk Evaluation</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into the list of smelters/refiners consolidated by the RMI to ensure that the facilities met the recognized definition of a 3TGs processing facility that was operational during the 2025 calendar year.</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Powell does not have a direct relationship with smelters/refiners, and does not perform direct audits of these entities within their pre-supply chain. 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8 of 27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suppliers reporting these facilities. Smelters/refiners are actively monitored to proactively identify other risks pertaining to conflict minerals.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 uses numerous factors to determine the level of risk that each smelter poses to the supply chain by identifying red flags. These factors include:</w:t>
      </w:r>
    </w:p>
    <w:p>
      <w:pPr>
        <w:spacing w:after="0" w:line="252" w:lineRule="exact"/>
        <w:rPr>
          <w:sz w:val="20"/>
          <w:szCs w:val="20"/>
          <w:color w:val="auto"/>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Geographic proximity to Conflict-Affected and High-Risk Areas.</w:t>
      </w:r>
    </w:p>
    <w:p>
      <w:pPr>
        <w:spacing w:after="0" w:line="225" w:lineRule="exact"/>
        <w:rPr>
          <w:rFonts w:ascii="MS PGothic" w:cs="MS PGothic" w:eastAsia="MS PGothic" w:hAnsi="MS PGothic"/>
          <w:sz w:val="18"/>
          <w:szCs w:val="18"/>
          <w:color w:val="00A398"/>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Known mineral source country of origin.</w:t>
      </w:r>
    </w:p>
    <w:p>
      <w:pPr>
        <w:spacing w:after="0" w:line="225" w:lineRule="exact"/>
        <w:rPr>
          <w:rFonts w:ascii="MS PGothic" w:cs="MS PGothic" w:eastAsia="MS PGothic" w:hAnsi="MS PGothic"/>
          <w:sz w:val="18"/>
          <w:szCs w:val="18"/>
          <w:color w:val="00A398"/>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RMAP audit status.</w:t>
      </w:r>
    </w:p>
    <w:p>
      <w:pPr>
        <w:spacing w:after="0" w:line="225" w:lineRule="exact"/>
        <w:rPr>
          <w:rFonts w:ascii="MS PGothic" w:cs="MS PGothic" w:eastAsia="MS PGothic" w:hAnsi="MS PGothic"/>
          <w:sz w:val="18"/>
          <w:szCs w:val="18"/>
          <w:color w:val="00A398"/>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Credible evidence of unethical or conflict sourcing.</w:t>
      </w:r>
    </w:p>
    <w:p>
      <w:pPr>
        <w:spacing w:after="0" w:line="225" w:lineRule="exact"/>
        <w:rPr>
          <w:rFonts w:ascii="MS PGothic" w:cs="MS PGothic" w:eastAsia="MS PGothic" w:hAnsi="MS PGothic"/>
          <w:sz w:val="18"/>
          <w:szCs w:val="18"/>
          <w:color w:val="00A398"/>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Peer assessments conducted by credible third-party sources.</w:t>
      </w:r>
    </w:p>
    <w:p>
      <w:pPr>
        <w:spacing w:after="0" w:line="225" w:lineRule="exact"/>
        <w:rPr>
          <w:rFonts w:ascii="MS PGothic" w:cs="MS PGothic" w:eastAsia="MS PGothic" w:hAnsi="MS PGothic"/>
          <w:sz w:val="18"/>
          <w:szCs w:val="18"/>
          <w:color w:val="00A398"/>
        </w:rPr>
      </w:pPr>
    </w:p>
    <w:p>
      <w:pPr>
        <w:ind w:left="700" w:hanging="368"/>
        <w:spacing w:after="0"/>
        <w:tabs>
          <w:tab w:leader="none" w:pos="700" w:val="left"/>
        </w:tabs>
        <w:numPr>
          <w:ilvl w:val="0"/>
          <w:numId w:val="8"/>
        </w:numPr>
        <w:rPr>
          <w:rFonts w:ascii="MS PGothic" w:cs="MS PGothic" w:eastAsia="MS PGothic" w:hAnsi="MS PGothic"/>
          <w:sz w:val="18"/>
          <w:szCs w:val="18"/>
          <w:color w:val="00A398"/>
        </w:rPr>
      </w:pPr>
      <w:r>
        <w:rPr>
          <w:rFonts w:ascii="Times New Roman" w:cs="Times New Roman" w:eastAsia="Times New Roman" w:hAnsi="Times New Roman"/>
          <w:sz w:val="18"/>
          <w:szCs w:val="18"/>
          <w:color w:val="auto"/>
        </w:rPr>
        <w:t>Sanctions risks</w:t>
      </w:r>
    </w:p>
    <w:p>
      <w:pPr>
        <w:spacing w:after="0" w:line="2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product-specific CMRT to better identify the connection to products that they supply to Powell. </w:t>
      </w:r>
      <w:r>
        <w:rPr>
          <w:rFonts w:ascii="Times New Roman" w:cs="Times New Roman" w:eastAsia="Times New Roman" w:hAnsi="Times New Roman"/>
          <w:sz w:val="18"/>
          <w:szCs w:val="18"/>
          <w:b w:val="1"/>
          <w:bCs w:val="1"/>
          <w:color w:val="auto"/>
        </w:rPr>
        <w:t>Additional escalation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been necessary to address any continued sourcing from these smelters of concern. </w:t>
      </w:r>
      <w:r>
        <w:rPr>
          <w:rFonts w:ascii="Times New Roman" w:cs="Times New Roman" w:eastAsia="Times New Roman" w:hAnsi="Times New Roman"/>
          <w:sz w:val="18"/>
          <w:szCs w:val="18"/>
          <w:color w:val="auto"/>
        </w:rPr>
        <w:t>Suppliers are given clear performance objectives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timeframes with the ultimate goal of progressive elimination of these smelters of concern from the supply chain.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93"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311" w:lineRule="exact"/>
        <w:rPr>
          <w:sz w:val="20"/>
          <w:szCs w:val="20"/>
          <w:color w:val="auto"/>
        </w:rPr>
      </w:pPr>
    </w:p>
    <w:p>
      <w:pPr>
        <w:ind w:left="480" w:hanging="454"/>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 and Implement a Strategy to Respond to Risks</w:t>
      </w:r>
    </w:p>
    <w:p>
      <w:pPr>
        <w:spacing w:after="0" w:line="1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Together with Assent, Powell developed processes to assess and respond to the risks identified in the supply chain. Powell has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pacing w:after="0" w:line="2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the Company will assess if replacing that supplier is feasible. The results of the program and risk assessment are shared with the Conflict Minerals Team and the Powell’s Leadership Team to ensure transparency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9 of 27</w:t>
      </w:r>
    </w:p>
    <w:p>
      <w:pPr>
        <w:sectPr>
          <w:pgSz w:w="11900" w:h="16838" w:orient="portrait"/>
          <w:cols w:equalWidth="0" w:num="1">
            <w:col w:w="11240"/>
          </w:cols>
          <w:pgMar w:left="320" w:top="1440" w:right="339" w:bottom="1440" w:gutter="0" w:footer="0" w:header="0"/>
        </w:sectPr>
      </w:pPr>
    </w:p>
    <w:bookmarkStart w:id="14" w:name="page15"/>
    <w:bookmarkEnd w:id="14"/>
    <w:p>
      <w:pPr>
        <w:spacing w:after="0" w:line="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Because of Powell’s size, the complexity of its products, and the depth, breadth, and constant evolution of its supply chain, it is difficult to identify parties upstream from its direct suppliers. Powell continues to work with suppliers to identify the upstream sources of the 3TGs through the CMRTs, follow up on invalid responses on the CMRTs, use of a risk-based assessment of identified smelters and assessment of the conflict minerals programs of its suppliers, as described below in this Report. Information and findings from this process are stored in the Assent Sustainability Manager, a database that can be tracked and audited.</w:t>
      </w:r>
    </w:p>
    <w:p>
      <w:pPr>
        <w:spacing w:after="0" w:line="11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believe that the inquiries and investigations described above represent a reasonable effort to determine the mines or locations of origin of the 3TGs in our applicable products, including (1) seeking information about 3TG smelters and refiners in our supply chain by requesting that our suppliers complete the CMRT, (2) verifying those smelters and refiners with the expanding RMI lists, (3) conducting the due diligence review and (4) obtaining additional documentation and verification, as applicable. As mentioned above, our existing policy related to relevant documentation of our conflict mineral compliance process requires that documentation be retained for a period of at least five years.</w:t>
      </w:r>
    </w:p>
    <w:p>
      <w:pPr>
        <w:spacing w:after="0" w:line="203"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Implement Targeted Independent Third-Party Due Diligence</w:t>
      </w:r>
    </w:p>
    <w:p>
      <w:pPr>
        <w:spacing w:after="0" w:line="19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Powell does not have a direct relationship with conflict minerals smelters and refiners and, as a result, does not perform or direct audits of these entities within its supply chain. Powell captured smelter and refiner information as part of the CMRT, as some suppliers provided the names of facilities it used as smelters or refiners. Assent compared the facilities identified by the suppliers to the list of smelters maintained by the RMI.</w:t>
      </w:r>
    </w:p>
    <w:p>
      <w:pPr>
        <w:spacing w:after="0" w:line="1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 recognized audit/assessment program to encourage their participation and for those smelters/refiners already conformant to the corresponding program’s standards, Assent thanks them for their efforts on behalf of its compliance partners. Powell is a signatory of these communications in accordance with the requirements of downstream companies detailed in the OECD Guidance.</w:t>
      </w:r>
    </w:p>
    <w:p>
      <w:pPr>
        <w:spacing w:after="0" w:line="322" w:lineRule="exact"/>
        <w:rPr>
          <w:sz w:val="20"/>
          <w:szCs w:val="20"/>
          <w:color w:val="auto"/>
        </w:rPr>
      </w:pPr>
    </w:p>
    <w:p>
      <w:pPr>
        <w:ind w:left="480" w:hanging="454"/>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Annually on Supply Chain Due Diligence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responded to various customer requests for information regarding our conflict minerals determination.</w:t>
      </w:r>
    </w:p>
    <w:p>
      <w:pPr>
        <w:spacing w:after="0" w:line="25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Powell reports annually on supply chain due diligence by filing a Form SD and a Conflict Minerals Report with the SEC. This report is available on the Investor section of the Company’s website at 0000080420-25-000064 | SD | Powell Industries, Inc. Information found on or accessed through this website is not considered part of this report and is not incorporated by reference herein. We also disclose our company policy with respect to conflict minerals on our website at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under the section entitled "Supply Chain" and named as "Conflict Minerals Policy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Outreach Results</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For the 2025 reporting year, Powell received CMRT forms from 72% of the suppliers surveyed. All submitted forms are accepted and classified as valid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10 of 27</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or invalid in order to retain all data. Suppliers were contacted if they submitted invalid forms and were encouraged to resubmit a valid form. As of May 15, 2026, there were 10 invalid or incomplete supplier submissions.</w:t>
      </w:r>
    </w:p>
    <w:p>
      <w:pPr>
        <w:spacing w:after="0" w:line="18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While due diligence is ongoing and the information received continues to improve in quantity and quality, the majority of the responses received provided data at a company or divisional level or did not specify the smelters or refiners used for materials specifically supplied to us. We have decided to disclose validated smelters provided to us by our supply chain. However, we cannot definitively determine whether any of the 3TGs reported by the suppliers were contained in materials supplied to us or to validate that any of these smelters or refiners are actually in our supply chain. As a result, we are unable to identify all smelters and refiners as well as all the countries of origin of the 3TGs that are contained in the applicable products</w:t>
      </w:r>
    </w:p>
    <w:p>
      <w:pPr>
        <w:spacing w:after="0" w:line="18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As of May 15, 2026, Powell validated 333 smelters or refiners identified within its supply chain. If a supplier indicated that the facility was certified as “conflict-free,” such status was confirmed by Assent if the facility was listed by the RMI as certified.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Outreach Results &amp; Data Transparency</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w:t>
      </w:r>
    </w:p>
    <w:p>
      <w:pPr>
        <w:spacing w:after="0" w:line="20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Appendix I includes all smelters/refiners that suppliers listed in completed CMRTs that met the recognized definition of a 3TGs processing facility and were operational during the 2025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I are likely to be more comprehensive than the list of smelters/refiners which actually processed the 3TGs contained in Powell’s products.</w:t>
      </w:r>
    </w:p>
    <w:p>
      <w:pPr>
        <w:spacing w:after="0" w:line="22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Country of Origin</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Appendix II includes an aggregated list of countries of origin from which the reported facilities collectively source 3TGs, based on reasonable identification of country of origin data obtained via Assent’s supply chain database. It is understood that over-reporting might occur which could result in Appendix II having more countries than those strictly relevant to the Company’s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Improve Future Due Diligence and Supply Chain Risk Mitigation</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Powell takes the following steps to improve the due diligence conducted to further mitigate any risk that the necessary conflict minerals in its products could benefit armed groups in the Covered Countries:</w:t>
      </w:r>
    </w:p>
    <w:p>
      <w:pPr>
        <w:spacing w:after="0" w:line="68" w:lineRule="exact"/>
        <w:rPr>
          <w:sz w:val="20"/>
          <w:szCs w:val="20"/>
          <w:color w:val="auto"/>
        </w:rPr>
      </w:pPr>
    </w:p>
    <w:p>
      <w:pPr>
        <w:ind w:left="1140" w:right="20" w:hanging="322"/>
        <w:spacing w:after="0" w:line="313"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conflict minerals policy statement on website and specified requirements in standard terms and conditions for any new or renewed supplier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11 of 27</w:t>
      </w:r>
    </w:p>
    <w:p>
      <w:pPr>
        <w:sectPr>
          <w:pgSz w:w="11900" w:h="16838" w:orient="portrait"/>
          <w:cols w:equalWidth="0" w:num="1">
            <w:col w:w="11240"/>
          </w:cols>
          <w:pgMar w:left="320" w:top="1440" w:right="339" w:bottom="1440" w:gutter="0" w:footer="0" w:header="0"/>
        </w:sectPr>
      </w:pPr>
    </w:p>
    <w:bookmarkStart w:id="16" w:name="page17"/>
    <w:bookmarkEnd w:id="16"/>
    <w:p>
      <w:pPr>
        <w:ind w:left="1140" w:hanging="322"/>
        <w:spacing w:after="0" w:line="329"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existing suppliers must certify compliance with Powell’s Supplier Code of Conduct and Ethics, which includes due diligence for Responsible Sourcing and Fair Labor Standards (requirement implemented in June 2022).</w:t>
      </w:r>
    </w:p>
    <w:p>
      <w:pPr>
        <w:spacing w:after="0" w:line="40" w:lineRule="exact"/>
        <w:rPr>
          <w:rFonts w:ascii="Times New Roman" w:cs="Times New Roman" w:eastAsia="Times New Roman" w:hAnsi="Times New Roman"/>
          <w:sz w:val="18"/>
          <w:szCs w:val="18"/>
          <w:color w:val="auto"/>
        </w:rPr>
      </w:pPr>
    </w:p>
    <w:p>
      <w:pPr>
        <w:ind w:left="1140" w:hanging="316"/>
        <w:spacing w:after="0" w:line="329"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engagement with suppliers and direct them to training resources to increase the response rate and improve the content of the supplier survey responses.</w:t>
      </w:r>
    </w:p>
    <w:p>
      <w:pPr>
        <w:spacing w:after="0" w:line="40" w:lineRule="exact"/>
        <w:rPr>
          <w:rFonts w:ascii="Times New Roman" w:cs="Times New Roman" w:eastAsia="Times New Roman" w:hAnsi="Times New Roman"/>
          <w:sz w:val="18"/>
          <w:szCs w:val="18"/>
          <w:color w:val="auto"/>
        </w:rPr>
      </w:pPr>
    </w:p>
    <w:p>
      <w:pPr>
        <w:ind w:left="1140" w:hanging="316"/>
        <w:spacing w:after="0" w:line="329"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any suppliers found to be supplying Powell with conflict minerals to establish an alternative source of conflict minerals that does not support the conflict in the Covered Countries.</w:t>
      </w:r>
    </w:p>
    <w:p>
      <w:pPr>
        <w:spacing w:after="0" w:line="40" w:lineRule="exact"/>
        <w:rPr>
          <w:rFonts w:ascii="Times New Roman" w:cs="Times New Roman" w:eastAsia="Times New Roman" w:hAnsi="Times New Roman"/>
          <w:sz w:val="18"/>
          <w:szCs w:val="18"/>
          <w:color w:val="auto"/>
        </w:rPr>
      </w:pPr>
    </w:p>
    <w:p>
      <w:pPr>
        <w:ind w:left="1140" w:hanging="31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improve best practices and build leverage over its supply chain in accordance with the OECD Guidance.</w:t>
      </w:r>
    </w:p>
    <w:p>
      <w:pPr>
        <w:spacing w:after="0" w:line="157" w:lineRule="exact"/>
        <w:rPr>
          <w:rFonts w:ascii="Times New Roman" w:cs="Times New Roman" w:eastAsia="Times New Roman" w:hAnsi="Times New Roman"/>
          <w:sz w:val="18"/>
          <w:szCs w:val="18"/>
          <w:color w:val="auto"/>
        </w:rPr>
      </w:pPr>
    </w:p>
    <w:p>
      <w:pPr>
        <w:ind w:left="1140" w:hanging="316"/>
        <w:spacing w:after="0" w:line="313"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Risk Evaluation through Assent, comprehensive and ongoing analysis is conducted by their smelter library manager to assess sourcing risk. The information is then used to provide supplier feedback and conduct outreach with higher risk suppliers.</w:t>
      </w:r>
    </w:p>
    <w:p>
      <w:pPr>
        <w:spacing w:after="0" w:line="67" w:lineRule="exact"/>
        <w:rPr>
          <w:rFonts w:ascii="Times New Roman" w:cs="Times New Roman" w:eastAsia="Times New Roman" w:hAnsi="Times New Roman"/>
          <w:sz w:val="18"/>
          <w:szCs w:val="18"/>
          <w:color w:val="auto"/>
        </w:rPr>
      </w:pPr>
    </w:p>
    <w:p>
      <w:pPr>
        <w:ind w:left="1140" w:hanging="316"/>
        <w:spacing w:after="0" w:line="313"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365"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Based on its due diligence process as of the date of this Report, Powell has found no instances where it was necessary to terminate a supplier contract or to find a replacement supply of any conflict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12 of 27</w:t>
      </w:r>
    </w:p>
    <w:p>
      <w:pPr>
        <w:sectPr>
          <w:pgSz w:w="11900" w:h="16838" w:orient="portrait"/>
          <w:cols w:equalWidth="0" w:num="1">
            <w:col w:w="11240"/>
          </w:cols>
          <w:pgMar w:left="320" w:top="1431" w:right="339" w:bottom="1440" w:gutter="0" w:footer="0" w:header="0"/>
        </w:sectPr>
      </w:pPr>
    </w:p>
    <w:bookmarkStart w:id="17" w:name="page18"/>
    <w:bookmarkEnd w:id="1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I: Smelter List</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spacing w:after="0"/>
              <w:rPr>
                <w:sz w:val="24"/>
                <w:szCs w:val="24"/>
                <w:color w:val="auto"/>
              </w:rPr>
            </w:pPr>
          </w:p>
        </w:tc>
        <w:tc>
          <w:tcPr>
            <w:tcW w:w="592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Smelter Facility</w:t>
            </w:r>
          </w:p>
        </w:tc>
        <w:tc>
          <w:tcPr>
            <w:tcW w:w="1900" w:type="dxa"/>
            <w:vAlign w:val="bottom"/>
            <w:tcBorders>
              <w:top w:val="single" w:sz="8" w:color="auto"/>
              <w:right w:val="single" w:sz="8" w:color="auto"/>
            </w:tcBorders>
          </w:tcPr>
          <w:p>
            <w:pPr>
              <w:spacing w:after="0"/>
              <w:rPr>
                <w:sz w:val="24"/>
                <w:szCs w:val="24"/>
                <w:color w:val="auto"/>
              </w:rPr>
            </w:pPr>
          </w:p>
        </w:tc>
      </w:tr>
      <w:tr>
        <w:trPr>
          <w:trHeight w:val="283"/>
        </w:trPr>
        <w:tc>
          <w:tcPr>
            <w:tcW w:w="164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592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20"/>
                <w:szCs w:val="20"/>
                <w:b w:val="1"/>
                <w:bCs w:val="1"/>
                <w:color w:val="auto"/>
              </w:rPr>
              <w:t>Smelter Name</w:t>
            </w:r>
          </w:p>
        </w:tc>
        <w:tc>
          <w:tcPr>
            <w:tcW w:w="18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19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0"/>
                <w:szCs w:val="20"/>
                <w:b w:val="1"/>
                <w:bCs w:val="1"/>
                <w:color w:val="auto"/>
              </w:rPr>
              <w:t>Smelter ID</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 Vinto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CID000438</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(Plurinational State</w:t>
            </w:r>
          </w:p>
        </w:tc>
        <w:tc>
          <w:tcPr>
            <w:tcW w:w="1900" w:type="dxa"/>
            <w:vAlign w:val="bottom"/>
            <w:tcBorders>
              <w:right w:val="single" w:sz="8" w:color="auto"/>
            </w:tcBorders>
          </w:tcPr>
          <w:p>
            <w:pPr>
              <w:spacing w:after="0"/>
              <w:rPr>
                <w:sz w:val="24"/>
                <w:szCs w:val="24"/>
                <w:color w:val="auto"/>
              </w:rPr>
            </w:pPr>
          </w:p>
        </w:tc>
      </w:tr>
      <w:tr>
        <w:trPr>
          <w:trHeight w:val="297"/>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Of)</w:t>
            </w:r>
          </w:p>
        </w:tc>
        <w:tc>
          <w:tcPr>
            <w:tcW w:w="1900" w:type="dxa"/>
            <w:vAlign w:val="bottom"/>
            <w:tcBorders>
              <w:right w:val="single" w:sz="8" w:color="auto"/>
            </w:tcBorders>
          </w:tcPr>
          <w:p>
            <w:pPr>
              <w:spacing w:after="0"/>
              <w:rPr>
                <w:sz w:val="24"/>
                <w:szCs w:val="24"/>
                <w:color w:val="auto"/>
              </w:rPr>
            </w:pPr>
          </w:p>
        </w:tc>
      </w:tr>
      <w:tr>
        <w:trPr>
          <w:trHeight w:val="62"/>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592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Fenix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CID000468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Tin Group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CID001070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CID001173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Minsur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CID001337</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(Plurinational State</w:t>
            </w:r>
          </w:p>
        </w:tc>
        <w:tc>
          <w:tcPr>
            <w:tcW w:w="1900" w:type="dxa"/>
            <w:vAlign w:val="bottom"/>
            <w:tcBorders>
              <w:right w:val="single" w:sz="8" w:color="auto"/>
            </w:tcBorders>
          </w:tcPr>
          <w:p>
            <w:pPr>
              <w:spacing w:after="0"/>
              <w:rPr>
                <w:sz w:val="24"/>
                <w:szCs w:val="24"/>
                <w:color w:val="auto"/>
              </w:rPr>
            </w:pPr>
          </w:p>
        </w:tc>
      </w:tr>
      <w:tr>
        <w:trPr>
          <w:trHeight w:val="297"/>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Of)</w:t>
            </w:r>
          </w:p>
        </w:tc>
        <w:tc>
          <w:tcPr>
            <w:tcW w:w="1900" w:type="dxa"/>
            <w:vAlign w:val="bottom"/>
            <w:tcBorders>
              <w:right w:val="single" w:sz="8" w:color="auto"/>
            </w:tcBorders>
          </w:tcPr>
          <w:p>
            <w:pPr>
              <w:spacing w:after="0"/>
              <w:rPr>
                <w:sz w:val="24"/>
                <w:szCs w:val="24"/>
                <w:color w:val="auto"/>
              </w:rPr>
            </w:pPr>
          </w:p>
        </w:tc>
      </w:tr>
      <w:tr>
        <w:trPr>
          <w:trHeight w:val="62"/>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592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Stania Prima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CID001453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Kundur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CID001477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Mentok</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CID001482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Thaisarco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CID001898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Beerse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CID002773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Berango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CID002774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A.L.M.T.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CID000004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Advanced Chemical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CID000015</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Agosi AG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CID000035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CID000041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Argor-Heraeus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CID000077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Pretec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CID000090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Huntsville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CID000105</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CID000113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13 of 27</w:t>
      </w:r>
    </w:p>
    <w:p>
      <w:pPr>
        <w:sectPr>
          <w:pgSz w:w="11900" w:h="16838" w:orient="portrait"/>
          <w:cols w:equalWidth="0" w:num="1">
            <w:col w:w="11260"/>
          </w:cols>
          <w:pgMar w:left="320" w:top="1440" w:right="319" w:bottom="1440" w:gutter="0" w:footer="0" w:header="0"/>
          <w:type w:val="continuous"/>
        </w:sectPr>
      </w:pPr>
    </w:p>
    <w:bookmarkStart w:id="18" w:name="page19"/>
    <w:bookmarkEnd w:id="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CID000128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Boliden Ronnskar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CID000157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Hafner GmbH + Co. KG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CID000176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Caridad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CID000180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CID000185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Cendres + Metaux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CID000189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Copper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CID000197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CID000218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CID000228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Chimet S.p.A.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CID000233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Chugai Mining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CID000264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CID000291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CID000292</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CID000309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Daye Non-Ferrous Metals Mining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CID000343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DSC (Do Sung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CID000359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Best Alloys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CID000377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CID000401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CID000402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CID000425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Estanho de Rondonia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CID000448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CID000460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Novosibirsk Refinery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CID000493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CID000538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Zili Mining And Metallurgy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CID000555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Tungsten &amp; Powders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CID000568</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CID000616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Hangzhou Fuchunjiang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CID000671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14 of 27</w:t>
      </w:r>
    </w:p>
    <w:p>
      <w:pPr>
        <w:sectPr>
          <w:pgSz w:w="11900" w:h="16838" w:orient="portrait"/>
          <w:cols w:equalWidth="0" w:num="1">
            <w:col w:w="11260"/>
          </w:cols>
          <w:pgMar w:left="320" w:top="1440" w:right="319" w:bottom="1440" w:gutter="0" w:footer="0" w:header="0"/>
          <w:type w:val="continuous"/>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 Metal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CID000689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Heimerle + Meule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CID000694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CID000707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Germany GmbH Co. KG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CID000711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CID000767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Jintai New Material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CID000769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Guiyang yinxing Nonferrous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CID000773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HwaSeong CJ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CID000778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CID000801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CID000807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Istanbul Gold Refinery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Mint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CID000823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New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CID000825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Copper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CID000855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Tanbre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CID000917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USA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CID000920</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Canada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Ekaterinburg Non-Ferrous Metal Processing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CID000927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Uralelectromed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CID000929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JX Nippon Mining &amp;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CID000937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Kai Meng Industry and Trade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CID000942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Kazakhmys Smelting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CID000956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Kazzinc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CID000957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Fallon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CID000966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Kennecott Utah Copper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CID000969</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15 of 27</w:t>
      </w:r>
    </w:p>
    <w:p>
      <w:pPr>
        <w:sectPr>
          <w:pgSz w:w="11900" w:h="16838" w:orient="portrait"/>
          <w:cols w:equalWidth="0" w:num="1">
            <w:col w:w="11260"/>
          </w:cols>
          <w:pgMar w:left="320" w:top="1440" w:right="319" w:bottom="1440" w:gutter="0" w:footer="0" w:header="0"/>
          <w:type w:val="continuous"/>
        </w:sectPr>
      </w:pPr>
    </w:p>
    <w:bookmarkStart w:id="20" w:name="page21"/>
    <w:bookmarkEnd w:id="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Kojima Chemicals Co.,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CID000981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Kyrgyzaltyn JSC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CID001029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Gold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CID001056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AMG Brasil</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CID001076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 MnM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CID001078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Luoyang Zijin Yinhui Gold Refinery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CID001093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CID001113</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Matsuda Sangyo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Metallic Resources,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CID001142</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CID001147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CID001149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CID001152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CID001153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CID001157</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CID001161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CID001163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CID001175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CID001188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CID001191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CID001192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CID001193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NPM Silmet AS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Estonia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CID001200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Moscow Special Alloys Processing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CID001204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CID001220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CID001231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CID001236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Nihon Material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CID001259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CID001277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Novosibirsk Tin Combine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CID001305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16 of 27</w:t>
      </w:r>
    </w:p>
    <w:p>
      <w:pPr>
        <w:sectPr>
          <w:pgSz w:w="11900" w:h="16838" w:orient="portrait"/>
          <w:cols w:equalWidth="0" w:num="1">
            <w:col w:w="11260"/>
          </w:cols>
          <w:pgMar w:left="320" w:top="1440" w:right="319" w:bottom="1116" w:gutter="0" w:footer="0" w:header="0"/>
          <w:type w:val="continuous"/>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CID001325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OJSC "The Gulidov Krasnoyarsk Non-Ferrous Metals Plant" (OJSC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CID001326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Krastsvetmet)</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MKS PAMP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CID001352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Penglai Penggang Gold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CID001362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Prioksky Plant of Non-Ferrous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CID001386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Prima Timah Utama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CID001458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PX Precinox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CID001498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Rand Refinery (Pty)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CID001512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CID001522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Royal Canadian Mint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CID001534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Rui Da Hung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CID001539</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Sabin Metal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CID001546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Samduck Precious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CID001555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Samwon Metals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CID001562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CID001585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Tiancheng Biological Gold Industrial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CID001619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CID001622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CID001736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SOE Shyolkovsky Factory of Secondary Precious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CID001756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CID001761</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Solikamsk Magnesium Works OAO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CID001769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CID001798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20"/>
          <w:szCs w:val="20"/>
          <w:b w:val="1"/>
          <w:bCs w:val="1"/>
          <w:color w:val="auto"/>
        </w:rPr>
        <w:t>Page 17 of 27</w:t>
      </w:r>
    </w:p>
    <w:p>
      <w:pPr>
        <w:sectPr>
          <w:pgSz w:w="11900" w:h="16838" w:orient="portrait"/>
          <w:cols w:equalWidth="0" w:num="1">
            <w:col w:w="11260"/>
          </w:cols>
          <w:pgMar w:left="320" w:top="1440" w:right="319" w:bottom="1440" w:gutter="0" w:footer="0" w:header="0"/>
        </w:sectPr>
      </w:pPr>
    </w:p>
    <w:bookmarkStart w:id="22" w:name="page23"/>
    <w:bookmarkEnd w:id="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Dragon Technology Co.,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CID001810</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Taki Chemical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CID001869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Tanaka Kikinzoku Kogyo K.K.</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CID001875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Telex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CID001891</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Yunxin Nonferrous Electrolysis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CID001908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Great Wall Precious Metals Co., Ltd. of CBPM</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CID001909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Gold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CID001916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Tokuriki Honten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CID001938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Tongling Nonferrous Metals Group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CID001947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Torecom</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CID001955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CID001969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CID001980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CID001993</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Valcambi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CID002003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VQB Mineral and Trading Group JSC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CID002015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CID002030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CID002036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CID002044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CID002082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Yamakin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CID002100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Yokohama Metal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CID002129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CID002158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CID002180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CID002224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Refinery of Zijin Mining Group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CID002243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Morris and Watson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CID002282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SAFINA A.S.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Czechia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CID002290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18 of 27</w:t>
      </w:r>
    </w:p>
    <w:p>
      <w:pPr>
        <w:sectPr>
          <w:pgSz w:w="11900" w:h="16838" w:orient="portrait"/>
          <w:cols w:equalWidth="0" w:num="1">
            <w:col w:w="11260"/>
          </w:cols>
          <w:pgMar w:left="320" w:top="1440" w:right="319" w:bottom="1440" w:gutter="0" w:footer="0" w:header="0"/>
          <w:type w:val="continuous"/>
        </w:sectPr>
      </w:pPr>
    </w:p>
    <w:bookmarkStart w:id="23" w:name="page24"/>
    <w:bookmarkEnd w:id="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Minmetals Gao'an Non-ferrous Metals Co.,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Precious Metals Thailand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(H.C.)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CID002320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CID002321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CID002468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CID002492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CID002494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Melt Metais e Ligas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Block Metals,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CID002504</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MMTC-PAMP India Pvt.,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CID002509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Shizhuyuan Nonferrous Metals Co., Ltd. Chenzhou Tungsten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CID002513</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Products Branch</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Fidelity Printers and Refiners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Zimbabwe</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Singway Technology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CID002516</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CID002517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Humon Smelting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CID002525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Zhonghenglong Real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CID002527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de Mexico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CID002539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Tungsten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19 of 27</w:t>
      </w:r>
    </w:p>
    <w:p>
      <w:pPr>
        <w:sectPr>
          <w:pgSz w:w="11900" w:h="16838" w:orient="portrait"/>
          <w:cols w:equalWidth="0" w:num="1">
            <w:col w:w="11260"/>
          </w:cols>
          <w:pgMar w:left="320" w:top="1440" w:right="319" w:bottom="1116" w:gutter="0" w:footer="0" w:header="0"/>
          <w:type w:val="continuous"/>
        </w:sectPr>
      </w:pPr>
    </w:p>
    <w:bookmarkStart w:id="24" w:name="page25"/>
    <w:bookmarkEnd w:id="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Masan High-Tech Materials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 Newton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CID002548</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Japan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CID002549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CID002550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CID002551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CID002557</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 Etihad Gold Refinery DMCC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CID002560</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 Gold DMCC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CID002561</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International Precious Metal Refiners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CID002562</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Ayi Jaya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CID002570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Electro-Mechanical Facility of the Cao Bang Minerals &amp; Metallurgy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CID002572</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Joint Stock Company</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Nghe Tinh Non-Ferrous Metals Joint Stock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CID002573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T.C.A S.p.A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CID002580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REMONDIS PMR B.V.</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Fujairah Gold FZC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CID002584</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Shirpur Gold Refinery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CID002588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Niagara Refining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CID002589</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Rajehan Ariq</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CID002593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Zinc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CID002605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Marsam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CID002606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TOO Tau-Ken-Altyn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CID002615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CID002641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9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20 of 27</w:t>
      </w:r>
    </w:p>
    <w:p>
      <w:pPr>
        <w:sectPr>
          <w:pgSz w:w="11900" w:h="16838" w:orient="portrait"/>
          <w:cols w:equalWidth="0" w:num="1">
            <w:col w:w="11260"/>
          </w:cols>
          <w:pgMar w:left="320" w:top="1440" w:right="319" w:bottom="914" w:gutter="0" w:footer="0" w:header="0"/>
          <w:type w:val="continuous"/>
        </w:sectPr>
      </w:pPr>
    </w:p>
    <w:bookmarkStart w:id="25" w:name="page26"/>
    <w:bookmarkEnd w:id="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Hydrometallurg, JSC</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CID002649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 Refractory and Heat-Resistant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CID002660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Cipta Persada Mulia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CID002696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CID002703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CID002706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CID002707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CID002708</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Unecha Refractory metals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CuiLu Gold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CID002750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Ligas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CID002756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Albino Mountinho Lda.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Portugal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CID002760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SAAMP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CID002761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L'Orfebre S.A.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Andorra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CID002762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8853 S.p.A.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CID002763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Italpreziosi</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CID002765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WIELAND Edelmetalle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CID002778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Ogussa Osterreichische Gold- und Silber-Scheideanstalt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CID002779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CID002842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Moliren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CID002845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 Traders and Refiners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CID002850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GGC Gujrat Gold Centre Pvt.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CID002852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CID002857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CID002858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Bangalore Refinery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CID002863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Kyshtym Copper-Electrolytic Plant ZAO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CID002865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CID002867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Pease &amp; Curren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CID002872</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JALAN &amp;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CID002893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21 of 27</w:t>
      </w:r>
    </w:p>
    <w:p>
      <w:pPr>
        <w:sectPr>
          <w:pgSz w:w="11900" w:h="16838" w:orient="portrait"/>
          <w:cols w:equalWidth="0" w:num="1">
            <w:col w:w="11260"/>
          </w:cols>
          <w:pgMar w:left="320" w:top="1440" w:right="319" w:bottom="1440" w:gutter="0" w:footer="0" w:header="0"/>
          <w:type w:val="continuous"/>
        </w:sectPr>
      </w:pPr>
    </w:p>
    <w:bookmarkStart w:id="26" w:name="page27"/>
    <w:bookmarkEnd w:id="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SungEel HiMetal Co., Ltd.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CID002918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Chile</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CID002919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ABC Refinery Pty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CID002920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Safimet S.p.A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CID002973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CID003116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State Research Institute Center for Physical Sciences and Technology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Lithuania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CID003153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African Gold Refinery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CID003185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Coast Refinery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Ghana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CID003186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 Recytech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CID003189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CID003190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QG Refining,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CID003324</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CID003325</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Dijllah Gold Refinery FZC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CID003348</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CiEXPO Environmental Engineering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CID003356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Ma'anshan Weitai Tin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CID003379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Masbro Alam Stania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CID003380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CGR Metalloys Pvt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Sovereign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CID003383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Luna Smelter,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CID003387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CID003397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CID003407</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"Kirovgrad Hard Alloys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CID003408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Precious Minerals and Smelting Limited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CID003409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City Fuxiang Industry and Trade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CID003410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20"/>
          <w:szCs w:val="20"/>
          <w:b w:val="1"/>
          <w:bCs w:val="1"/>
          <w:color w:val="auto"/>
        </w:rPr>
        <w:t>Page 22 of 27</w:t>
      </w:r>
    </w:p>
    <w:p>
      <w:pPr>
        <w:sectPr>
          <w:pgSz w:w="11900" w:h="16838" w:orient="portrait"/>
          <w:cols w:equalWidth="0" w:num="1">
            <w:col w:w="11260"/>
          </w:cols>
          <w:pgMar w:left="320" w:top="1440" w:right="319" w:bottom="1440" w:gutter="0" w:footer="0" w:header="0"/>
        </w:sectPr>
      </w:pPr>
    </w:p>
    <w:bookmarkStart w:id="27" w:name="page28"/>
    <w:bookmarkEnd w:id="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NPP Tyazhmetprom LLC</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CID003416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CID003417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CID003425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Albasteel Industria e Comercio de Ligas Para Fundicao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CID003427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CID003449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Augmont Enterprises Private Limited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CID003461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Kundan Care Products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CID003463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Cronimet Brasil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CID003468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CRM Fundicao De Metais E Comercio De Equipamentos Eletronicos Do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CID003486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Brasil Ltda</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1)</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CID003487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2)</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CID003488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3)</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CID003489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4)</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CID003490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 Rasmussen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Norway</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CID003497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Alexy Metals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CID003500</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Synergies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 Overseas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CID003548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Metallix Refining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CID003557</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CID003575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CID003582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Fujian Xinlu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CID003609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OOO “Technolom” 2</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CID003612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OOO “Technolom” 1</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WEEEREFINING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CID003615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by Gold Colombia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CID003641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YUDU ANSHENG TUNGSTEN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CID003662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Dongwu Gold Group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CID003663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23 of 27</w:t>
      </w:r>
    </w:p>
    <w:p>
      <w:pPr>
        <w:sectPr>
          <w:pgSz w:w="11900" w:h="16838" w:orient="portrait"/>
          <w:cols w:equalWidth="0" w:num="1">
            <w:col w:w="11260"/>
          </w:cols>
          <w:pgMar w:left="320" w:top="1440" w:right="319" w:bottom="1440" w:gutter="0" w:footer="0" w:header="0"/>
          <w:type w:val="continuous"/>
        </w:sectPr>
      </w:pPr>
    </w:p>
    <w:bookmarkStart w:id="28" w:name="page29"/>
    <w:bookmarkEnd w:id="2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 Precious Metals</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CID003666</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NOBLE METAL SERVICES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CID003690</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CID003868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5D Production OU</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Estonia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CID003926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CID003993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Coimpa Industrial LTDA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CID004010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Nam Viet Cromit Joint Stock Company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CID004034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PowerX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CID004054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Mining Minerals Resources SARL</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Congo, Democratic</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CID004065</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Republic Of The</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Resources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CID004397</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Takehara PVD Materials Plant / PVD Materials Division of MITSUI</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CID004403</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MINING &amp; SMELTING CO., LTD.</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Shinwon Tungsten (Fujian Shanghang)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CID004430</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Berhad (Port Klang)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CID004434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JINJUNWEI RESOURCE COMPREHENSIVE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CID004435</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DEVELOPMENT CO., LTD.</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Carreytech Metal Corp.</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CID004438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TITAN COMPANY LIMITED, JEWELLERY DIVISION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CID004491</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 Refinery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Tanzania, United</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CID004506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Republic Of</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KENEE MINING VIETNAM COMPANY LIMITED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CID004619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RIKAYAA GREENTECH PRIVATE LIMITED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CID004692</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Attero Recycling Pvt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CID004697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SOLEIL METALS (Chala One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CID004704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SOLEIL METALS (YAKARI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CID004705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Impala Platinum - Platinum Metals Refinery (PMR)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24 of 27</w:t>
      </w:r>
    </w:p>
    <w:p>
      <w:pPr>
        <w:sectPr>
          <w:pgSz w:w="11900" w:h="16838" w:orient="portrait"/>
          <w:cols w:equalWidth="0" w:num="1">
            <w:col w:w="11260"/>
          </w:cols>
          <w:pgMar w:left="320" w:top="1440" w:right="319" w:bottom="1440" w:gutter="0" w:footer="0" w:header="0"/>
          <w:type w:val="continuous"/>
        </w:sectPr>
      </w:pPr>
    </w:p>
    <w:bookmarkStart w:id="29" w:name="page30"/>
    <w:bookmarkEnd w:id="2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1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Woodcross Smelting Company Limited</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c>
          <w:tcPr>
            <w:tcW w:w="19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CID004724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Greenbushes Pty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CID004754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Elite Industech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CID004755</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Longnan Chuangyue Environmental Protection Technology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CID004796</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Development Co., Ltd</w:t>
            </w:r>
          </w:p>
        </w:tc>
        <w:tc>
          <w:tcPr>
            <w:tcW w:w="18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Bonway Manufacturing Industrial Corporation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CID004797</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Sanshi Nonferrous Metals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CID004813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Gasabo Gold Refinery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CID005006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Jing Yuan Tungsten Technology Co., Ltd.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CID005012</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 Titán del Perú SRL (MTP) - Belen Plant</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CID005014</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S.P.T. spol.s r.o.</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Czechia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CID005068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 Kay Metal,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CID005189</w:t>
            </w:r>
          </w:p>
        </w:tc>
      </w:tr>
      <w:tr>
        <w:trPr>
          <w:trHeight w:val="284"/>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Tungamoy Metals Inc.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CID005248</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Premium Tin Indonesia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CID000313</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Prima Tin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CID002776</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Artha Cipta Langgeng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CID001399</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Graha Raya</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CID004685</w:t>
            </w: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310"/>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5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Conecsus LLC</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w:t>
            </w:r>
          </w:p>
        </w:tc>
        <w:tc>
          <w:tcPr>
            <w:tcW w:w="1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CID003504</w:t>
            </w: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America</w:t>
            </w:r>
          </w:p>
        </w:tc>
        <w:tc>
          <w:tcPr>
            <w:tcW w:w="1900" w:type="dxa"/>
            <w:vAlign w:val="bottom"/>
            <w:tcBorders>
              <w:right w:val="single" w:sz="8" w:color="auto"/>
            </w:tcBorders>
          </w:tcPr>
          <w:p>
            <w:pPr>
              <w:spacing w:after="0"/>
              <w:rPr>
                <w:sz w:val="24"/>
                <w:szCs w:val="24"/>
                <w:color w:val="auto"/>
              </w:rPr>
            </w:pPr>
          </w:p>
        </w:tc>
      </w:tr>
      <w:tr>
        <w:trPr>
          <w:trHeight w:val="75"/>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59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291"/>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59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980"/>
        <w:spacing w:after="0"/>
        <w:rPr>
          <w:sz w:val="20"/>
          <w:szCs w:val="20"/>
          <w:color w:val="auto"/>
        </w:rPr>
      </w:pPr>
      <w:r>
        <w:rPr>
          <w:rFonts w:ascii="Arial" w:cs="Arial" w:eastAsia="Arial" w:hAnsi="Arial"/>
          <w:sz w:val="20"/>
          <w:szCs w:val="20"/>
          <w:b w:val="1"/>
          <w:bCs w:val="1"/>
          <w:color w:val="auto"/>
        </w:rPr>
        <w:t>Page 25 of 27</w:t>
      </w:r>
    </w:p>
    <w:p>
      <w:pPr>
        <w:sectPr>
          <w:pgSz w:w="11900" w:h="16838" w:orient="portrait"/>
          <w:cols w:equalWidth="0" w:num="1">
            <w:col w:w="11260"/>
          </w:cols>
          <w:pgMar w:left="320" w:top="144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II: Countries of Origin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Includes: list of countries that declared smelters are known to source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26035</wp:posOffset>
            </wp:positionV>
            <wp:extent cx="4886325" cy="644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644652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Page 26 of 27</w:t>
      </w:r>
    </w:p>
    <w:p>
      <w:pPr>
        <w:sectPr>
          <w:pgSz w:w="11900" w:h="16838" w:orient="portrait"/>
          <w:cols w:equalWidth="0" w:num="1">
            <w:col w:w="11240"/>
          </w:cols>
          <w:pgMar w:left="320" w:top="142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III: CMRT Declaration Rejection/Approval Criteria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22222"/>
        </w:rPr>
        <w:t>Assent Sustainability Platform Logic Structure</w:t>
      </w:r>
    </w:p>
    <w:p>
      <w:pPr>
        <w:spacing w:after="0" w:line="3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222222"/>
        </w:rPr>
        <w:t>The following tables map the Assent Sustainability Platform’s status outputs and CMRT logic structure when determining supplier conflict mineral statuses as displayed on the dashboard. Using this table, and referencing the CMRT questions listed above, users will be able to determine what answers were provided by their suppliers to earn their conflict minerals statuses.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Dashboard Supplier Response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15175" cy="1448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4843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215273"/>
          </w:tcPr>
          <w:p>
            <w:pPr>
              <w:ind w:left="1120"/>
              <w:spacing w:after="0"/>
              <w:rPr>
                <w:sz w:val="20"/>
                <w:szCs w:val="20"/>
                <w:color w:val="auto"/>
              </w:rPr>
            </w:pPr>
            <w:r>
              <w:rPr>
                <w:rFonts w:ascii="Arial" w:cs="Arial" w:eastAsia="Arial" w:hAnsi="Arial"/>
                <w:sz w:val="22"/>
                <w:szCs w:val="22"/>
                <w:color w:val="FFFFFF"/>
              </w:rPr>
              <w:t>Supplier Status</w:t>
            </w:r>
          </w:p>
        </w:tc>
        <w:tc>
          <w:tcPr>
            <w:tcW w:w="7500" w:type="dxa"/>
            <w:vAlign w:val="bottom"/>
            <w:shd w:val="clear" w:color="auto" w:fill="215273"/>
          </w:tcPr>
          <w:p>
            <w:pPr>
              <w:ind w:left="3220"/>
              <w:spacing w:after="0"/>
              <w:rPr>
                <w:sz w:val="20"/>
                <w:szCs w:val="20"/>
                <w:color w:val="auto"/>
              </w:rPr>
            </w:pPr>
            <w:r>
              <w:rPr>
                <w:rFonts w:ascii="Arial" w:cs="Arial" w:eastAsia="Arial" w:hAnsi="Arial"/>
                <w:sz w:val="22"/>
                <w:szCs w:val="22"/>
                <w:color w:val="FFFFFF"/>
              </w:rPr>
              <w:t>Description</w:t>
            </w:r>
          </w:p>
        </w:tc>
      </w:tr>
      <w:tr>
        <w:trPr>
          <w:trHeight w:val="267"/>
        </w:trPr>
        <w:tc>
          <w:tcPr>
            <w:tcW w:w="3700" w:type="dxa"/>
            <w:vAlign w:val="bottom"/>
            <w:shd w:val="clear" w:color="auto" w:fill="F3F3F3"/>
          </w:tcPr>
          <w:p>
            <w:pPr>
              <w:ind w:left="80"/>
              <w:spacing w:after="0"/>
              <w:rPr>
                <w:sz w:val="20"/>
                <w:szCs w:val="20"/>
                <w:color w:val="auto"/>
              </w:rPr>
            </w:pPr>
            <w:r>
              <w:rPr>
                <w:rFonts w:ascii="Arial" w:cs="Arial" w:eastAsia="Arial" w:hAnsi="Arial"/>
                <w:sz w:val="20"/>
                <w:szCs w:val="20"/>
                <w:color w:val="414142"/>
              </w:rPr>
              <w:t>Not Submitted</w:t>
            </w:r>
          </w:p>
        </w:tc>
        <w:tc>
          <w:tcPr>
            <w:tcW w:w="7500" w:type="dxa"/>
            <w:vAlign w:val="bottom"/>
            <w:shd w:val="clear" w:color="auto" w:fill="F3F3F3"/>
          </w:tcPr>
          <w:p>
            <w:pPr>
              <w:ind w:left="60"/>
              <w:spacing w:after="0"/>
              <w:rPr>
                <w:sz w:val="20"/>
                <w:szCs w:val="20"/>
                <w:color w:val="auto"/>
              </w:rPr>
            </w:pPr>
            <w:r>
              <w:rPr>
                <w:rFonts w:ascii="Arial" w:cs="Arial" w:eastAsia="Arial" w:hAnsi="Arial"/>
                <w:sz w:val="20"/>
                <w:szCs w:val="20"/>
                <w:color w:val="414142"/>
              </w:rPr>
              <w:t>A CMRT has not been submitted by the supplier</w:t>
            </w:r>
          </w:p>
        </w:tc>
      </w:tr>
      <w:tr>
        <w:trPr>
          <w:trHeight w:val="270"/>
        </w:trPr>
        <w:tc>
          <w:tcPr>
            <w:tcW w:w="3700" w:type="dxa"/>
            <w:vAlign w:val="bottom"/>
            <w:shd w:val="clear" w:color="auto" w:fill="F3F3F3"/>
          </w:tcPr>
          <w:p>
            <w:pPr>
              <w:ind w:left="80"/>
              <w:spacing w:after="0"/>
              <w:rPr>
                <w:sz w:val="20"/>
                <w:szCs w:val="20"/>
                <w:color w:val="auto"/>
              </w:rPr>
            </w:pPr>
            <w:r>
              <w:rPr>
                <w:rFonts w:ascii="Arial" w:cs="Arial" w:eastAsia="Arial" w:hAnsi="Arial"/>
                <w:sz w:val="20"/>
                <w:szCs w:val="20"/>
                <w:color w:val="414142"/>
              </w:rPr>
              <w:t>Complete</w:t>
            </w:r>
          </w:p>
        </w:tc>
        <w:tc>
          <w:tcPr>
            <w:tcW w:w="7500" w:type="dxa"/>
            <w:vAlign w:val="bottom"/>
            <w:shd w:val="clear" w:color="auto" w:fill="F3F3F3"/>
          </w:tcPr>
          <w:p>
            <w:pPr>
              <w:ind w:left="60"/>
              <w:spacing w:after="0"/>
              <w:rPr>
                <w:sz w:val="20"/>
                <w:szCs w:val="20"/>
                <w:color w:val="auto"/>
              </w:rPr>
            </w:pPr>
            <w:r>
              <w:rPr>
                <w:rFonts w:ascii="Arial" w:cs="Arial" w:eastAsia="Arial" w:hAnsi="Arial"/>
                <w:sz w:val="20"/>
                <w:szCs w:val="20"/>
                <w:color w:val="414142"/>
              </w:rPr>
              <w:t>A CMRT has been submitted, and is valid and complete</w:t>
            </w:r>
          </w:p>
        </w:tc>
      </w:tr>
      <w:tr>
        <w:trPr>
          <w:trHeight w:val="211"/>
        </w:trPr>
        <w:tc>
          <w:tcPr>
            <w:tcW w:w="3700" w:type="dxa"/>
            <w:vAlign w:val="bottom"/>
            <w:shd w:val="clear" w:color="auto" w:fill="F3F3F3"/>
          </w:tcPr>
          <w:p>
            <w:pPr>
              <w:ind w:left="80"/>
              <w:spacing w:after="0" w:line="211" w:lineRule="exact"/>
              <w:rPr>
                <w:sz w:val="20"/>
                <w:szCs w:val="20"/>
                <w:color w:val="auto"/>
              </w:rPr>
            </w:pPr>
            <w:r>
              <w:rPr>
                <w:rFonts w:ascii="Arial" w:cs="Arial" w:eastAsia="Arial" w:hAnsi="Arial"/>
                <w:sz w:val="20"/>
                <w:szCs w:val="20"/>
                <w:color w:val="414142"/>
              </w:rPr>
              <w:t>Incomplete</w:t>
            </w:r>
          </w:p>
        </w:tc>
        <w:tc>
          <w:tcPr>
            <w:tcW w:w="7500" w:type="dxa"/>
            <w:vAlign w:val="bottom"/>
            <w:shd w:val="clear" w:color="auto" w:fill="F3F3F3"/>
          </w:tcPr>
          <w:p>
            <w:pPr>
              <w:ind w:left="60"/>
              <w:spacing w:after="0" w:line="211" w:lineRule="exact"/>
              <w:rPr>
                <w:sz w:val="20"/>
                <w:szCs w:val="20"/>
                <w:color w:val="auto"/>
              </w:rPr>
            </w:pPr>
            <w:r>
              <w:rPr>
                <w:rFonts w:ascii="Arial" w:cs="Arial" w:eastAsia="Arial" w:hAnsi="Arial"/>
                <w:sz w:val="20"/>
                <w:szCs w:val="20"/>
                <w:color w:val="414142"/>
              </w:rPr>
              <w:t>A supplier with parts associated to them has submitted a partially completed</w:t>
            </w:r>
          </w:p>
        </w:tc>
      </w:tr>
      <w:tr>
        <w:trPr>
          <w:trHeight w:val="257"/>
        </w:trPr>
        <w:tc>
          <w:tcPr>
            <w:tcW w:w="3700" w:type="dxa"/>
            <w:vAlign w:val="bottom"/>
            <w:shd w:val="clear" w:color="auto" w:fill="F3F3F3"/>
          </w:tcPr>
          <w:p>
            <w:pPr>
              <w:spacing w:after="0"/>
              <w:rPr>
                <w:sz w:val="22"/>
                <w:szCs w:val="22"/>
                <w:color w:val="auto"/>
              </w:rPr>
            </w:pPr>
          </w:p>
        </w:tc>
        <w:tc>
          <w:tcPr>
            <w:tcW w:w="7500" w:type="dxa"/>
            <w:vAlign w:val="bottom"/>
            <w:shd w:val="clear" w:color="auto" w:fill="F3F3F3"/>
          </w:tcPr>
          <w:p>
            <w:pPr>
              <w:ind w:left="60"/>
              <w:spacing w:after="0"/>
              <w:rPr>
                <w:sz w:val="20"/>
                <w:szCs w:val="20"/>
                <w:color w:val="auto"/>
              </w:rPr>
            </w:pPr>
            <w:r>
              <w:rPr>
                <w:rFonts w:ascii="Arial" w:cs="Arial" w:eastAsia="Arial" w:hAnsi="Arial"/>
                <w:sz w:val="20"/>
                <w:szCs w:val="20"/>
                <w:color w:val="414142"/>
              </w:rPr>
              <w:t>Product-Level or User-Defined CMRT</w:t>
            </w:r>
          </w:p>
        </w:tc>
      </w:tr>
      <w:tr>
        <w:trPr>
          <w:trHeight w:val="202"/>
        </w:trPr>
        <w:tc>
          <w:tcPr>
            <w:tcW w:w="3700" w:type="dxa"/>
            <w:vAlign w:val="bottom"/>
            <w:shd w:val="clear" w:color="auto" w:fill="F3F3F3"/>
          </w:tcPr>
          <w:p>
            <w:pPr>
              <w:ind w:left="80"/>
              <w:spacing w:after="0" w:line="203" w:lineRule="exact"/>
              <w:rPr>
                <w:sz w:val="20"/>
                <w:szCs w:val="20"/>
                <w:color w:val="auto"/>
              </w:rPr>
            </w:pPr>
            <w:r>
              <w:rPr>
                <w:rFonts w:ascii="Arial" w:cs="Arial" w:eastAsia="Arial" w:hAnsi="Arial"/>
                <w:sz w:val="20"/>
                <w:szCs w:val="20"/>
                <w:color w:val="414142"/>
              </w:rPr>
              <w:t>Invalid Submission</w:t>
            </w:r>
          </w:p>
        </w:tc>
        <w:tc>
          <w:tcPr>
            <w:tcW w:w="7500" w:type="dxa"/>
            <w:vAlign w:val="bottom"/>
            <w:shd w:val="clear" w:color="auto" w:fill="F3F3F3"/>
          </w:tcPr>
          <w:p>
            <w:pPr>
              <w:ind w:left="60"/>
              <w:spacing w:after="0" w:line="203" w:lineRule="exact"/>
              <w:rPr>
                <w:sz w:val="20"/>
                <w:szCs w:val="20"/>
                <w:color w:val="auto"/>
              </w:rPr>
            </w:pPr>
            <w:r>
              <w:rPr>
                <w:rFonts w:ascii="Arial" w:cs="Arial" w:eastAsia="Arial" w:hAnsi="Arial"/>
                <w:sz w:val="20"/>
                <w:szCs w:val="20"/>
                <w:color w:val="414142"/>
              </w:rPr>
              <w:t>A CMRT has been submitted and deemed invalid based on contradicting responses</w:t>
            </w:r>
          </w:p>
        </w:tc>
      </w:tr>
      <w:tr>
        <w:trPr>
          <w:trHeight w:val="257"/>
        </w:trPr>
        <w:tc>
          <w:tcPr>
            <w:tcW w:w="3700" w:type="dxa"/>
            <w:vAlign w:val="bottom"/>
            <w:shd w:val="clear" w:color="auto" w:fill="F3F3F3"/>
          </w:tcPr>
          <w:p>
            <w:pPr>
              <w:spacing w:after="0"/>
              <w:rPr>
                <w:sz w:val="22"/>
                <w:szCs w:val="22"/>
                <w:color w:val="auto"/>
              </w:rPr>
            </w:pPr>
          </w:p>
        </w:tc>
        <w:tc>
          <w:tcPr>
            <w:tcW w:w="7500" w:type="dxa"/>
            <w:vAlign w:val="bottom"/>
            <w:shd w:val="clear" w:color="auto" w:fill="F3F3F3"/>
          </w:tcPr>
          <w:p>
            <w:pPr>
              <w:ind w:left="60"/>
              <w:spacing w:after="0"/>
              <w:rPr>
                <w:sz w:val="20"/>
                <w:szCs w:val="20"/>
                <w:color w:val="auto"/>
              </w:rPr>
            </w:pPr>
            <w:r>
              <w:rPr>
                <w:rFonts w:ascii="Arial" w:cs="Arial" w:eastAsia="Arial" w:hAnsi="Arial"/>
                <w:sz w:val="20"/>
                <w:szCs w:val="20"/>
                <w:color w:val="414142"/>
              </w:rPr>
              <w:t>in the template</w:t>
            </w:r>
          </w:p>
        </w:tc>
      </w:tr>
      <w:tr>
        <w:trPr>
          <w:trHeight w:val="263"/>
        </w:trPr>
        <w:tc>
          <w:tcPr>
            <w:tcW w:w="3700" w:type="dxa"/>
            <w:vAlign w:val="bottom"/>
            <w:shd w:val="clear" w:color="auto" w:fill="F3F3F3"/>
          </w:tcPr>
          <w:p>
            <w:pPr>
              <w:ind w:left="80"/>
              <w:spacing w:after="0"/>
              <w:rPr>
                <w:sz w:val="20"/>
                <w:szCs w:val="20"/>
                <w:color w:val="auto"/>
              </w:rPr>
            </w:pPr>
            <w:r>
              <w:rPr>
                <w:rFonts w:ascii="Arial" w:cs="Arial" w:eastAsia="Arial" w:hAnsi="Arial"/>
                <w:sz w:val="20"/>
                <w:szCs w:val="20"/>
                <w:color w:val="414142"/>
              </w:rPr>
              <w:t>Out of Scope</w:t>
            </w:r>
          </w:p>
        </w:tc>
        <w:tc>
          <w:tcPr>
            <w:tcW w:w="7500" w:type="dxa"/>
            <w:vAlign w:val="bottom"/>
            <w:shd w:val="clear" w:color="auto" w:fill="F3F3F3"/>
          </w:tcPr>
          <w:p>
            <w:pPr>
              <w:ind w:left="60"/>
              <w:spacing w:after="0"/>
              <w:rPr>
                <w:sz w:val="20"/>
                <w:szCs w:val="20"/>
                <w:color w:val="auto"/>
              </w:rPr>
            </w:pPr>
            <w:r>
              <w:rPr>
                <w:rFonts w:ascii="Arial" w:cs="Arial" w:eastAsia="Arial" w:hAnsi="Arial"/>
                <w:sz w:val="20"/>
                <w:szCs w:val="20"/>
                <w:color w:val="414142"/>
              </w:rPr>
              <w:t>The supplier is out of scope for conflict minerals and does not need to be contacted</w:t>
            </w:r>
          </w:p>
        </w:tc>
      </w:tr>
      <w:tr>
        <w:trPr>
          <w:trHeight w:val="272"/>
        </w:trPr>
        <w:tc>
          <w:tcPr>
            <w:tcW w:w="3700" w:type="dxa"/>
            <w:vAlign w:val="bottom"/>
            <w:shd w:val="clear" w:color="auto" w:fill="00A398"/>
          </w:tcPr>
          <w:p>
            <w:pPr>
              <w:spacing w:after="0"/>
              <w:rPr>
                <w:sz w:val="23"/>
                <w:szCs w:val="23"/>
                <w:color w:val="auto"/>
              </w:rPr>
            </w:pPr>
          </w:p>
        </w:tc>
        <w:tc>
          <w:tcPr>
            <w:tcW w:w="7500" w:type="dxa"/>
            <w:vAlign w:val="bottom"/>
            <w:shd w:val="clear" w:color="auto" w:fill="00A398"/>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27 of 27</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upp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upperLetter"/>
      <w:start w:val="3"/>
    </w:lvl>
  </w:abstractNum>
  <w:abstractNum w:abstractNumId="9">
    <w:nsid w:val="1190CDE7"/>
    <w:multiLevelType w:val="hybridMultilevel"/>
    <w:lvl w:ilvl="0">
      <w:lvlJc w:val="left"/>
      <w:lvlText w:val="%1."/>
      <w:numFmt w:val="upperLetter"/>
      <w:start w:val="4"/>
    </w:lvl>
  </w:abstractNum>
  <w:abstractNum w:abstractNumId="10">
    <w:nsid w:val="66EF438D"/>
    <w:multiLevelType w:val="hybridMultilevel"/>
    <w:lvl w:ilvl="0">
      <w:lvlJc w:val="left"/>
      <w:lvlText w:val="%1."/>
      <w:numFmt w:val="upperLetter"/>
      <w:start w:val="5"/>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2026-05-26T16:29:24Z</dcterms:created>
  <dcterms:modified xsi:type="dcterms:W3CDTF">2026-05-26T16:29:24Z</dcterms:modified>
</cp:coreProperties>
</file>