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161290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4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99"/>
        </w:trPr>
        <w:tc>
          <w:tcPr>
            <w:tcW w:w="3700" w:type="dxa"/>
            <w:vAlign w:val="bottom"/>
            <w:gridSpan w:val="4"/>
          </w:tcPr>
          <w:p>
            <w:pPr>
              <w:ind w:left="440"/>
              <w:spacing w:after="0"/>
              <w:rPr>
                <w:sz w:val="20"/>
                <w:szCs w:val="20"/>
                <w:color w:val="auto"/>
              </w:rPr>
            </w:pPr>
            <w:r>
              <w:rPr>
                <w:rFonts w:ascii="Arial" w:cs="Arial" w:eastAsia="Arial" w:hAnsi="Arial"/>
                <w:sz w:val="18"/>
                <w:szCs w:val="18"/>
                <w:b w:val="1"/>
                <w:bCs w:val="1"/>
                <w:color w:val="auto"/>
              </w:rPr>
              <w:t>Commission File Number 001-12488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102870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center"/>
              <w:ind w:left="101"/>
              <w:spacing w:after="0"/>
              <w:rPr>
                <w:sz w:val="20"/>
                <w:szCs w:val="20"/>
                <w:color w:val="auto"/>
              </w:rPr>
            </w:pPr>
            <w:r>
              <w:rPr>
                <w:rFonts w:ascii="Arial" w:cs="Arial" w:eastAsia="Arial" w:hAnsi="Arial"/>
                <w:sz w:val="18"/>
                <w:szCs w:val="18"/>
                <w:b w:val="1"/>
                <w:bCs w:val="1"/>
                <w:color w:val="auto"/>
                <w:w w:val="91"/>
              </w:rPr>
              <w:t>88-0106100</w:t>
            </w: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6320" w:type="dxa"/>
            <w:vAlign w:val="bottom"/>
            <w:gridSpan w:val="3"/>
          </w:tcPr>
          <w:p>
            <w:pPr>
              <w:jc w:val="center"/>
              <w:ind w:right="3920"/>
              <w:spacing w:after="0"/>
              <w:rPr>
                <w:sz w:val="20"/>
                <w:szCs w:val="20"/>
                <w:color w:val="auto"/>
              </w:rPr>
            </w:pPr>
            <w:r>
              <w:rPr>
                <w:rFonts w:ascii="Arial" w:cs="Arial" w:eastAsia="Arial" w:hAnsi="Arial"/>
                <w:sz w:val="18"/>
                <w:szCs w:val="18"/>
                <w:b w:val="1"/>
                <w:bCs w:val="1"/>
                <w:color w:val="auto"/>
                <w:w w:val="89"/>
              </w:rPr>
              <w:t>8550 Mosley Road</w:t>
            </w:r>
          </w:p>
        </w:tc>
        <w:tc>
          <w:tcPr>
            <w:tcW w:w="1300" w:type="dxa"/>
            <w:vAlign w:val="bottom"/>
          </w:tcPr>
          <w:p>
            <w:pPr>
              <w:spacing w:after="0"/>
              <w:rPr>
                <w:sz w:val="20"/>
                <w:szCs w:val="20"/>
                <w:color w:val="auto"/>
              </w:rPr>
            </w:pPr>
          </w:p>
        </w:tc>
      </w:tr>
      <w:tr>
        <w:trPr>
          <w:trHeight w:val="234"/>
        </w:trPr>
        <w:tc>
          <w:tcPr>
            <w:tcW w:w="6320" w:type="dxa"/>
            <w:vAlign w:val="bottom"/>
            <w:gridSpan w:val="3"/>
          </w:tcPr>
          <w:p>
            <w:pPr>
              <w:jc w:val="center"/>
              <w:ind w:right="3940"/>
              <w:spacing w:after="0"/>
              <w:rPr>
                <w:sz w:val="20"/>
                <w:szCs w:val="20"/>
                <w:color w:val="auto"/>
              </w:rPr>
            </w:pPr>
            <w:r>
              <w:rPr>
                <w:rFonts w:ascii="Arial" w:cs="Arial" w:eastAsia="Arial" w:hAnsi="Arial"/>
                <w:sz w:val="18"/>
                <w:szCs w:val="18"/>
                <w:b w:val="1"/>
                <w:bCs w:val="1"/>
                <w:color w:val="auto"/>
                <w:w w:val="88"/>
              </w:rPr>
              <w:t>Houston, Texas</w:t>
            </w:r>
          </w:p>
        </w:tc>
        <w:tc>
          <w:tcPr>
            <w:tcW w:w="1300" w:type="dxa"/>
            <w:vAlign w:val="bottom"/>
          </w:tcPr>
          <w:p>
            <w:pPr>
              <w:jc w:val="center"/>
              <w:ind w:left="121"/>
              <w:spacing w:after="0"/>
              <w:rPr>
                <w:sz w:val="20"/>
                <w:szCs w:val="20"/>
                <w:color w:val="auto"/>
              </w:rPr>
            </w:pPr>
            <w:r>
              <w:rPr>
                <w:rFonts w:ascii="Arial" w:cs="Arial" w:eastAsia="Arial" w:hAnsi="Arial"/>
                <w:sz w:val="18"/>
                <w:szCs w:val="18"/>
                <w:b w:val="1"/>
                <w:bCs w:val="1"/>
                <w:color w:val="auto"/>
                <w:w w:val="89"/>
              </w:rPr>
              <w:t>77075-1180</w:t>
            </w:r>
          </w:p>
        </w:tc>
      </w:tr>
      <w:tr>
        <w:trPr>
          <w:trHeight w:val="218"/>
        </w:trPr>
        <w:tc>
          <w:tcPr>
            <w:tcW w:w="6320" w:type="dxa"/>
            <w:vAlign w:val="bottom"/>
            <w:gridSpan w:val="3"/>
          </w:tcPr>
          <w:p>
            <w:pPr>
              <w:jc w:val="center"/>
              <w:ind w:right="39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277"/>
        </w:trPr>
        <w:tc>
          <w:tcPr>
            <w:tcW w:w="6320" w:type="dxa"/>
            <w:vAlign w:val="bottom"/>
            <w:gridSpan w:val="3"/>
          </w:tcPr>
          <w:p>
            <w:pPr>
              <w:jc w:val="center"/>
              <w:ind w:left="19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8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91"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jc w:val="both"/>
        <w:ind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Arial" w:cs="Arial" w:eastAsia="Arial" w:hAnsi="Arial"/>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1720" w:type="dxa"/>
            <w:vAlign w:val="bottom"/>
          </w:tcPr>
          <w:p>
            <w:pPr>
              <w:jc w:val="center"/>
              <w:ind w:left="370"/>
              <w:spacing w:after="0" w:line="207" w:lineRule="exact"/>
              <w:rPr>
                <w:sz w:val="20"/>
                <w:szCs w:val="20"/>
                <w:color w:val="auto"/>
              </w:rPr>
            </w:pPr>
            <w:r>
              <w:rPr>
                <w:rFonts w:ascii="Arial" w:cs="Arial" w:eastAsia="Arial" w:hAnsi="Arial"/>
                <w:sz w:val="18"/>
                <w:szCs w:val="18"/>
                <w:color w:val="auto"/>
                <w:w w:val="93"/>
              </w:rPr>
              <w:t xml:space="preserve">company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(Do not check if a smaller reporting company)</w:t>
      </w:r>
    </w:p>
    <w:p>
      <w:pPr>
        <w:spacing w:after="0" w:line="198" w:lineRule="exact"/>
        <w:rPr>
          <w:sz w:val="24"/>
          <w:szCs w:val="24"/>
          <w:color w:val="auto"/>
        </w:rPr>
      </w:pPr>
    </w:p>
    <w:p>
      <w:pPr>
        <w:ind w:firstLine="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August 3, 2018, there were 11,470,038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44" w:right="239" w:bottom="705" w:gutter="0" w:footer="0" w:header="0"/>
        </w:sect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44" w:right="239" w:bottom="705"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03"/>
        </w:trPr>
        <w:tc>
          <w:tcPr>
            <w:tcW w:w="10700" w:type="dxa"/>
            <w:vAlign w:val="bottom"/>
            <w:gridSpan w:val="20"/>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80" w:type="dxa"/>
            <w:vAlign w:val="bottom"/>
          </w:tcPr>
          <w:p>
            <w:pPr>
              <w:jc w:val="right"/>
              <w:spacing w:after="0" w:line="202"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6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600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648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7"/>
          </w:tcPr>
          <w:p>
            <w:pPr>
              <w:spacing w:after="0"/>
              <w:rPr>
                <w:sz w:val="21"/>
                <w:szCs w:val="21"/>
                <w:color w:val="auto"/>
              </w:rPr>
            </w:pPr>
          </w:p>
        </w:tc>
        <w:tc>
          <w:tcPr>
            <w:tcW w:w="566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426"/>
        </w:trPr>
        <w:tc>
          <w:tcPr>
            <w:tcW w:w="224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22">
              <w:r>
                <w:rPr>
                  <w:rFonts w:ascii="Arial" w:cs="Arial" w:eastAsia="Arial" w:hAnsi="Arial"/>
                  <w:sz w:val="18"/>
                  <w:szCs w:val="18"/>
                  <w:b w:val="1"/>
                  <w:bCs w:val="1"/>
                  <w:color w:val="0000EE"/>
                  <w:w w:val="96"/>
                </w:rPr>
                <w:t>Part II — Other Information</w:t>
              </w:r>
            </w:hyperlink>
          </w:p>
        </w:tc>
        <w:tc>
          <w:tcPr>
            <w:tcW w:w="84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w:t>
              </w:r>
            </w:hyperlink>
          </w:p>
        </w:tc>
        <w:tc>
          <w:tcPr>
            <w:tcW w:w="136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868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1A. Risk Factors</w:t>
              </w:r>
            </w:hyperlink>
          </w:p>
        </w:tc>
        <w:tc>
          <w:tcPr>
            <w:tcW w:w="8980" w:type="dxa"/>
            <w:vAlign w:val="bottom"/>
            <w:gridSpan w:val="1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10040" w:type="dxa"/>
            <w:vAlign w:val="bottom"/>
            <w:gridSpan w:val="16"/>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68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23</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9420" w:type="dxa"/>
            <w:vAlign w:val="bottom"/>
            <w:gridSpan w:val="1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4"/>
          </w:tcPr>
          <w:p>
            <w:pPr>
              <w:jc w:val="right"/>
              <w:ind w:right="1420"/>
              <w:spacing w:after="0"/>
              <w:rPr>
                <w:sz w:val="20"/>
                <w:szCs w:val="20"/>
                <w:color w:val="auto"/>
              </w:rPr>
            </w:pPr>
            <w:r>
              <w:rPr>
                <w:rFonts w:ascii="Arial" w:cs="Arial" w:eastAsia="Arial" w:hAnsi="Arial"/>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68,359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26,829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15,104</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Accounts receivable, less allowance for doubtful accounts of $239 and $179</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72,682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53,852</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70,939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51,554</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22,854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18,448</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8,222</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3,539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252,422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250,071</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130,545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139,420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Goodwill and intangible assets,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13,800</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414,986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20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salaries, bonuses and commissions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14,984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26,166</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Accrued product warranty</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Other accrued expenses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5,507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5,860</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credit ─ short term</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99,119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85,579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5,314</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17"/>
        </w:trPr>
        <w:tc>
          <w:tcPr>
            <w:tcW w:w="79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107,203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93,690</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E)</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$.01; 5,000,000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900" w:type="dxa"/>
            <w:vAlign w:val="bottom"/>
          </w:tcPr>
          <w:p>
            <w:pPr>
              <w:ind w:left="280"/>
              <w:spacing w:after="0"/>
              <w:rPr>
                <w:sz w:val="20"/>
                <w:szCs w:val="20"/>
                <w:color w:val="auto"/>
              </w:rPr>
            </w:pPr>
            <w:r>
              <w:rPr>
                <w:rFonts w:ascii="Arial" w:cs="Arial" w:eastAsia="Arial" w:hAnsi="Arial"/>
                <w:sz w:val="16"/>
                <w:szCs w:val="16"/>
                <w:color w:val="auto"/>
                <w:w w:val="97"/>
              </w:rPr>
              <w:t>Common stock, par value $.01; 30,000,000 shares authorized; 12,276,056 and 12,234,656 and shares issued,</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00" w:type="dxa"/>
            <w:vAlign w:val="bottom"/>
          </w:tcPr>
          <w:p>
            <w:pPr>
              <w:ind w:left="28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54,329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292,974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310,598</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806,018 shares at cost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(18,754)</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301,447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321,296</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408,650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414,986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80" w:right="239" w:bottom="732"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732"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300,948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103,755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76,873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272,469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261,073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39,875</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46,453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4,926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Restructuring and separation expenses</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97"/>
        </w:trPr>
        <w:tc>
          <w:tcPr>
            <w:tcW w:w="4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(6,898)</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(3,215)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Income (loss) per share:</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 average shares: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11,449</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11,463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11,449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5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Dividends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(3,215)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(2,543)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2,849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1,124</w:t>
            </w:r>
          </w:p>
        </w:tc>
      </w:tr>
      <w:tr>
        <w:trPr>
          <w:trHeight w:val="27"/>
        </w:trPr>
        <w:tc>
          <w:tcPr>
            <w:tcW w:w="4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(2,242)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 June 30,</w:t>
            </w:r>
          </w:p>
        </w:tc>
        <w:tc>
          <w:tcPr>
            <w:tcW w:w="13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b w:val="1"/>
                <w:bCs w:val="1"/>
                <w:color w:val="auto"/>
              </w:rPr>
              <w:t>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400" w:type="dxa"/>
            <w:vAlign w:val="bottom"/>
          </w:tcPr>
          <w:p>
            <w:pPr>
              <w:jc w:val="right"/>
              <w:ind w:right="11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(8,691)</w:t>
            </w:r>
          </w:p>
        </w:tc>
        <w:tc>
          <w:tcPr>
            <w:tcW w:w="12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(4,343)</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Adjustments to reconcile net loss to net cash provided by (used in) operating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9,494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9,218</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4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2,304</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Bad debt expense (recovery)</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Deferred income tax benefit</w:t>
            </w:r>
          </w:p>
        </w:tc>
        <w:tc>
          <w:tcPr>
            <w:tcW w:w="1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amended supply agreement</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Cash received from amended supply agreement</w:t>
            </w:r>
          </w:p>
        </w:tc>
        <w:tc>
          <w:tcPr>
            <w:tcW w:w="14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2,333</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(19,252)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23,847</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Costs and billings in excess of estimated earnings on uncompleted contracts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7,519</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2,022</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14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(14,017)</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1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cash provided by (used in) operating activities</w:t>
            </w:r>
          </w:p>
        </w:tc>
        <w:tc>
          <w:tcPr>
            <w:tcW w:w="1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(26,057)</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27,124</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Purchases of short-term investments</w:t>
            </w:r>
          </w:p>
        </w:tc>
        <w:tc>
          <w:tcPr>
            <w:tcW w:w="1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(60,018)</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Maturities of short-term investments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Changes in restricted cash</w:t>
            </w:r>
          </w:p>
        </w:tc>
        <w:tc>
          <w:tcPr>
            <w:tcW w:w="14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(25,301)</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14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industrial development revenue bonds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Shares withheld in lieu of employee tax withholding</w:t>
            </w:r>
          </w:p>
        </w:tc>
        <w:tc>
          <w:tcPr>
            <w:tcW w:w="1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w:t>
            </w:r>
          </w:p>
        </w:tc>
        <w:tc>
          <w:tcPr>
            <w:tcW w:w="1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(8,904)</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1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(9,702)</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516</w:t>
            </w:r>
          </w:p>
        </w:tc>
      </w:tr>
      <w:tr>
        <w:trPr>
          <w:trHeight w:val="27"/>
        </w:trPr>
        <w:tc>
          <w:tcPr>
            <w:tcW w:w="6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68,359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97,720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0" w:type="dxa"/>
            <w:vAlign w:val="bottom"/>
            <w:tcBorders>
              <w:top w:val="single" w:sz="8" w:color="auto"/>
              <w:bottom w:val="single" w:sz="8" w:color="auto"/>
            </w:tcBorders>
          </w:tcPr>
          <w:p>
            <w:pPr>
              <w:jc w:val="right"/>
              <w:ind w:right="11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40,075</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32,484</w:t>
            </w:r>
          </w:p>
        </w:tc>
      </w:tr>
      <w:tr>
        <w:trPr>
          <w:trHeight w:val="20"/>
        </w:trPr>
        <w:tc>
          <w:tcPr>
            <w:tcW w:w="67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5320"/>
        <w:spacing w:after="0" w:line="375" w:lineRule="auto"/>
        <w:rPr>
          <w:sz w:val="20"/>
          <w:szCs w:val="20"/>
          <w:color w:val="auto"/>
        </w:rPr>
      </w:pPr>
      <w:r>
        <w:rPr>
          <w:rFonts w:ascii="Arial" w:cs="Arial" w:eastAsia="Arial" w:hAnsi="Arial"/>
          <w:sz w:val="18"/>
          <w:szCs w:val="18"/>
          <w:color w:val="auto"/>
        </w:rPr>
        <w:t xml:space="preserve">A. OVERVIEW AND SUMMARY OF SIGNIFICANT ACCOUNTING POLICIES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develop, design, manufacture and service custom-engineered products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2017, which was filed with the Securities and Exchange Commission (SEC) on December 6,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References to Fiscal 2018 and Fiscal 2017 used throughout this report shall mean our fiscal years ended September 30, 2018 and 2017,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and cost recognition for construction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Estimates routinely change as new events occur, additional information becomes available or operating environments change. Actual results may differ from our prior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This standard is effective for fiscal years, and interim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auto"/>
        </w:rPr>
        <w:t>periods within those years, beginning after December 15, 2017, which would be our fiscal year ending September 30, 2019. We plan to use the modified retrospective basis upon adoption which could result in a cumulative effect adjustment as of October 1, 2018, if material. We continue to hold regular meetings with our implementation team which includes training and evaluating contracts to identity potential impacts of the standard on our current accounting policies and disclosures. We will update our accounting policies and procedures and determine the impact from this new standard on our contracts outstanding as of October 1, 2018. While we are still evaluating the potential impact of this standard on our financial statements, we believe accounting for variable consideration, cancellations for convenience clauses and the number of performance obligations contained in each contract could have the greatest significance. We have not yet been able to estimate the impact the new revenue recognition criteria will have on our consolidated financial statements and related disclosures, but the impact on our financial statements from this guidance will be determined in large part by the contracts that are in progress as of the adoption date.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2015, the FASB issued an amendment to the topic regarding income taxes which requires an entity to separate deferred income tax liabilities and assets into current and noncurrent amounts in the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require that deferred income tax liabilities and assets be classified as noncurrent in a classified statement of financial position. We have adopted this topic prospectively in Fiscal 2018 and our statement of financial position reflects this reclassification. We have not retrospectively adjusted prior periods.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This would be our fiscal year ending September 30, 2020. We are still evaluating the potential impact of this topic on our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 new topic on the statement of cash flows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topic is effective for fiscal years beginning after December 15, 2017, and interim periods within those fiscal years, which would be our fiscal year ending September 30, 2019. We are still evaluating this new topic, but do not expect it to have a material impact on our statement of cash flows.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FASB issued a new topic on modification accounting with regards to stock 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This topic is effective for annual reporting periods beginning after December 15, 2017, which is our fiscal year ending September 30, 2019. We are still evaluating this new topic, but do not expect it to have a material impact on our consolidated financial position or results of operations.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B. EARNINGS PER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 reconciles basic and diluted weighted average shares used in the computation of earnings per share (in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5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(3,215)</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(4,343)</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Denominator:</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Weighted average basic shares</w:t>
            </w:r>
          </w:p>
        </w:tc>
        <w:tc>
          <w:tcPr>
            <w:tcW w:w="10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11,514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11,463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11,449</w:t>
            </w:r>
          </w:p>
        </w:tc>
      </w:tr>
      <w:tr>
        <w:trPr>
          <w:trHeight w:val="27"/>
        </w:trPr>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restricted stock units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97"/>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diluted shares</w:t>
            </w:r>
          </w:p>
        </w:tc>
        <w:tc>
          <w:tcPr>
            <w:tcW w:w="10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11,587</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11,463</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11,503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11,449</w:t>
            </w: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(loss) per share:</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304"/>
        </w:trPr>
        <w:tc>
          <w:tcPr>
            <w:tcW w:w="4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51"/>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4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June 30, 2017 and nine months ended June 30, 2018 and 2017, we incurred net losses and therefore all potential common shares were deemed to be anti-dilutive.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 DETAIL OF SELECTED BALANCE SHEET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allowance for doubtful accounts receivable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Borders>
              <w:bottom w:val="single" w:sz="8" w:color="auto"/>
            </w:tcBorders>
            <w:gridSpan w:val="7"/>
          </w:tcPr>
          <w:p>
            <w:pPr>
              <w:jc w:val="right"/>
              <w:ind w:right="552"/>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0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00" w:type="dxa"/>
            <w:vAlign w:val="bottom"/>
            <w:tcBorders>
              <w:bottom w:val="single" w:sz="8" w:color="CFF0FC"/>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c>
          <w:tcPr>
            <w:tcW w:w="1260" w:type="dxa"/>
            <w:vAlign w:val="bottom"/>
            <w:tcBorders>
              <w:bottom w:val="single" w:sz="8" w:color="CFF0FC"/>
            </w:tcBorders>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179</w:t>
            </w:r>
          </w:p>
        </w:tc>
        <w:tc>
          <w:tcPr>
            <w:tcW w:w="4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811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Bad debt expense (recovery)</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Uncollectible accounts written off, net of recoveries</w:t>
            </w: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40" w:type="dxa"/>
            <w:vAlign w:val="bottom"/>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26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239</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90</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73"/>
        </w:trPr>
        <w:tc>
          <w:tcPr>
            <w:tcW w:w="50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040" w:type="dxa"/>
            <w:vAlign w:val="bottom"/>
          </w:tcPr>
          <w:p>
            <w:pPr>
              <w:spacing w:after="0"/>
              <w:rPr>
                <w:sz w:val="20"/>
                <w:szCs w:val="20"/>
                <w:color w:val="auto"/>
              </w:rPr>
            </w:pPr>
            <w:r>
              <w:rPr>
                <w:rFonts w:ascii="Arial" w:cs="Arial" w:eastAsia="Arial" w:hAnsi="Arial"/>
                <w:sz w:val="18"/>
                <w:szCs w:val="18"/>
                <w:color w:val="auto"/>
                <w:w w:val="90"/>
              </w:rPr>
              <w:t>The components of inventories are summarized below (in thousands):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504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5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w w:val="90"/>
              </w:rPr>
              <w:t>June 30, 2018</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w w:val="94"/>
              </w:rPr>
              <w:t>September 30, 2017</w:t>
            </w:r>
          </w:p>
        </w:tc>
      </w:tr>
      <w:tr>
        <w:trPr>
          <w:trHeight w:val="250"/>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 parts and subassemblies, net</w:t>
            </w: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21,402</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17,848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600</w:t>
            </w:r>
          </w:p>
        </w:tc>
      </w:tr>
      <w:tr>
        <w:trPr>
          <w:trHeight w:val="27"/>
        </w:trPr>
        <w:tc>
          <w:tcPr>
            <w:tcW w:w="504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5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inventories</w:t>
            </w:r>
          </w:p>
        </w:tc>
        <w:tc>
          <w:tcPr>
            <w:tcW w:w="10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CFF0FC"/>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22,854</w:t>
            </w:r>
          </w:p>
        </w:tc>
        <w:tc>
          <w:tcPr>
            <w:tcW w:w="4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18,448</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Estimated Earnings on Uncompleted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costs and estimated earnings and related amounts billed on uncompleted contracts are summarized below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CFF0FC"/>
            </w:tcBorders>
          </w:tcPr>
          <w:p>
            <w:pPr>
              <w:spacing w:after="0"/>
              <w:rPr>
                <w:sz w:val="16"/>
                <w:szCs w:val="16"/>
                <w:color w:val="auto"/>
              </w:rPr>
            </w:pPr>
          </w:p>
        </w:tc>
        <w:tc>
          <w:tcPr>
            <w:tcW w:w="104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000" w:type="dxa"/>
            <w:vAlign w:val="bottom"/>
            <w:tcBorders>
              <w:bottom w:val="single" w:sz="8" w:color="CFF0FC"/>
            </w:tcBorders>
          </w:tcPr>
          <w:p>
            <w:pPr>
              <w:spacing w:after="0"/>
              <w:rPr>
                <w:sz w:val="16"/>
                <w:szCs w:val="16"/>
                <w:color w:val="auto"/>
              </w:rPr>
            </w:pPr>
          </w:p>
        </w:tc>
        <w:tc>
          <w:tcPr>
            <w:tcW w:w="34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w w:val="96"/>
              </w:rPr>
              <w:t>June 30, 2018</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Costs incurred on uncompleted contracts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823,190</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987,164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246,852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316,970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1,070,042</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1,304,134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(1,038,540)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(1,278,746)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31,502</w:t>
            </w:r>
          </w:p>
        </w:tc>
        <w:tc>
          <w:tcPr>
            <w:tcW w:w="20" w:type="dxa"/>
            <w:vAlign w:val="bottom"/>
            <w:shd w:val="clear" w:color="auto" w:fill="CFF0FC"/>
          </w:tcPr>
          <w:p>
            <w:pPr>
              <w:spacing w:after="0"/>
              <w:rPr>
                <w:sz w:val="22"/>
                <w:szCs w:val="22"/>
                <w:color w:val="auto"/>
              </w:rPr>
            </w:pPr>
          </w:p>
        </w:tc>
        <w:tc>
          <w:tcPr>
            <w:tcW w:w="220" w:type="dxa"/>
            <w:vAlign w:val="bottom"/>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gridSpan w:val="2"/>
            <w:vMerge w:val="restart"/>
          </w:tcPr>
          <w:p>
            <w:pPr>
              <w:ind w:left="40"/>
              <w:spacing w:after="0"/>
              <w:rPr>
                <w:sz w:val="20"/>
                <w:szCs w:val="20"/>
                <w:color w:val="auto"/>
              </w:rPr>
            </w:pPr>
            <w:r>
              <w:rPr>
                <w:rFonts w:ascii="Arial" w:cs="Arial" w:eastAsia="Arial" w:hAnsi="Arial"/>
                <w:sz w:val="18"/>
                <w:szCs w:val="18"/>
                <w:color w:val="auto"/>
                <w:w w:val="93"/>
              </w:rPr>
              <w:t>Included in the accompanying balance sheets under the following captions:</w:t>
            </w: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vMerge w:val="continue"/>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w w:val="91"/>
              </w:rPr>
              <w:t>Costs and estimated earnings in excess of billings on uncompleted contracts</w:t>
            </w: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70,939</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51,554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1"/>
              </w:rPr>
              <w:t>Billings in excess of costs and estimated earnings on uncompleted contracts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(39,437)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(26,166)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underbilled position</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8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31,502</w:t>
            </w:r>
          </w:p>
        </w:tc>
        <w:tc>
          <w:tcPr>
            <w:tcW w:w="20" w:type="dxa"/>
            <w:vAlign w:val="bottom"/>
            <w:shd w:val="clear" w:color="auto" w:fill="CFF0FC"/>
          </w:tcPr>
          <w:p>
            <w:pPr>
              <w:spacing w:after="0"/>
              <w:rPr>
                <w:sz w:val="22"/>
                <w:szCs w:val="22"/>
                <w:color w:val="auto"/>
              </w:rPr>
            </w:pPr>
          </w:p>
        </w:tc>
        <w:tc>
          <w:tcPr>
            <w:tcW w:w="220" w:type="dxa"/>
            <w:vAlign w:val="bottom"/>
            <w:gridSpan w:val="3"/>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i w:val="1"/>
                <w:iCs w:val="1"/>
                <w:color w:val="auto"/>
              </w:rPr>
              <w:t>Accrued Product Warranty</w:t>
            </w:r>
          </w:p>
        </w:tc>
        <w:tc>
          <w:tcPr>
            <w:tcW w:w="10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4"/>
          </w:tcPr>
          <w:p>
            <w:pPr>
              <w:spacing w:after="0"/>
              <w:rPr>
                <w:sz w:val="20"/>
                <w:szCs w:val="20"/>
                <w:color w:val="auto"/>
              </w:rPr>
            </w:pPr>
            <w:r>
              <w:rPr>
                <w:rFonts w:ascii="Arial" w:cs="Arial" w:eastAsia="Arial" w:hAnsi="Arial"/>
                <w:sz w:val="18"/>
                <w:szCs w:val="18"/>
                <w:color w:val="auto"/>
                <w:w w:val="98"/>
              </w:rPr>
              <w:t>Activity in our product warranty accrual consisted of the following (in thousands):</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center"/>
              <w:ind w:right="32"/>
              <w:spacing w:after="0"/>
              <w:rPr>
                <w:sz w:val="20"/>
                <w:szCs w:val="20"/>
                <w:color w:val="auto"/>
              </w:rPr>
            </w:pPr>
            <w:r>
              <w:rPr>
                <w:rFonts w:ascii="Arial" w:cs="Arial" w:eastAsia="Arial" w:hAnsi="Arial"/>
                <w:sz w:val="14"/>
                <w:szCs w:val="14"/>
                <w:b w:val="1"/>
                <w:bCs w:val="1"/>
                <w:color w:val="auto"/>
                <w:w w:val="91"/>
              </w:rPr>
              <w:t>Nine months ended June 30,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beginning of period</w:t>
            </w:r>
          </w:p>
        </w:tc>
        <w:tc>
          <w:tcPr>
            <w:tcW w:w="1040" w:type="dxa"/>
            <w:vAlign w:val="bottom"/>
            <w:tcBorders>
              <w:bottom w:val="single" w:sz="8" w:color="CFF0FC"/>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2,241</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3,649</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Increase in warranty expense</w:t>
            </w:r>
          </w:p>
        </w:tc>
        <w:tc>
          <w:tcPr>
            <w:tcW w:w="10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Deduction for warranty charges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(949)</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Change due to foreign currency translation</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3,332</w:t>
            </w:r>
          </w:p>
        </w:tc>
        <w:tc>
          <w:tcPr>
            <w:tcW w:w="2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D. LONG-TERM DEBT</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5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color w:val="auto"/>
              </w:rPr>
              <w:t>Long-term debt consisted of the following (in thousands):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58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Industrial development revenue bonds</w:t>
            </w:r>
          </w:p>
        </w:tc>
        <w:tc>
          <w:tcPr>
            <w:tcW w:w="10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040" w:type="dxa"/>
            <w:vAlign w:val="bottom"/>
            <w:tcBorders>
              <w:bottom w:val="single" w:sz="8" w:color="CFF0FC"/>
            </w:tcBorders>
          </w:tcPr>
          <w:p>
            <w:pPr>
              <w:spacing w:after="0"/>
              <w:rPr>
                <w:sz w:val="2"/>
                <w:szCs w:val="2"/>
                <w:color w:val="auto"/>
              </w:rPr>
            </w:pPr>
          </w:p>
        </w:tc>
        <w:tc>
          <w:tcPr>
            <w:tcW w:w="5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CFF0FC"/>
            </w:tcBorders>
          </w:tcPr>
          <w:p>
            <w:pPr>
              <w:spacing w:after="0"/>
              <w:rPr>
                <w:sz w:val="2"/>
                <w:szCs w:val="2"/>
                <w:color w:val="auto"/>
              </w:rPr>
            </w:pPr>
          </w:p>
        </w:tc>
        <w:tc>
          <w:tcPr>
            <w:tcW w:w="3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long-term debt</w:t>
            </w:r>
          </w:p>
        </w:tc>
        <w:tc>
          <w:tcPr>
            <w:tcW w:w="10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Revolver</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$75.0 million revolving credit facility (U.S. Revolver) to provide working capital support and letters of credit which expires on June 27, 2022. The amount available under the U.S. Revolver at June 30, 2018 was reduced by $22.3 million for our outstanding letters of credit. Currently, our U.S. Revolver can only be used for letters of credit until we meet certain financial ratios. There were no loans outstanding under the U.S. Revolver as of June 30, 2018.</w:t>
      </w:r>
    </w:p>
    <w:p>
      <w:pPr>
        <w:spacing w:after="0" w:line="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Per the terms of the U.S. Revolver, we are required to maintain a cash balance in a pledged cash collateral account equal to 102% of the outstanding amount of any loans and letter of credit obligations until we meet certain financial ratios. As of June 30, 2018, the balance in the pledged account was $23.6 million. The cash collateral associated with the outstanding letters of credit that are due to expire beyond twelve months has been classified as non-current restricted cash on the balance sheet. As of June 30, 2018, there was $52.7 million available for the issuance of letters of credit under the U.S. Revolver.</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may be accelerated and may become immediately due and payable.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 As of June 30, 2018, we were in compliance with all of the financial covenants of the U.S. Revolver.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Revenue Bonds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June 30, 2018.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1.58% as of June 30, 2018.</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 Surety Bonds and Bank Guarantees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customers require us to post letters of credit or surety bonds which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letters of credit of $22.3 million as of June 30, 2018. We also had surety bonds totaling $168.3 million that were outstanding, with additional bonding capacity of $581.7 million available, at June 30, 2018.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have a $6.6 million facility agreement (Facility Agreement) between Powell (UK) Limited and a large international bank. This Facility Agreement provides Powell (UK) Limited the ability to enter into bank guarantees as well as forward exchange contracts and currency options. At June 30, 2018, we had outstanding guarantees totaling $3.2 million under this Facility Agreement and amounts available under this Facility Agreement were $3.4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June 30, 2018, we were in compliance with all of the financial covenants of the Facility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Liquidated Damages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June 30, 2018, our exposure to possible liquidated damages was $2.6 million, of which approximately $1.6 million is probable. Based on our actual or projected failure to meet these various contractual commitments, $1.5 million has been recorded as a reduction to revenue. Of the $1.5 million recorded as a reduction to revenue, approximately $1.0 million was recognized in prior periods. We will attempt to obtain change orders, contract extensions or accelerate project completion which may resolve the potential for any unaccrued liquidated damage. Should we fail to achieve relief on some or all of these contractual obligations, we could be required to pay additional liquidated damages, which could negatively impact our future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 STOCK-BASED COMPENSATION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Refer to our Annual Report on Form 10-K for the fiscal year ended September 30, 2017 for a full description of our existing stock-based compensation plans.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issue restricted stock units (RSUs) to certain officers and key employees of the Company. The fair value of the RSUs is based on the price of our common stock as reported on the NASDAQ Global Market on the grant dates. The typical annual grant vests over a three-year period from the date of issuance. Sixty percent of those grants are time-based and vest over a three-year period on each anniversary of the grant date, based on continued employment. The remaining forty percent of the grant will be earned based on the three-year earnings performance of the Company following the grant date. At June 30, 2018, there were 199,317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RSU activity (number of shares) for the nine months ended June 30, 2018 is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1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8"/>
              </w:rPr>
              <w:t>Fair Value</w:t>
            </w:r>
          </w:p>
        </w:tc>
      </w:tr>
      <w:tr>
        <w:trPr>
          <w:trHeight w:val="192"/>
        </w:trPr>
        <w:tc>
          <w:tcPr>
            <w:tcW w:w="85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Per Share</w:t>
            </w:r>
          </w:p>
        </w:tc>
      </w:tr>
      <w:tr>
        <w:trPr>
          <w:trHeight w:val="250"/>
        </w:trPr>
        <w:tc>
          <w:tcPr>
            <w:tcW w:w="85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2017</w:t>
            </w:r>
          </w:p>
        </w:tc>
        <w:tc>
          <w:tcPr>
            <w:tcW w:w="1360" w:type="dxa"/>
            <w:vAlign w:val="bottom"/>
            <w:tcBorders>
              <w:top w:val="single" w:sz="8" w:color="auto"/>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177,737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37.00</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88,000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29.88</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(43,620)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35.30</w:t>
            </w:r>
          </w:p>
        </w:tc>
      </w:tr>
      <w:tr>
        <w:trPr>
          <w:trHeight w:val="243"/>
        </w:trPr>
        <w:tc>
          <w:tcPr>
            <w:tcW w:w="8500" w:type="dxa"/>
            <w:vAlign w:val="bottom"/>
          </w:tcPr>
          <w:p>
            <w:pPr>
              <w:ind w:left="280"/>
              <w:spacing w:after="0"/>
              <w:rPr>
                <w:sz w:val="20"/>
                <w:szCs w:val="20"/>
                <w:color w:val="auto"/>
              </w:rPr>
            </w:pPr>
            <w:r>
              <w:rPr>
                <w:rFonts w:ascii="Arial" w:cs="Arial" w:eastAsia="Arial" w:hAnsi="Arial"/>
                <w:sz w:val="18"/>
                <w:szCs w:val="18"/>
                <w:color w:val="auto"/>
              </w:rPr>
              <w:t>Forfeited/canceled</w:t>
            </w:r>
          </w:p>
        </w:tc>
        <w:tc>
          <w:tcPr>
            <w:tcW w:w="1360" w:type="dxa"/>
            <w:vAlign w:val="bottom"/>
          </w:tcPr>
          <w:p>
            <w:pPr>
              <w:jc w:val="right"/>
              <w:spacing w:after="0"/>
              <w:rPr>
                <w:sz w:val="20"/>
                <w:szCs w:val="20"/>
                <w:color w:val="auto"/>
              </w:rPr>
            </w:pPr>
            <w:r>
              <w:rPr>
                <w:rFonts w:ascii="Arial" w:cs="Arial" w:eastAsia="Arial" w:hAnsi="Arial"/>
                <w:sz w:val="18"/>
                <w:szCs w:val="18"/>
                <w:color w:val="auto"/>
              </w:rPr>
              <w:t>(22,800)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41.88</w:t>
            </w:r>
          </w:p>
        </w:tc>
      </w:tr>
      <w:tr>
        <w:trPr>
          <w:trHeight w:val="27"/>
        </w:trPr>
        <w:tc>
          <w:tcPr>
            <w:tcW w:w="850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June 30, 2018</w:t>
            </w:r>
          </w:p>
        </w:tc>
        <w:tc>
          <w:tcPr>
            <w:tcW w:w="13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199,317</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33.69</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June 30, 2018 and 2017, we recorded compensation expense of $2.0 million and $1.7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non-employee director receives 2,000 restricted shares of the Company’s common stock annually. Fifty-percent of the restricted stock granted to each of our non-employee directors vests immediately, while the remaining fifty-percent will vest on the first anniversary of the grant date. Compensation expense is recognized immediately for the first fifty-percent of the restricted stock granted, while compensation expense for the remaining fifty-percent is recognized over the remaining vesting period based on the price per share on the grant date. In February 2018, 12,000 shares of restricted stock were issued to our non-employee directors under the 2014 Director Plan at a price of $27.88 per share. In April 2018, we issued 2,000 shares of restricted stock to a non-employee director at a price of $27.15 per share.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June 30, 2018 and 2017, we recorded compensation expense of $0.4 million and $0.6 million, respectively, related to restricted stock.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G. FAIR VALUE MEASUREMENTS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June 30, 2018 (in thousands):</w:t>
      </w:r>
    </w:p>
    <w:p>
      <w:pPr>
        <w:spacing w:after="0" w:line="200" w:lineRule="exact"/>
        <w:rPr>
          <w:sz w:val="20"/>
          <w:szCs w:val="20"/>
          <w:color w:val="auto"/>
        </w:rPr>
      </w:pP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Fair Value Measurements at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Significant</w:t>
            </w:r>
          </w:p>
        </w:tc>
        <w:tc>
          <w:tcPr>
            <w:tcW w:w="134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40,075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40,075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15,218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23,587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23,587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2017 (in thousands):</w:t>
      </w:r>
    </w:p>
    <w:p>
      <w:pPr>
        <w:spacing w:after="0" w:line="176"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Fair Value Measurements at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Significant</w:t>
            </w:r>
          </w:p>
        </w:tc>
        <w:tc>
          <w:tcPr>
            <w:tcW w:w="136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(Level 2)</w:t>
            </w: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68,359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080"/>
              <w:spacing w:after="0"/>
              <w:rPr>
                <w:sz w:val="20"/>
                <w:szCs w:val="20"/>
                <w:color w:val="auto"/>
              </w:rPr>
            </w:pPr>
            <w:r>
              <w:rPr>
                <w:rFonts w:ascii="Arial" w:cs="Arial" w:eastAsia="Arial" w:hAnsi="Arial"/>
                <w:sz w:val="18"/>
                <w:szCs w:val="18"/>
                <w:color w:val="auto"/>
              </w:rPr>
              <w:t>—   $</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26,829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24,851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24,851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4,991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 Restricted cash represents a pledged cash collateral balance which is required under our U.S. Revolver and is held in an interest-bearing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See Note D for further discussion on restricted cash.</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 We hold investments in an irrevocable Rabbi Trust for our deferred compensation plan. These assets include both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company-owned life insurance policies. Under the plan, participants designate investment options to serve as the basis for measurement of the notional value of their accounts. The mutual funds and company-owned life insurance policies are combined in the plan and are therefore categorized as Level 2 in the fair value measurement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44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(6,898)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(10,812)</w:t>
            </w:r>
          </w:p>
        </w:tc>
      </w:tr>
      <w:tr>
        <w:trPr>
          <w:trHeight w:val="270"/>
        </w:trPr>
        <w:tc>
          <w:tcPr>
            <w:tcW w:w="4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(3,683)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(6,469)</w:t>
            </w:r>
          </w:p>
        </w:tc>
      </w:tr>
      <w:tr>
        <w:trPr>
          <w:trHeight w:val="230"/>
        </w:trPr>
        <w:tc>
          <w:tcPr>
            <w:tcW w:w="4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(3,215)</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(8,691)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(4,343)</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5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53%</w:t>
            </w:r>
          </w:p>
        </w:tc>
        <w:tc>
          <w:tcPr>
            <w:tcW w:w="21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w w:val="97"/>
              </w:rPr>
              <w:t>On  December  22,  2017,  President  Trump  signed  into  law  the</w:t>
            </w:r>
          </w:p>
        </w:tc>
        <w:tc>
          <w:tcPr>
            <w:tcW w:w="860" w:type="dxa"/>
            <w:vAlign w:val="bottom"/>
          </w:tcPr>
          <w:p>
            <w:pPr>
              <w:jc w:val="right"/>
              <w:spacing w:after="0"/>
              <w:rPr>
                <w:sz w:val="20"/>
                <w:szCs w:val="20"/>
                <w:color w:val="auto"/>
              </w:rPr>
            </w:pPr>
            <w:r>
              <w:rPr>
                <w:rFonts w:ascii="Arial" w:cs="Arial" w:eastAsia="Arial" w:hAnsi="Arial"/>
                <w:sz w:val="18"/>
                <w:szCs w:val="18"/>
                <w:color w:val="auto"/>
              </w:rPr>
              <w:t>Tax  Cuts</w:t>
            </w:r>
          </w:p>
        </w:tc>
        <w:tc>
          <w:tcPr>
            <w:tcW w:w="2520" w:type="dxa"/>
            <w:vAlign w:val="bottom"/>
          </w:tcPr>
          <w:p>
            <w:pPr>
              <w:jc w:val="right"/>
              <w:spacing w:after="0"/>
              <w:rPr>
                <w:sz w:val="20"/>
                <w:szCs w:val="20"/>
                <w:color w:val="auto"/>
              </w:rPr>
            </w:pPr>
            <w:r>
              <w:rPr>
                <w:rFonts w:ascii="Arial" w:cs="Arial" w:eastAsia="Arial" w:hAnsi="Arial"/>
                <w:sz w:val="18"/>
                <w:szCs w:val="18"/>
                <w:color w:val="auto"/>
              </w:rPr>
              <w:t>and  Jobs  Act  (the  Act).  The</w:t>
            </w:r>
          </w:p>
        </w:tc>
        <w:tc>
          <w:tcPr>
            <w:tcW w:w="2140" w:type="dxa"/>
            <w:vAlign w:val="bottom"/>
          </w:tcPr>
          <w:p>
            <w:pPr>
              <w:jc w:val="right"/>
              <w:spacing w:after="0"/>
              <w:rPr>
                <w:sz w:val="20"/>
                <w:szCs w:val="20"/>
                <w:color w:val="auto"/>
              </w:rPr>
            </w:pPr>
            <w:r>
              <w:rPr>
                <w:rFonts w:ascii="Arial" w:cs="Arial" w:eastAsia="Arial" w:hAnsi="Arial"/>
                <w:sz w:val="18"/>
                <w:szCs w:val="18"/>
                <w:color w:val="auto"/>
                <w:w w:val="98"/>
              </w:rPr>
              <w:t>Act  lowers  the  corporate</w:t>
            </w:r>
          </w:p>
        </w:tc>
        <w:tc>
          <w:tcPr>
            <w:tcW w:w="700" w:type="dxa"/>
            <w:vAlign w:val="bottom"/>
          </w:tcPr>
          <w:p>
            <w:pPr>
              <w:jc w:val="right"/>
              <w:spacing w:after="0"/>
              <w:rPr>
                <w:sz w:val="20"/>
                <w:szCs w:val="20"/>
                <w:color w:val="auto"/>
              </w:rPr>
            </w:pPr>
            <w:r>
              <w:rPr>
                <w:rFonts w:ascii="Arial" w:cs="Arial" w:eastAsia="Arial" w:hAnsi="Arial"/>
                <w:sz w:val="18"/>
                <w:szCs w:val="18"/>
                <w:color w:val="auto"/>
              </w:rPr>
              <w:t>tax  rate</w:t>
            </w:r>
          </w:p>
        </w:tc>
      </w:tr>
    </w:tbl>
    <w:p>
      <w:pPr>
        <w:jc w:val="both"/>
        <w:ind w:right="20"/>
        <w:spacing w:after="0" w:line="323" w:lineRule="auto"/>
        <w:rPr>
          <w:sz w:val="20"/>
          <w:szCs w:val="20"/>
          <w:color w:val="auto"/>
        </w:rPr>
      </w:pPr>
      <w:r>
        <w:rPr>
          <w:rFonts w:ascii="Arial" w:cs="Arial" w:eastAsia="Arial" w:hAnsi="Arial"/>
          <w:sz w:val="16"/>
          <w:szCs w:val="16"/>
          <w:color w:val="auto"/>
        </w:rPr>
        <w:t>from 35% to 21% effective January 1, 2018. As a result, the U.S. federal statutory rate for Fiscal 2018 is a reduced blended U.S. tax rate of 24.5%. The final impact of the Act may differ from our estimates based on changes in interpretations or assumptions we make, as well as the issuance of additional guidance.</w:t>
      </w:r>
    </w:p>
    <w:p>
      <w:pPr>
        <w:spacing w:after="0" w:line="1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third quarter of Fiscal 2018, the effective tax rate was negatively impacted by the relative amounts of income/loss recognized in various jurisdictions as well as a foreign tax loss which is reserved with a valuation allowance. The effective tax rate for the third quarter of Fiscal 2017 was favorably impacted by discrete items recognized during the quarter, primarily related to the Research and Development Tax Credit (R&amp;D Tax Credit). The effective tax rate for the third quarter of Fiscal 2017 was also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tax rate for the nine months ended June 30, 2018 decreased due to the lower U.S. corporate tax rate as well as a foreign tax loss which is reserved with a valuation allowance. Additionally we recorded deferred tax expense of $0.7 million due to the re-measurement of our U.S. deferred tax assets under the Act, which are not expected to be realized prior to the end of Fiscal 2018. The effective tax rate for the nine months ended June 30, 2017 was favorably impacted by discrete items, primarily related to the R&amp;D Tax Credit. The effective tax rate for the nine months ended June 30, 2017 was also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I. SUBSEQUENT EVENTS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6, 2018, our Board of Directors declared a quarterly cash dividend on our common stock in the amount of $0.26 per share. The dividend is payable on September 19, 2018 to shareholders of record at the close of business on August 22,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jc w:val="both"/>
        <w:ind w:left="600"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backlog is subject to unexpected adjustments and cancellations and, therefore, may not be a reliable indicator of our future earnings.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percentage-of-completion accounting on our fixed-price contracts could result in volatility in our results of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requires skilled labor and we may be unable to attract and retain qualified employees.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 on some of our projects.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00" w:right="20"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could adversely impact our financial results.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by competitors may make existing products and production methods obsolete.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could disrupt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involves a number of risks.</w:t>
      </w:r>
    </w:p>
    <w:p>
      <w:pPr>
        <w:spacing w:after="0" w:line="117"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These fluctuations may cause our stockholders to incur losses.</w:t>
      </w:r>
    </w:p>
    <w:p>
      <w:pPr>
        <w:spacing w:after="0" w:line="62"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00" w:right="2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2017.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2017 which was filed with the Securities and Exchange Commission (SEC) on December 6, 2017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spacing w:after="0" w:line="354" w:lineRule="auto"/>
        <w:rPr>
          <w:sz w:val="20"/>
          <w:szCs w:val="20"/>
          <w:color w:val="auto"/>
        </w:rPr>
      </w:pPr>
      <w:r>
        <w:rPr>
          <w:rFonts w:ascii="Arial" w:cs="Arial" w:eastAsia="Arial" w:hAnsi="Arial"/>
          <w:sz w:val="16"/>
          <w:szCs w:val="16"/>
          <w:color w:val="auto"/>
        </w:rPr>
        <w:t>We develop, design, manufacture and service custom-engineered equipment and systems for the distribution, control and monitoring of electrical energy. Headquartered in Houston, Texas, we serve the oil and gas refining, onshore and offshore oil and gas production, petrochemical, pipeline, terminal, mining and metals, light rail traction power, electric utility, pulp and paper and other heavy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significant decline in oil and gas prices from peak 2014 levels, many of our customers have reduced their capital budgets and cut costs, and in certain instances have delayed or cancelled projects that we were pursuing. As a result, our revenues and project backlog declined. In response to our reduced project backlog and the challenging market outlook in our core oil, gas and petrochemical markets, we took steps in Fiscal 2016 and 2017 to reduce our overall cost structure and better align our costs with future production requirements. Since the second half of Fiscal 2017, our core oil, gas and petrochemical markets have begun to strengthen resulting in increased revenues and backlog.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2018 Compared to the Quarter Ended June 30, 2017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increased by 42%, or $36.2 million, to $122.1 million in the third quarter of Fiscal 2018, compared to the third quarter of Fiscal 2017, primarily due to an increase in orders from our domestic operations in Fiscal 2018. Domestic revenues increased by 66%, or $36.2 million, to $91.3 million in the third quarter of Fiscal 2018, compared to the third quarter of Fiscal 2017. International revenues were $30.8 million in the third quarter of Fiscal 2018 and the third quarter of Fiscal 2017. Our international revenue includes both revenue generated from our international facilities as well as export revenues from our domestic facilities. Revenues from commercial and industrial customers increased by 94%, or $45.3 million, to $93.3 million in the third quarter of Fiscal 2018, compared to the third quarter of Fiscal 2017. Revenues from public and private utilities decreased by 32%, or $9.1 million, to $19.3 million in the third quarter of Fiscal 2018, compared to the third quarter of Fiscal 2017. Revenues from municipal and transit projects were $9.5 million in the third quarter of Fiscal 2018, and the third quarter of Fiscal 2017. The increase in commercial and industrial revenues and decrease in public and private utilities revenues were primarily due to the timing of projects.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for the third quarter of Fiscal 2018 increased by 103%, or $9.3 million, to $18.4 million, compared to the third quarter of Fiscal 2017. Gross profit as a percentage of revenues increased to 15% in the third quarter of Fiscal 2018, compared to 11% in the third quarter of Fiscal 2017. Gross profit and margins are improving due to improved efficiencies in our manufacturing facilities and increased volumes due to the increased demand.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$1.4 million, to $16.2 million during the third quarter of Fiscal 2018, compared to $14.8 million in the third quarter of Fiscal 2017, primarily due to the timing of variable performance based compensation. Selling, general and administrative expenses, as a percentage of revenues, decreased to 13% during the third quarter of Fiscal 2018, compared to 17% during the third quarter of Fiscal 2017, primarily due to the increase in revenues.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Income Tax Provision/Benefit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an income tax provision of $0.4 million in the third quarter of Fiscal 2018, compared to an income tax benefit of $3.7 million in the third quarter of Fiscal 2017. The effective tax rate for the third quarter of Fiscal 2018 was 56% compared to an effective tax rate of 53% in the third quarter of Fiscal 2017. On December 22, 2017, President Trump signed into law the Tax Cuts and Jobs Act (the Act). The Act lowered the corporate tax rate from 35% to 21% effective January 1, 2018. The final impact of the Act may differ from our estimates based on changes in interpretations or assumptions we make, as well as the issuance of additional guidance. In the third quarter of Fiscal 2018, the effective tax rate was negatively impacted by the relative amounts of income/loss recognized in various jurisdictions as well as a foreign tax loss which is reserved with a valuation allowance. The effective tax rate for the third quarter of 2017 was favorably impacted by discrete items recognized during the quarter, primarily related to the Research and Development Tax Credit (R&amp;D Tax Credit). The effective tax rate for the third quarter of Fiscal 2017 was also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third quarter of Fiscal 2018, we recorded income of $0.3 million, or $0.03 per diluted share compared to a net loss of $3.2 million, or $0.28 per diluted share, in the third quarter of Fiscal 2017. This improvement in operating results over the prior year was primarily due to the increase in revenues and gross profit from increased bookings and backlog, primarily from our core oil, gas and petrochemical markets.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orders increased during the third quarter of Fiscal 2018 to $139.2 million, compared to $90.7 million in the third quarter of Fiscal 2017, primarily due to increased demand from our customers in our core oil, gas and petrochemical markets. The order backlog at June 30, 2018 was $316.2 million, an increase from $299.8 million at March 31, 2018.</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2018 Compared to the Nine Months Ended June 30, 2017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Gross Profit</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increased by 4%, or $12.9 million, to $313.8 million for the nine months ended June 30, 2018, compared to the nine months ended June 30, 2017, primarily due to the increase in orders in Fiscal 2018. Domestic revenues increased by 3%, or $6.6 million, to $222.9 million for the nine months ended June 30, 2018, compared to the nine months ended June 30, 2017. This was primarily due to remediation efforts following Hurricane Harvey which resulted in approximately $7 million of revenue. International revenues increased by 7%, or $6.2 million, to $90.9 million for the nine months ended June 30, 2018, compared to the nine months ended June 30, 2017. Our international revenue includes both revenue generated from our international facilities as well as export revenues from our domestic facilities. The increase in international revenues resulted from an increase in oil and gas export projects manufactured at our domestic facilities. Revenues from commercial and industrial customers increased by 18%, or $34.2 million, to $224.8 million for the nine months ended June 30, 2018, compared to the nine months ended June 30, 2017. Revenues from public and private utilities increased by 11%, or $6.4 million, to $67.4 million for the nine months ended June 30, 2018, compared to the nine months ended June 30, 2017. Revenues from municipal and transit projects decreased by 56%, or $27.7 million, to $21.6 million for the nine months ended June 30, 2018, compared to the nine months ended June 30, 2017. The increase in commercial and industrial revenues and public and private utilities revenues and the decline in municipal and transit projects were primarily due to the timing of projects.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for the nine months ended June 30, 2018 increased by 4%, or $1.5 million, to $41.4 million, compared to the nine months ended June 30, 2017. Gross profit as a percentage of revenues was 13% for both the nine months ended June 30, 2018 and 2017. Gross profit is improving due to improved efficiencies in our manufacturing facilities and increased volumes due to the increased demand.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increased by 4%, or $2.0 million, to $48.5 million for the nine months ended June 30, 2018, compared to the nine months ended June 30, 2017, primarily due to the timing of variable performance based compensation. Selling, general and administrative expenses, as a percentage of revenues, was 15% for both the nine months ended June 30, 2018 and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Restructuring and Separation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nine months ended June 30, 2018, we had no restructuring or separation expenses. However, in the nine months ended June 30, 2017, we incurred $0.8 million in restructuring and separation expenses as we continued to reduce our overall cost structure to better align our costs with future production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recorded an income tax benefit of $2.4 million for the nine months ended June 30, 2018 compared to an income tax benefit of $6.5 million for the nine months ended June 30, 2017. However, the effective tax rate for the nine months ended June 30, 2018 was 22% compared to an effective tax rate of 60% for the nine months ended June 30, 2017. The effective tax rate for the nine months ended June 30, 2018 decreased due to the lower U.S. corporate tax rate as well as a foreign tax loss which is reserved with a valuation allowance. Additionally we recorded deferred tax expense of $0.7 million due to the re-measurement of our U.S. deferred tax assets under the Act, which are not expected to be realized prior to the end of Fiscal 2018. The effective tax rate for the nine months ended June 30, 2017 was favorably impacted by discrete items, primarily related to the R&amp;D Tax Credit. The effective tax rate for the nine months ended June 30, 2017 was also favorably impacted by the lower tax rate in the United Kingdom, the relative amounts of income/loss recognized in various jurisdictions, as well as the utilization of net operating loss carryforwards in Canada that are fully reserved with a valuation allowance.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June 30, 2018, we recorded a loss of $8.7 million, or $0.76 per diluted share compared to a net loss of $4.3 million, or $0.38 per diluted share, for the nine months ended June 30, 2017. The increase in our net loss compared to the prior year was primarily due to the reduction in our income tax benefit as a result of the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orders increased during the nine months ended June 30, 2018 to $380.6 million, compared to $243.5 million for the nine months ended June 30, 2017, primarily due to increased demand from our customers in our core oil, gas and petrochemical markets. The order backlog at June 30, 2018 was $316.2 million, an increase from $250.1 million at September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current assets exceeded current liabilities by 2.5 times and our debt to total capitalization was 0.53%.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cash equivalents and short-term investments decreased to $55.3 million at June 30, 2018, compared to $95.2 million at September 30, 2017 as cash has been used in operations to fund working capital requirements from our increased project volume. We had restricted cash held in a pledged collateral account related to our U.S. Revolver of $23.6 million at June 30, 2018 and $24.9 million at September 30, 2017. For further information regarding our U.S. Revolver, see Note D of Notes to Condensed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U.S. Revolver is a $75.0 million revolving credit facility in the U.S. As of June 30, 2018, there were no amounts borrowed under this facility. Total letters of credit outstanding under our U.S. Revolver, which reduce our availability, were $22.3 million at June 30, 2018 and $24.1 million at September 30, 2017. Currently, our U.S. Revolver can only be used for letters of credit until we meet certain financial ratios. As of June 30, 2018, there was $52.7 million available for the issuance of letters of credit under the U.S. Revolver. Total long-term debt, including current maturities, totaled $1.6 million at June 30, 2018, compared to $2.0 million at September 30, 2017. For further information regarding our debt, see Notes D and E of Notes to Condensed Consolidated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$31 million of our cash and short-term investments at June 30, 2018 was held outside of the United States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that our strong working capital position and available cash and short-term investments should be sufficient to finance future operating activities,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operating activities decreased to $26.1 million during the nine months ended June 30, 2018, compared to cash provided by operating activities of $27.1 million during the same period in Fiscal 2017. This decrease in operating cash flow for the nine months ended June 30, 2018 was primarily due to the reduction in earnings year over year and increases in accounts receivable, project billings and inventories as our increased project volume requires cash to fund the growth. Cash flow from operations is primarily influenced by project volume, the timing of milestone payments from our customers and the payment terms with our suppliers.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investing activities during the nine months ended June 30, 2018 totaled $8.1 million compared to cash used in investing activities of $83.2 million during the same period in Fiscal 2017. This increase in Fiscal 2018 was primarily due to maturities of short-term investments. For the nine months ended June 30, 2018, our net short-term investment surplus was $10.7 million and we spent approximately $4.0 million on purchases of plant improvements and equipment. For the nine months ended June 30, 2017, we had net short-term investment purchases of $55.4 million as well as the establishment of restricted cash of $25.3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$9.9 million and $9.7 million during the nine months ended June 30, 2018 and 2017, respectively. These amounts primarily consisted of cash dividends of approximately $8.9 million in each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year ended September 30, 2017.</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June 30, 2018, our operating loss was positively impacted by $2.9 million due to changes in contract estimates related to projects in progress at the beginning of the period. These changes in estimates resulted primarily from, among other things, successful execution and close-out improvements, as well as other changes in facts and circumstances during the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significant portion of our revenues have historically been from the oil, gas and petrochemical markets. Oil and gas commodity price levels have stabilized and our customers are beginning to invest in maintenance and small projects; however,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continue to delay their major capital investments. The reduction in available projects has increased price pressures over the past two years and has impacted, and may continue to negatively impact, our backlog, revenues and operating results.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operating results have been impacted by factors such as the timing of new order awards, customer approval of final engineering and design specifications and delays in customer construction schedules, all of which have had a negative impact on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We continue to assess our cost structure, operating performance and service offerings as the oil, gas and petrochemical markets remain challenging and uncertain. During the first nine months of Fiscal 2018, we have experienced an increase in bookings and are beginning to see an improvement in revenues and operating results that we anticipate will continue for the remainder of Fiscal 2018 and into Fiscal 2019. We continue to focus on maintaining our cash position, improving efficiencies in production and investing in future business opportunities.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 in project volume has required cash to fund operations, but we believe that our strong working capital position and available cash and short-term investments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and their industries are typically engineering, procurement and construction firms, oil and gas refining, offshore oil and gas production, petrochemical, pipeline, terminal, mining and metals, light rail traction power, electric utility, pulp and paper and other heavy industrial customers. We maintain ongoing discussions with customers regarding contract status with respect to payment status, change orders and billing terms in an effort to monitor collections of amounts billed.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nine months ended June 30, 2018, our realized foreign exchange losses were $0.4 million and are included in selling, general and administrative expenses in the Condensed Consolidated Statements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ind w:right="20"/>
        <w:spacing w:after="0" w:line="259" w:lineRule="auto"/>
        <w:rPr>
          <w:sz w:val="20"/>
          <w:szCs w:val="20"/>
          <w:color w:val="auto"/>
        </w:rPr>
      </w:pPr>
      <w:r>
        <w:rPr>
          <w:rFonts w:ascii="Arial" w:cs="Arial" w:eastAsia="Arial" w:hAnsi="Arial"/>
          <w:sz w:val="18"/>
          <w:szCs w:val="18"/>
          <w:color w:val="auto"/>
        </w:rPr>
        <w:t>Our accumulated other comprehensive loss, which is included as a component of stockholders’ equity, was $22.9 million as of June 30, 2018, an increase of $4.1 million compared to September 30, 2017. This increase in comprehensive loss was primarily a result of fluctuations in the currency exchange rates for the Canadian Dollar and British Pound Sterling as we remeasured the foreign operations of those divisions. We do not currently hedge our exposure to potential foreign currency translation adjustments.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decide to borrow under our credit facility,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last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material changes from the risk factors previously disclosed in the Company’s Annual Report on Form 10-K for the fiscal year ended September 30,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1420" w:right="20" w:hanging="818"/>
        <w:spacing w:after="0" w:line="293"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3.1</w:t>
        <w:tab/>
        <w:t xml:space="preserve">— </w:t>
      </w:r>
      <w:hyperlink r:id="rId19">
        <w:r>
          <w:rPr>
            <w:rFonts w:ascii="Arial" w:cs="Arial" w:eastAsia="Arial" w:hAnsi="Arial"/>
            <w:sz w:val="18"/>
            <w:szCs w:val="18"/>
            <w:u w:val="single" w:color="auto"/>
            <w:color w:val="0000FF"/>
          </w:rPr>
          <w:t>Certificate of Incorporation of Powell Industries, Inc. filed with the Secretary of State of the State of Delaware on February 11, 2004</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FF"/>
          </w:rPr>
          <w:t>(filed as Exhibit 3.1 to our Form 8-A/A filed November 1, 2004, and incorporated herein by reference)</w:t>
        </w:r>
        <w:r>
          <w:rPr>
            <w:rFonts w:ascii="Arial" w:cs="Arial" w:eastAsia="Arial" w:hAnsi="Arial"/>
            <w:sz w:val="18"/>
            <w:szCs w:val="18"/>
            <w:color w:val="000000"/>
          </w:rPr>
          <w:t>.</w:t>
        </w:r>
      </w:hyperlink>
    </w:p>
    <w:p>
      <w:pPr>
        <w:spacing w:after="0" w:line="210" w:lineRule="exact"/>
        <w:rPr>
          <w:sz w:val="20"/>
          <w:szCs w:val="20"/>
          <w:color w:val="auto"/>
        </w:rPr>
      </w:pPr>
    </w:p>
    <w:p>
      <w:pPr>
        <w:ind w:left="1420" w:hanging="818"/>
        <w:spacing w:after="0" w:line="277"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20">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FF"/>
          </w:rPr>
          <w:t>incorporated herein by reference).</w:t>
        </w:r>
      </w:hyperlink>
    </w:p>
    <w:p>
      <w:pPr>
        <w:spacing w:after="0" w:line="238"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*31.1</w:t>
        <w:tab/>
        <w:t>—</w:t>
      </w:r>
      <w:r>
        <w:rPr>
          <w:sz w:val="20"/>
          <w:szCs w:val="20"/>
          <w:color w:val="auto"/>
        </w:rPr>
        <w:tab/>
      </w:r>
      <w:hyperlink w:anchor="page25">
        <w:r>
          <w:rPr>
            <w:rFonts w:ascii="Arial" w:cs="Arial" w:eastAsia="Arial" w:hAnsi="Arial"/>
            <w:sz w:val="16"/>
            <w:szCs w:val="16"/>
            <w:u w:val="single" w:color="auto"/>
            <w:color w:val="0000FF"/>
          </w:rPr>
          <w:t>Certification of Chief Executive Officer pursuant to Rule 13a-14(a)/15d-14(a)</w:t>
        </w:r>
      </w:hyperlink>
      <w:r>
        <w:rPr>
          <w:rFonts w:ascii="Arial" w:cs="Arial" w:eastAsia="Arial" w:hAnsi="Arial"/>
          <w:sz w:val="16"/>
          <w:szCs w:val="16"/>
          <w:color w:val="000000"/>
        </w:rPr>
        <w:t>.</w:t>
      </w:r>
    </w:p>
    <w:p>
      <w:pPr>
        <w:spacing w:after="0" w:line="279" w:lineRule="exact"/>
        <w:rPr>
          <w:sz w:val="20"/>
          <w:szCs w:val="20"/>
          <w:color w:val="auto"/>
        </w:rPr>
      </w:pPr>
    </w:p>
    <w:p>
      <w:pPr>
        <w:ind w:left="760"/>
        <w:spacing w:after="0"/>
        <w:tabs>
          <w:tab w:leader="none" w:pos="140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*31.2</w:t>
        <w:tab/>
        <w:t>—</w:t>
      </w:r>
      <w:r>
        <w:rPr>
          <w:sz w:val="20"/>
          <w:szCs w:val="20"/>
          <w:color w:val="auto"/>
        </w:rPr>
        <w:tab/>
      </w:r>
      <w:hyperlink w:anchor="page26">
        <w:r>
          <w:rPr>
            <w:rFonts w:ascii="Arial" w:cs="Arial" w:eastAsia="Arial" w:hAnsi="Arial"/>
            <w:sz w:val="16"/>
            <w:szCs w:val="16"/>
            <w:u w:val="single" w:color="auto"/>
            <w:color w:val="0000FF"/>
          </w:rPr>
          <w:t>Certification of Chief Financial Officer pursuant to Rule 13a-14(a)/15d-14(a).</w:t>
        </w:r>
      </w:hyperlink>
    </w:p>
    <w:p>
      <w:pPr>
        <w:spacing w:after="0" w:line="279" w:lineRule="exact"/>
        <w:rPr>
          <w:sz w:val="20"/>
          <w:szCs w:val="20"/>
          <w:color w:val="auto"/>
        </w:rPr>
      </w:pPr>
    </w:p>
    <w:p>
      <w:pPr>
        <w:ind w:left="1420" w:right="20" w:hanging="998"/>
        <w:spacing w:after="0" w:line="277"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*32.1</w:t>
        <w:tab/>
        <w:t xml:space="preserve">— </w:t>
      </w:r>
      <w:hyperlink w:anchor="page27">
        <w:r>
          <w:rPr>
            <w:rFonts w:ascii="Arial" w:cs="Arial" w:eastAsia="Arial" w:hAnsi="Arial"/>
            <w:sz w:val="18"/>
            <w:szCs w:val="18"/>
            <w:u w:val="single" w:color="auto"/>
            <w:color w:val="0000FF"/>
          </w:rPr>
          <w:t>Certification of Chief Executive Officer Pursuant to Section 18 U.S.C. Section 1350, as Adopted Pursuant to Section 906 of the</w:t>
        </w:r>
      </w:hyperlink>
      <w:r>
        <w:rPr>
          <w:rFonts w:ascii="Arial" w:cs="Arial" w:eastAsia="Arial" w:hAnsi="Arial"/>
          <w:sz w:val="18"/>
          <w:szCs w:val="18"/>
          <w:color w:val="auto"/>
        </w:rPr>
        <w:t xml:space="preserve"> </w:t>
      </w:r>
      <w:hyperlink w:anchor="page27">
        <w:r>
          <w:rPr>
            <w:rFonts w:ascii="Arial" w:cs="Arial" w:eastAsia="Arial" w:hAnsi="Arial"/>
            <w:sz w:val="18"/>
            <w:szCs w:val="18"/>
            <w:u w:val="single" w:color="auto"/>
            <w:color w:val="0000FF"/>
          </w:rPr>
          <w:t>Sarbanes-Oxley Act of 2002</w:t>
        </w:r>
        <w:r>
          <w:rPr>
            <w:rFonts w:ascii="Arial" w:cs="Arial" w:eastAsia="Arial" w:hAnsi="Arial"/>
            <w:sz w:val="18"/>
            <w:szCs w:val="18"/>
            <w:color w:val="000000"/>
          </w:rPr>
          <w:t>.</w:t>
        </w:r>
      </w:hyperlink>
    </w:p>
    <w:p>
      <w:pPr>
        <w:spacing w:after="0" w:line="224" w:lineRule="exact"/>
        <w:rPr>
          <w:sz w:val="20"/>
          <w:szCs w:val="20"/>
          <w:color w:val="auto"/>
        </w:rPr>
      </w:pPr>
    </w:p>
    <w:p>
      <w:pPr>
        <w:ind w:left="1420" w:hanging="998"/>
        <w:spacing w:after="0" w:line="277" w:lineRule="auto"/>
        <w:tabs>
          <w:tab w:leader="none" w:pos="1400" w:val="left"/>
        </w:tabs>
        <w:rPr>
          <w:rFonts w:ascii="Arial" w:cs="Arial" w:eastAsia="Arial" w:hAnsi="Arial"/>
          <w:sz w:val="18"/>
          <w:szCs w:val="18"/>
          <w:color w:val="0000FF"/>
        </w:rPr>
      </w:pPr>
      <w:r>
        <w:rPr>
          <w:rFonts w:ascii="Arial" w:cs="Arial" w:eastAsia="Arial" w:hAnsi="Arial"/>
          <w:sz w:val="18"/>
          <w:szCs w:val="18"/>
          <w:color w:val="auto"/>
        </w:rPr>
        <w:t>*32.2</w:t>
        <w:tab/>
        <w:t xml:space="preserve">— </w:t>
      </w:r>
      <w:hyperlink w:anchor="page28">
        <w:r>
          <w:rPr>
            <w:rFonts w:ascii="Arial" w:cs="Arial" w:eastAsia="Arial" w:hAnsi="Arial"/>
            <w:sz w:val="18"/>
            <w:szCs w:val="18"/>
            <w:u w:val="single" w:color="auto"/>
            <w:color w:val="0000FF"/>
          </w:rPr>
          <w:t>Certification of Chief Financial Officer Pursuant to Section 18 U.S.C. Section 1350, as Adopted Pursuant to Section 906 of the</w:t>
        </w:r>
      </w:hyperlink>
      <w:r>
        <w:rPr>
          <w:rFonts w:ascii="Arial" w:cs="Arial" w:eastAsia="Arial" w:hAnsi="Arial"/>
          <w:sz w:val="18"/>
          <w:szCs w:val="18"/>
          <w:color w:val="auto"/>
        </w:rPr>
        <w:t xml:space="preserve"> </w:t>
      </w:r>
      <w:hyperlink w:anchor="page28">
        <w:r>
          <w:rPr>
            <w:rFonts w:ascii="Arial" w:cs="Arial" w:eastAsia="Arial" w:hAnsi="Arial"/>
            <w:sz w:val="18"/>
            <w:szCs w:val="18"/>
            <w:u w:val="single" w:color="auto"/>
            <w:color w:val="0000FF"/>
          </w:rPr>
          <w:t>Sarbanes-Oxley Act of 2002</w:t>
        </w:r>
        <w:r>
          <w:rPr>
            <w:rFonts w:ascii="Arial" w:cs="Arial" w:eastAsia="Arial" w:hAnsi="Arial"/>
            <w:sz w:val="18"/>
            <w:szCs w:val="18"/>
            <w:color w:val="000000"/>
          </w:rPr>
          <w:t>.</w:t>
        </w:r>
      </w:hyperlink>
    </w:p>
    <w:p>
      <w:pPr>
        <w:spacing w:after="0" w:line="224" w:lineRule="exact"/>
        <w:rPr>
          <w:sz w:val="20"/>
          <w:szCs w:val="20"/>
          <w:color w:val="auto"/>
        </w:rPr>
      </w:pPr>
    </w:p>
    <w:p>
      <w:pPr>
        <w:ind w:left="460"/>
        <w:spacing w:after="0"/>
        <w:tabs>
          <w:tab w:leader="none" w:pos="1400" w:val="left"/>
          <w:tab w:leader="none" w:pos="1740" w:val="left"/>
        </w:tabs>
        <w:rPr>
          <w:sz w:val="20"/>
          <w:szCs w:val="20"/>
          <w:color w:val="auto"/>
        </w:rPr>
      </w:pPr>
      <w:r>
        <w:rPr>
          <w:rFonts w:ascii="Arial" w:cs="Arial" w:eastAsia="Arial" w:hAnsi="Arial"/>
          <w:sz w:val="18"/>
          <w:szCs w:val="18"/>
          <w:color w:val="auto"/>
        </w:rPr>
        <w:t>*101.INS</w:t>
        <w:tab/>
        <w:t>—</w:t>
      </w:r>
      <w:r>
        <w:rPr>
          <w:sz w:val="20"/>
          <w:szCs w:val="20"/>
          <w:color w:val="auto"/>
        </w:rPr>
        <w:tab/>
      </w:r>
      <w:r>
        <w:rPr>
          <w:rFonts w:ascii="Arial" w:cs="Arial" w:eastAsia="Arial" w:hAnsi="Arial"/>
          <w:sz w:val="16"/>
          <w:szCs w:val="16"/>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*101.SCH</w:t>
        <w:tab/>
        <w:t>—</w:t>
      </w:r>
      <w:r>
        <w:rPr>
          <w:sz w:val="20"/>
          <w:szCs w:val="20"/>
          <w:color w:val="auto"/>
        </w:rPr>
        <w:tab/>
      </w:r>
      <w:r>
        <w:rPr>
          <w:rFonts w:ascii="Arial" w:cs="Arial" w:eastAsia="Arial" w:hAnsi="Arial"/>
          <w:sz w:val="16"/>
          <w:szCs w:val="16"/>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*101.CAL</w:t>
        <w:tab/>
        <w:t>—</w:t>
      </w:r>
      <w:r>
        <w:rPr>
          <w:sz w:val="20"/>
          <w:szCs w:val="20"/>
          <w:color w:val="auto"/>
        </w:rPr>
        <w:tab/>
      </w:r>
      <w:r>
        <w:rPr>
          <w:rFonts w:ascii="Arial" w:cs="Arial" w:eastAsia="Arial" w:hAnsi="Arial"/>
          <w:sz w:val="16"/>
          <w:szCs w:val="16"/>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*101.DEF</w:t>
        <w:tab/>
        <w:t>—</w:t>
      </w:r>
      <w:r>
        <w:rPr>
          <w:sz w:val="20"/>
          <w:szCs w:val="20"/>
          <w:color w:val="auto"/>
        </w:rPr>
        <w:tab/>
      </w:r>
      <w:r>
        <w:rPr>
          <w:rFonts w:ascii="Arial" w:cs="Arial" w:eastAsia="Arial" w:hAnsi="Arial"/>
          <w:sz w:val="16"/>
          <w:szCs w:val="16"/>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Arial" w:cs="Arial" w:eastAsia="Arial" w:hAnsi="Arial"/>
          <w:sz w:val="18"/>
          <w:szCs w:val="18"/>
          <w:color w:val="auto"/>
        </w:rPr>
        <w:t>*101.LAB</w:t>
        <w:tab/>
        <w:t>—</w:t>
      </w:r>
      <w:r>
        <w:rPr>
          <w:sz w:val="20"/>
          <w:szCs w:val="20"/>
          <w:color w:val="auto"/>
        </w:rPr>
        <w:tab/>
      </w:r>
      <w:r>
        <w:rPr>
          <w:rFonts w:ascii="Arial" w:cs="Arial" w:eastAsia="Arial" w:hAnsi="Arial"/>
          <w:sz w:val="16"/>
          <w:szCs w:val="16"/>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Arial" w:cs="Arial" w:eastAsia="Arial" w:hAnsi="Arial"/>
          <w:sz w:val="18"/>
          <w:szCs w:val="18"/>
          <w:color w:val="auto"/>
        </w:rPr>
        <w:t>*101.PRE</w:t>
        <w:tab/>
        <w:t>—</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0"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POWELL INDUSTRIES, INC.</w:t>
            </w:r>
          </w:p>
        </w:tc>
      </w:tr>
      <w:tr>
        <w:trPr>
          <w:trHeight w:val="270"/>
        </w:trPr>
        <w:tc>
          <w:tcPr>
            <w:tcW w:w="3460" w:type="dxa"/>
            <w:vAlign w:val="bottom"/>
          </w:tcPr>
          <w:p>
            <w:pPr>
              <w:spacing w:after="0"/>
              <w:rPr>
                <w:sz w:val="23"/>
                <w:szCs w:val="23"/>
                <w:color w:val="auto"/>
              </w:rPr>
            </w:pPr>
          </w:p>
        </w:tc>
        <w:tc>
          <w:tcPr>
            <w:tcW w:w="7920" w:type="dxa"/>
            <w:vAlign w:val="bottom"/>
            <w:gridSpan w:val="2"/>
          </w:tcPr>
          <w:p>
            <w:pPr>
              <w:ind w:left="1920"/>
              <w:spacing w:after="0"/>
              <w:rPr>
                <w:sz w:val="20"/>
                <w:szCs w:val="20"/>
                <w:color w:val="auto"/>
              </w:rPr>
            </w:pPr>
            <w:r>
              <w:rPr>
                <w:rFonts w:ascii="Arial" w:cs="Arial" w:eastAsia="Arial" w:hAnsi="Arial"/>
                <w:sz w:val="18"/>
                <w:szCs w:val="18"/>
                <w:color w:val="auto"/>
              </w:rPr>
              <w:t>(Registrant)</w:t>
            </w:r>
          </w:p>
        </w:tc>
      </w:tr>
      <w:tr>
        <w:trPr>
          <w:trHeight w:val="540"/>
        </w:trPr>
        <w:tc>
          <w:tcPr>
            <w:tcW w:w="3460" w:type="dxa"/>
            <w:vAlign w:val="bottom"/>
          </w:tcPr>
          <w:p>
            <w:pPr>
              <w:spacing w:after="0"/>
              <w:rPr>
                <w:sz w:val="20"/>
                <w:szCs w:val="20"/>
                <w:color w:val="auto"/>
              </w:rPr>
            </w:pPr>
            <w:r>
              <w:rPr>
                <w:rFonts w:ascii="Arial" w:cs="Arial" w:eastAsia="Arial" w:hAnsi="Arial"/>
                <w:sz w:val="18"/>
                <w:szCs w:val="18"/>
                <w:color w:val="auto"/>
              </w:rPr>
              <w:t>Date: August 8, 2018</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Brett A. Cope</w:t>
            </w:r>
          </w:p>
        </w:tc>
      </w:tr>
      <w:tr>
        <w:trPr>
          <w:trHeight w:val="27"/>
        </w:trPr>
        <w:tc>
          <w:tcPr>
            <w:tcW w:w="3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3460" w:type="dxa"/>
            <w:vAlign w:val="bottom"/>
          </w:tcPr>
          <w:p>
            <w:pPr>
              <w:spacing w:after="0"/>
              <w:rPr>
                <w:sz w:val="24"/>
                <w:szCs w:val="24"/>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Don R. Madison</w:t>
            </w:r>
          </w:p>
        </w:tc>
      </w:tr>
      <w:tr>
        <w:trPr>
          <w:trHeight w:val="27"/>
        </w:trPr>
        <w:tc>
          <w:tcPr>
            <w:tcW w:w="3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Don R. Madison</w:t>
            </w:r>
          </w:p>
        </w:tc>
      </w:tr>
    </w:tbl>
    <w:p>
      <w:pPr>
        <w:spacing w:after="0" w:line="4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and Administrative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ectPr>
          <w:pgSz w:w="11900" w:h="16838" w:orient="portrait"/>
          <w:cols w:equalWidth="0" w:num="1">
            <w:col w:w="11420"/>
          </w:cols>
          <w:pgMar w:left="240" w:top="58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Don R. Madison,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194"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91" w:lineRule="exact"/>
        <w:rPr>
          <w:rFonts w:ascii="Arial" w:cs="Arial" w:eastAsia="Arial" w:hAnsi="Arial"/>
          <w:sz w:val="14"/>
          <w:szCs w:val="14"/>
          <w:color w:val="auto"/>
        </w:rPr>
      </w:pPr>
    </w:p>
    <w:p>
      <w:pPr>
        <w:ind w:left="1300" w:right="20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6"/>
          <w:szCs w:val="16"/>
          <w:color w:val="auto"/>
        </w:rPr>
      </w:pPr>
    </w:p>
    <w:p>
      <w:pPr>
        <w:ind w:left="1300" w:right="8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1300" w:right="1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jc w:val="both"/>
        <w:ind w:left="1300" w:right="60" w:hanging="320"/>
        <w:spacing w:after="0" w:line="261"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left="660" w:right="480" w:hanging="328"/>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1300" w:right="520" w:hanging="320"/>
        <w:spacing w:after="0" w:line="275"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ectPr>
          <w:pgSz w:w="11900" w:h="16838" w:orient="portrait"/>
          <w:cols w:equalWidth="0" w:num="1">
            <w:col w:w="11420"/>
          </w:cols>
          <w:pgMar w:left="240" w:top="58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June 30, 2018,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Brett A. Cope</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and Chief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ectPr>
          <w:pgSz w:w="11900" w:h="16838" w:orient="portrait"/>
          <w:cols w:equalWidth="0" w:num="1">
            <w:col w:w="11420"/>
          </w:cols>
          <w:pgMar w:left="240" w:top="58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this Quarterly Report (the “Report”) on Form 10-Q of Powell Industries, Inc. (the “Company”) for the quarter ended June 30, 2018, as filed with the Securities and Exchange Commission on the date hereof, I, Don R. Madison,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740"/>
        <w:spacing w:after="0"/>
        <w:rPr>
          <w:sz w:val="20"/>
          <w:szCs w:val="20"/>
          <w:color w:val="auto"/>
        </w:rPr>
      </w:pPr>
      <w:r>
        <w:rPr>
          <w:rFonts w:ascii="Arial" w:cs="Arial" w:eastAsia="Arial" w:hAnsi="Arial"/>
          <w:sz w:val="16"/>
          <w:szCs w:val="16"/>
          <w:u w:val="single" w:color="auto"/>
          <w:color w:val="auto"/>
        </w:rPr>
        <w:t>/s/ Don R. Madison</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Don R. Madison</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Chief Financial and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19" Type="http://schemas.openxmlformats.org/officeDocument/2006/relationships/hyperlink" Target="http://www.sec.gov/Archives/edgar/data/80420/000008042004000044/exhibit3_1.htm" TargetMode="External"/><Relationship Id="rId20" Type="http://schemas.openxmlformats.org/officeDocument/2006/relationships/hyperlink" Target="http://www.sec.gov/Archives/edgar/data/80420/000119312512421889/d4243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2019-12-28T20:17:38Z</dcterms:created>
  <dcterms:modified xsi:type="dcterms:W3CDTF">2019-12-28T20:17:38Z</dcterms:modified>
</cp:coreProperties>
</file>