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877570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852170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572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ind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May 1, 2023, there were 11,860,683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78105</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1"/>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440" w:type="dxa"/>
            <w:vAlign w:val="bottom"/>
            <w:tcBorders>
              <w:bottom w:val="single" w:sz="8" w:color="0000FF"/>
            </w:tcBorders>
            <w:gridSpan w:val="9"/>
            <w:vMerge w:val="continue"/>
          </w:tcPr>
          <w:p>
            <w:pPr>
              <w:spacing w:after="0"/>
              <w:rPr>
                <w:sz w:val="15"/>
                <w:szCs w:val="15"/>
                <w:color w:val="auto"/>
              </w:rPr>
            </w:pPr>
          </w:p>
        </w:tc>
        <w:tc>
          <w:tcPr>
            <w:tcW w:w="8040" w:type="dxa"/>
            <w:vAlign w:val="bottom"/>
            <w:gridSpan w:val="11"/>
            <w:vMerge w:val="continue"/>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414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4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20" w:type="dxa"/>
            <w:vAlign w:val="bottom"/>
            <w:gridSpan w:val="10"/>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20" w:type="dxa"/>
            <w:vAlign w:val="bottom"/>
            <w:tcBorders>
              <w:top w:val="single" w:sz="8" w:color="0000FF"/>
            </w:tcBorders>
          </w:tcPr>
          <w:p>
            <w:pPr>
              <w:spacing w:after="0"/>
              <w:rPr>
                <w:sz w:val="18"/>
                <w:szCs w:val="18"/>
                <w:color w:val="auto"/>
              </w:rPr>
            </w:pPr>
          </w:p>
        </w:tc>
        <w:tc>
          <w:tcPr>
            <w:tcW w:w="824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76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98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Condensed Consolidated 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$431 and $344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106,111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88,351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369,983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98,628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186,373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281,301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196,174</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2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$0.01; 30,000,000 shares authorized; 12,666,701 and 12,588,011 shares issued,</w:t>
            </w: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283,638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(28,998)</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305,795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297,206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234,423</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138,007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245,401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201,904</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32,519</w:t>
            </w:r>
          </w:p>
        </w:tc>
      </w:tr>
      <w:tr>
        <w:trPr>
          <w:trHeight w:val="257"/>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32,969</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56"/>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r>
      <w:tr>
        <w:trPr>
          <w:trHeight w:val="234"/>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left="340" w:right="2440"/>
        <w:spacing w:after="0" w:line="27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8,473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cash flow commodity hedge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9,011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1"/>
        </w:trPr>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16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3"/>
                <w:szCs w:val="2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9"/>
                <w:szCs w:val="19"/>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9"/>
                <w:szCs w:val="19"/>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67,439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283,638</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193"/>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2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Gain on cash flow</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commodity hedge</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7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12,641</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68,454</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281,493</w:t>
            </w:r>
          </w:p>
        </w:tc>
        <w:tc>
          <w:tcPr>
            <w:tcW w:w="120" w:type="dxa"/>
            <w:vAlign w:val="bottom"/>
          </w:tcPr>
          <w:p>
            <w:pPr>
              <w:spacing w:after="0"/>
              <w:rPr>
                <w:sz w:val="16"/>
                <w:szCs w:val="16"/>
                <w:color w:val="auto"/>
              </w:rPr>
            </w:pPr>
          </w:p>
        </w:tc>
        <w:tc>
          <w:tcPr>
            <w:tcW w:w="6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(26,602)</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298,472</w:t>
            </w:r>
          </w:p>
        </w:tc>
        <w:tc>
          <w:tcPr>
            <w:tcW w:w="0" w:type="dxa"/>
            <w:vAlign w:val="bottom"/>
          </w:tcPr>
          <w:p>
            <w:pPr>
              <w:spacing w:after="0"/>
              <w:rPr>
                <w:sz w:val="1"/>
                <w:szCs w:val="1"/>
                <w:color w:val="auto"/>
              </w:rPr>
            </w:pPr>
          </w:p>
        </w:tc>
      </w:tr>
      <w:tr>
        <w:trPr>
          <w:trHeight w:val="203"/>
        </w:trPr>
        <w:tc>
          <w:tcPr>
            <w:tcW w:w="1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8,473</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8,473</w:t>
            </w:r>
          </w:p>
        </w:tc>
        <w:tc>
          <w:tcPr>
            <w:tcW w:w="0" w:type="dxa"/>
            <w:vAlign w:val="bottom"/>
          </w:tcPr>
          <w:p>
            <w:pPr>
              <w:spacing w:after="0"/>
              <w:rPr>
                <w:sz w:val="1"/>
                <w:szCs w:val="1"/>
                <w:color w:val="auto"/>
              </w:rPr>
            </w:pPr>
          </w:p>
        </w:tc>
      </w:tr>
      <w:tr>
        <w:trPr>
          <w:trHeight w:val="175"/>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95"/>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17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5"/>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135"/>
        </w:trPr>
        <w:tc>
          <w:tcPr>
            <w:tcW w:w="17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Gain on cash flow</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commodity hedge</w:t>
            </w:r>
          </w:p>
        </w:tc>
        <w:tc>
          <w:tcPr>
            <w:tcW w:w="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69,955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286,777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305,795</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3"/>
                <w:szCs w:val="2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9"/>
                <w:szCs w:val="19"/>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12,498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282,505</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301,223</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12,570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64,364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276,390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295,579</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12,587</w:t>
            </w:r>
          </w:p>
        </w:tc>
        <w:tc>
          <w:tcPr>
            <w:tcW w:w="14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65,075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272,068</w:t>
            </w:r>
          </w:p>
        </w:tc>
        <w:tc>
          <w:tcPr>
            <w:tcW w:w="140" w:type="dxa"/>
            <w:vAlign w:val="bottom"/>
          </w:tcPr>
          <w:p>
            <w:pPr>
              <w:spacing w:after="0"/>
              <w:rPr>
                <w:sz w:val="16"/>
                <w:szCs w:val="16"/>
                <w:color w:val="auto"/>
              </w:rPr>
            </w:pPr>
          </w:p>
        </w:tc>
        <w:tc>
          <w:tcPr>
            <w:tcW w:w="6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292,870</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220"/>
          </w:cols>
          <w:pgMar w:left="1340" w:top="1089" w:right="1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1089" w:right="1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Bad debt expense,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30"/>
        </w:trPr>
        <w:tc>
          <w:tcPr>
            <w:tcW w:w="6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29"/>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industrial development revenue bonds</w:t>
            </w:r>
          </w:p>
        </w:tc>
        <w:tc>
          <w:tcPr>
            <w:tcW w:w="1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114,314</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152,039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86,431</w:t>
            </w:r>
          </w:p>
        </w:tc>
      </w:tr>
      <w:tr>
        <w:trPr>
          <w:trHeight w:val="20"/>
        </w:trPr>
        <w:tc>
          <w:tcPr>
            <w:tcW w:w="6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Powell Industries, Inc. (we, us, our, Powell or the Company) is incorporated in the state of Delaware. Powell's predecessor companies were founded 76 years ago by William E. Powell in 1947. Our major subsidiaries, all of which are wholly owned, include Powell Electrical Systems, Inc.; Powell (UK) Limited; Powell Canada Inc.; and Powell Industries International, B.V.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light rail traction power as well as mining and metals, pulp and paper and other municipal, commercial and other industrial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Powell and our wholly-owned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2022, which was filed with the Securities and Exchange Commission (SEC) on December 6,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2023 and Fiscal 2022 used throughout this report shall mean the current fiscal year ending September 30, 2023 and the prior fiscal year ended September 30,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(loss) per share: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of the three and six months ended March 31, 2022, we incurred net losses and therefore all potential common shares were deemed to be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8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5960" w:type="dxa"/>
            <w:vAlign w:val="bottom"/>
            <w:tcBorders>
              <w:bottom w:val="single" w:sz="8" w:color="CFF0FC"/>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 net</w:t>
            </w:r>
          </w:p>
        </w:tc>
        <w:tc>
          <w:tcPr>
            <w:tcW w:w="1840" w:type="dxa"/>
            <w:vAlign w:val="bottom"/>
            <w:shd w:val="clear" w:color="auto" w:fill="CFF0FC"/>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49,213</w:t>
            </w:r>
          </w:p>
        </w:tc>
      </w:tr>
      <w:tr>
        <w:trPr>
          <w:trHeight w:val="230"/>
        </w:trPr>
        <w:tc>
          <w:tcPr>
            <w:tcW w:w="5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40" w:type="dxa"/>
            <w:vAlign w:val="bottom"/>
            <w:tcBorders>
              <w:bottom w:val="single" w:sz="8" w:color="auto"/>
            </w:tcBorders>
            <w:shd w:val="clear" w:color="auto" w:fill="CFF0FC"/>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58,690</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50,415</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2140" w:type="dxa"/>
            <w:vAlign w:val="bottom"/>
            <w:tcBorders>
              <w:top w:val="single" w:sz="8" w:color="CFF0FC"/>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6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4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66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93% of total revenues for the three and six months ended March 31, 2023 and 94% of total revenues for the three and six months ended March 31, 2022.</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7% of total revenues for the three and six months ended March 31, 2023 and 6% of total revenues for the three and six months ended March 31, 2022.</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March 31, 2023, we had backlog of $1.0 billion, of which approximately $584.4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March 31, 2023 and 2022, our operating results were positively impacted by $7.4 million and $5.6 million, respectively, as a result of net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 Gross unfavorable changes in contract estimates were immaterial for both the six months ended March 31, 2023 and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March 31, 2023 and September 30, 2022 are summarized below (in thousands):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6"/>
                <w:szCs w:val="16"/>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88,351</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(178,217)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(79,857)</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contract billing position improved to a net liability at March 31, 2023 from a net asset position at September 30, 2022 primarily due to favorable contract billing milestones. We typically allocate a significant percentage of the progress billing to the early stages of the contract. These favorable billing milestones along with our increase in project backlog are driving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increase in the net contract liability at March 31, 2023. To determine the amount of revenue recognized during the period from contract liabilities, we first allocate revenue to the individual contract liability balance outstanding at the beginning of the period until the revenue exceeds that balance. During the six months ended March 31, 2023, we recognized revenue of approximately $58.7 million that was related to contract liabilities outstanding at September 30, 2022.</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March 31, 2023 and September 30, 2022, accounts receivable included retention amounts of $6.6 million and $6.9 million, respectively. Of the retained amount at March 31, 2023, $6.4 million is expected to be collected in the next twelve months and is recorded in accounts receivable. The remaining $0.2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and six months ended March 31, 2023 and 2022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6"/>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169,137</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37,178</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23,381</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23"/>
        </w:trPr>
        <w:tc>
          <w:tcPr>
            <w:tcW w:w="20" w:type="dxa"/>
            <w:vAlign w:val="bottom"/>
          </w:tcPr>
          <w:p>
            <w:pPr>
              <w:spacing w:after="0"/>
              <w:rPr>
                <w:sz w:val="19"/>
                <w:szCs w:val="19"/>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171,444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234,423</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63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6"/>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96,655</w:t>
            </w:r>
          </w:p>
        </w:tc>
      </w:tr>
      <w:tr>
        <w:trPr>
          <w:trHeight w:val="230"/>
        </w:trPr>
        <w:tc>
          <w:tcPr>
            <w:tcW w:w="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36,081</w:t>
            </w: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51,907</w:t>
            </w:r>
          </w:p>
        </w:tc>
      </w:tr>
      <w:tr>
        <w:trPr>
          <w:trHeight w:val="230"/>
        </w:trPr>
        <w:tc>
          <w:tcPr>
            <w:tcW w:w="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21,426</w:t>
            </w:r>
          </w:p>
        </w:tc>
      </w:tr>
      <w:tr>
        <w:trPr>
          <w:trHeight w:val="229"/>
        </w:trPr>
        <w:tc>
          <w:tcPr>
            <w:tcW w:w="2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r>
      <w:tr>
        <w:trPr>
          <w:trHeight w:val="230"/>
        </w:trPr>
        <w:tc>
          <w:tcPr>
            <w:tcW w:w="20" w:type="dxa"/>
            <w:vAlign w:val="bottom"/>
          </w:tcPr>
          <w:p>
            <w:pPr>
              <w:spacing w:after="0"/>
              <w:rPr>
                <w:sz w:val="19"/>
                <w:szCs w:val="19"/>
                <w:color w:val="auto"/>
              </w:rPr>
            </w:pPr>
          </w:p>
        </w:tc>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r>
      <w:tr>
        <w:trPr>
          <w:trHeight w:val="248"/>
        </w:trPr>
        <w:tc>
          <w:tcPr>
            <w:tcW w:w="2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171,444</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234,423</w:t>
            </w: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2023, we entered into a second amendment (the Second Amendment) to our credit agreement with Bank of America, N.A. (as amended, the U.S. Revolver). The Second Amendment increased the revolving credit facility extended to us under the U.S. Revolver, which is available for both borrowings and letters of credit and expires September 27, 2024, from $75.0 million to $125.0 million. As amended by the Second Amendment, the U.S. Revolver states that the lesser of $50 million or 50% of readily and available cash may be deducted from the amount of letters of credit outstanding (not to be less than zero) when calculating the consolidated funded indebtedness, which is a component of the consolidated net leverage ratio. We have the option to cash collateralize all or a portion of the letters of credit outstanding, which would favorably impact the consolidated funded indebtedness calculation and the consolidated net leverage ratio. As of March 31, 2023, there were no amounts borrowed under the U.S. Revolver, and letters of credit outstanding were $44.8 million. There was $80.2 million available for the issuance of letters of credit and borrowings under the U.S. Revolver as of March 31, 2023.</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$50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March 31, 2023, we were in compliance with all of the financial covenants of the U.S. Revolver.</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Bloomberg Short-Term Bank Yield Index (BSBY) rate plus 1.00%. The applicable rate is generally a range from 0% to 2% depending on the type of loan and the Company's consolidated net leverage ratio.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$44.8 million as of March 31, 2023. We also had surety bonds totaling $294.2 million that were outstanding, with additional bonding capacity of $305.8 million available, at March 31, 2023.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$9.9 million facility agreement (Facility Agreement) between Powell (UK) Limited and a large international bank that provides Powell (UK) Limited the ability to enter into bank guarantees as well as forward exchange contracts and currency options. At March 31, 2023, we had outstanding guarantees totaling $7.7 million. The Facility Agreement provides for customary events of default and carries cross-default provisions with our Second Amendment.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March 31, 2023,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2022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2023, at the 2023 Annual Meeting of Stockholders, our stockholders approved an amendment to the Company's 2014 Equity Incentive Plan (the 2014 Plan) that extended the term of the 2014 Plan by five years and increased the number of shares of common stock that may be issued under the 2014 Plan by 600,000 shares for a total of 1,350,000 shares.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March 31, 2023, there were 295,417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six months ended March 31, 2023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9"/>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3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239,862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147,100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30"/>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(76,834)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29"/>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36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295,417</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2023 and 2022, we recorded compensation expense of $2.5 million and $1.4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In February 2023, 16,800 shares of restricted stock were issued to our non-employee directors under the 2014 Non-Employee Director Equity Incentive Plan, as amended, at a price of $43.22 per share. During the six months ended March 31, 2023 and 2022, we recorded compensation expense of less than $0.5 million and $0.3 million, respectively, related to restricted stock.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March 31, 2023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152,039</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2022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March 31, 2023.</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5" w:name="page16"/>
    <w:bookmarkEnd w:id="15"/>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consist primarily of office and manufacturing space and construction equipment. All of our future lease obligations are related to non-cancelable operating leases. The most significant portion of our lease portfolio relates to leases of office and manufacturing facilities in Canada that we no longer occupy. We currently sublease the majority of these Canadian facilities. The following table provides a summary of lease cost components for the three and six months ended March 31, 2023 and 2022, respectively (in thousands):</w:t>
      </w:r>
    </w:p>
    <w:p>
      <w:pPr>
        <w:spacing w:after="0" w:line="335"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28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3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As of both March 31, 2023 and September 30, 2022, our operating lease assets have been reduced by a lease accrual of $0.1 million related to certain unused facility leases in Canada. The following table provides a summary of the operating lease assets and operating lease liabilities included in our Condensed Consolidated Balance Sheets as of March 31, 2023 and September 30, 2022, respectively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1,665</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 w:type="dxa"/>
            <w:vAlign w:val="bottom"/>
          </w:tcPr>
          <w:p>
            <w:pPr>
              <w:spacing w:after="0"/>
              <w:rPr>
                <w:sz w:val="19"/>
                <w:szCs w:val="19"/>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March 31, 2023 (in thousands):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7"/>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17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1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March 31, 2023 was 3.5%. The weighted average remaining lease term was 2.35 years at March 31,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10,973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12,587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(3,692)</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1,812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371</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8,473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9,636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(4,063)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23% for both the three and six months ended March 31, 2023 compared to an income tax provision that reflects an effective tax rate on pre-tax income of 305% for the three months ended March 31, 2022 and negative 10% for the six months ended March 31, 2022. The effective tax rate for the three and six months ended March 31, 2023 approximated the U.S. federal statutory rate. The favorable impacts of the estimated Research and Development Tax Credit (R&amp;D Tax Credit) and the projected utilization of net operating loss carryforwards in the UK that have been fully reserved with a valuation allowance were offset by state income tax expense, certain nondeductible expenses and an income inclusion related to U.S. global intangible income.</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March 31, 2022, the effective tax rate was largely impacted by the change in the annual estimated relative amounts of income (loss) recognized in the various tax jurisdictions as well as the impacts of accounting for income taxes in interim reporting periods. During interim reporting periods, the provision for income taxes is calculated by applying an estimated annual effective tax rate to year-to-date ordinary pre-tax income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(loss). As a result, a significant variation in the customary relationship between income tax expense and pre-tax income may occur. Due to the estimated R&amp;D Tax Credit as well as the projected utilization of net operating loss carryforwards in Canada that were fully reserved with a valuation allowance, we</w:t>
      </w: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projected an income tax benefit for the full fiscal year ended September 30, 2022, which resulted in a negative effective tax rate. When this annual effective tax rate was applied to the year-to-date loss, a tax provision resulted </w:t>
      </w:r>
      <w:r>
        <w:rPr>
          <w:rFonts w:ascii="Times New Roman" w:cs="Times New Roman" w:eastAsia="Times New Roman" w:hAnsi="Times New Roman"/>
          <w:sz w:val="21"/>
          <w:szCs w:val="21"/>
          <w:color w:val="auto"/>
        </w:rPr>
        <w:t>f</w:t>
      </w:r>
      <w:r>
        <w:rPr>
          <w:rFonts w:ascii="Times New Roman" w:cs="Times New Roman" w:eastAsia="Times New Roman" w:hAnsi="Times New Roman"/>
          <w:sz w:val="18"/>
          <w:szCs w:val="18"/>
          <w:color w:val="auto"/>
        </w:rPr>
        <w:t>or the three and six months ended March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 2023, our Board of Directors declared a quarterly cash dividend on our common stock in the amount of $0.2625 per share. The dividend is payable on June 14, 2023 to shareholders of record at the close of business on May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liquidity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has had, and may continue to have, an adverse effect on our future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20" w:right="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Catastrophic events, including natural disasters, health epidemics (including the COVID-19 pandemic and any new variants), acts of war and terrorism, among others, could disrupt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8" w:name="page19"/>
    <w:bookmarkEnd w:id="18"/>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 security attacks on any of our facilities, or those of third parties, could adversely affect our business and our internal controls.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right="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which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laws and regulations, including those regarding climate change, could adversely impact our financial results.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b w:val="1"/>
          <w:bCs w:val="1"/>
          <w:i w:val="1"/>
          <w:iCs w:val="1"/>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We have discussed these factors in more detail in our Annual Report on Form 10-K for the year ended September 30, 2022.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2022, which was filed with the Securities and Exchange Commission (SEC) on December 6, 2022 and is available on the SEC’s website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other industrial markets. Revenues and costs are primarily related to custom engineered-to-order equipment and</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systems and are accounted for under percentage-of-completion accounting, which precludes us from providing detailed price and volume information. Our backlog includes various projects that typically take a number of months to produce.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element of our strategic focus is to strengthen our project portfolio beyond our core oil, gas and petrochemical end market sectors. Over the past year these efforts have contributed to a record backlog of projects coming into Fiscal 2023. There has been an increase in the planning and capital funding within North America on LNG and related facilities as the market responds to the increased international demand for LNG and gas to chemical processes utilizing low cost gas feedstocks. As a result, the business has been awarded a number of large contracts that have had a positive impact on our backlog. Additionally, diversification efforts outside of our core oil, gas and petrochemical end markets have resulted in an increase in backlog across the utility and commercial and other industrial sectors as well.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factors resulting in global economic uncertainty negatively impacted our results over the past two years. Uncertainty and demand disruptions resulted in considerable volatility across commodity markets. We continue to experience supply chain disruptions driven predominately by availability and cost volatility across our raw materials, components and labor force. All of these factors contributed to the lower margins realized in Fiscal 2022 relative to prior oil and gas cycles. As we address supply chain disruptions, we continue to work with our suppliers of key components and commodities to meet our customer commitments. Additionally, we have adjusted our pricing models with our customers in response to the increased cost environment.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March 31, 2023 Compared to the Quarter Ended March 31, 2022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increased by 34%, or $43.6 million, to $171.4 million in the second quarter of Fiscal 2023, primarily driven by the increase in project backlog. Domestic revenues increased by 54%, or $47.2 million, to $134.2 million in the second quarter of Fiscal 2023. Included in our domestic oil and gas sector revenues is the large domestic industrial project awarded in Fiscal 2020, which accounted for approximately 8% of our consolidated revenues for the second quarter of Fiscal 2023 compared to 16% in the same period in the prior year. International revenues decreased by 9%, or $3.6 million, to $37.2 million in the second quarter of Fiscal 2023. Our international revenues include both revenues generated from our international facilities as well as revenues from export projects generated at our domestic facilities.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our core oil and gas markets (excluding petrochemical) increased by 17%, or $9.0 million, to $62.6 million in the second quarter of Fiscal 2023, while petrochemical revenue increased by 37%, or $7.0 million, to $25.9 million in the second quarter of Fiscal 2023. Revenue from our utility markets increased by 40%, or $12.3 million, to $42.7 million in the second quarter of Fiscal 2023. Commercial and other industrial market revenue increased by 285%, or $16.5 million, to $22.2 million, driven by an increase in traditionally non-core markets such as data centers, university projects and other miscellaneous applications. Revenue from all other markets combined increased by 17%, or $1.6 million, to $10.7 million in the second quarter of Fiscal 2023. These increases in revenue were driven by improved market conditions and our strategic effort to diversify our business. Revenue from our traction market decreased by 27%, or $2.7 million, to $7.3 million in the second quarter of Fiscal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75%, or $14.4 million, to $33.4 million for the second quarter of Fiscal 2023. Gross profit as a percentage of revenues increased to 20% in the second quarter of Fiscal 2023, compared to 15% in the second quarter of Fiscal 2022. The increase in gross profit was directly attributable to volume leverage and factory efficiencies as a result of the increase in volume, project execution, as well as effectively managing inflationary pressures while maintaining pricing models to correspond to current cost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28%, or $4.8 million, to $21.8 million in the second quarter of Fiscal 2023, primarily due to $2.4 million of increased variable incentive compensation resulting from improved earnings. Selling, general and administrative expenses as a percentage of revenues remained flat at 13% during both the second quarter of Fiscal 2023 and the second quarter of Fiscal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of $2.5 million in the second quarter of Fiscal 2023, compared to an income tax provision of $1.8 million in the second quarter of Fiscal 2022. The effective tax rate for the second quarter of Fiscal 2023 was 23%, compared to an effective tax rate of 305% for the second quarter of Fiscal 2022. For the three months ended March 31, 2023, the effective tax rate was favorably impacted by the estimated Research and Development Tax Credit (R&amp;D Tax Credit), in addition to the projected utilization of net operating loss carryforwards in the UK that have been fully reserved with a valuation allowance. These benefits were offset by state income tax expense, certain nondeductible expenses and an income inclusion related to U.S. global intangible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2023, we recorded net income of $8.5 million, or $0.70 per diluted share, compared to a net loss of $1.2 million, or $0.10 per diluted share, in the second quarter of Fiscal 2022. This increase in net income was primarily due to the increase in bookings over the last 12 to 18 months which has led to an increase in revenues.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at March 31, 2023 was $1.0 billion, an increase of 50% from $679.8 million at December 31, 2022 and an increase of 132% from $440.0 million at March 31, 2022. Bookings, net of cancellations and scope reductions, increased by 237% in the second quarter of Fiscal 2023 to $508.2 million, compared to $150.8 million in the second quarter of Fiscal 2022, primarily driven by improved strength across our core oil, gas and petrochemical market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2023 Compared to Six Months Ended March 31, 2022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by 27%, or $63.9 million, to $298.3 million in the six months ended March 31, 2023. Domestic revenues increased by 39%, or $65.1 million, to $234.3 million in the six months ended March 31, 2023. International revenues decreased by 1.9%, or $1.2 million, to $64.0 million. Our international revenues include both revenues generated from our international facilities as well as revenues from export projects generated at our domestic facilities.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our core oil and gas markets (excluding petrochemical) increased by 10%, or $9.5 million, to $106.1 million in the six months ended March 31, 2023, while petrochemical revenue increased by 34%, or $12.3 million, to $48.4 million in the first half of Fiscal 2023. Revenue from our utility markets increased by 37%, or $19.2 million, to $71.1 million in the six months ended March 31, 2023. Traction market revenue decreased by 33%, or $7.0 million, to $14.4 million in the six months ended March 31, 2023. Commercial and other industrial market revenue increased by 152%, or $23.7 million, to $39.3 million, and revenues from all other markets combined increased by 49%, or $6.3 million, to $19.0 million in the first six months of Fiscal 2023.</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63%, or $20.4 million, to $52.9 million in the six months ended March 31, 2023 as compared to the first half of Fiscal 2022. Gross profit as a percentage of revenues increased to 18% in the first six months of Fiscal 2023 as compared to 14% in the six months ended March 31, 2022. The increase in gross profit was directly attributable to volume leverage and factory efficiencies as a result of the increase in volume, project execution, as well as effectively managing inflationary pressures while maintaining pricing models to correspond to current cost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17%, or $5.7 million, to $38.7 million in the six months ended March 31, 2023, primarily due to $3.2 million of increased variable incentive compensation resulting from improved earnings. Selling, general and administrative expenses as a percentage of revenues decreased to 13% during the six months ended March 31, 2023 compared to 14% during the six months ended March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other income of $0.3 million in the six months ended March 31, 2022 related to a gain on the sale of land. We did not record other income during the six months ended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$3.0 million in the six months ended March 31, 2023, compared to an income tax provision of $0.4 million in the six months ended March 31, 2022. The effective tax rate for the six months ended March 31, 2023 was 23%, compared to an effective tax rate of negative 10% for the six months ended March 31, 2022. For the six months ended March 31, 2023, the effective tax rate was favorably impacted by the estimated R&amp;D Tax Credit, in addition to the projected utilization of net operating loss carryforwards in the UK that have been fully reserved with a valuation allowance. These benefits were offset by state income tax expense, certain nondeductible expenses and an income inclusion related to U.S. global</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income. Similarly, the effective tax rate for the six months ended March 31, 2022 was favorably impacted by the estimated R&amp;D Tax Credit and the projected utilization of net operating loss carryforwards in Canada that were fully reserved with a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six months ended March 31, 2023, we recorded net income of $9.6 million, or $0.80 per diluted share, compared to a net loss of $4.1 million, or $0.34 per diluted share, in the six months ended March 31, 2022. This increase in net income was primarily due to the increase in bookings over the last 12 to 18 months which has led to an increase in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at March 31, 2023 was $1.0 billion, an increase of 72% from $592.2 million at September 30, 2022. Bookings, net of cancellations and scope reductions, increased by 178% during the six months ended March 31, 2023 to $720.0 million, compared to $258.5 million during the six months ended March 31, 2022. The significant year-over-year increase was due to strength across our petrochemical, oil &amp; gas and commercial and other industrial market sectors.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Recently we have seen cyclical recovery across our core oil, gas and petrochemical markets combined with increased global demand for cleaner-burning fuels as well as related processes utilizing low cost gas feedstocks. Our order activity in our core markets has been strong and includes some large domestic LNG and petrochemical projects. This strong commercial activity has increased our backlog to over $1.0 billion, which is a record for Powell. Additionally, diversification efforts outside of our core oil, gas and petrochemical end markets have also been a driver of our increase in backlog. This strong backlog of projects and pricing initiatives in response to persistent inflationary pressures should continue to drive increased revenue volumes throughout the remainder of 2023 and into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operating results are impacted by factors such as the timing of new order awards, project backlog,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Disruption in the global supply chain has negatively impacted our business and operating results as well due to the reduction in availability and uncertainty in the timing of the receipt of certain key component parts and commodities. These factors may result in periods of underutilization of our resources and facilities, which may negatively impact our ability to cover our fixed costs, or inhibit our ability to deliver completed products on time. We will continue to remain focused on the variables that impact our markets as well as cost management, labor and supply chain challenges. We will also continue to adjust to the global conditions in order to maintain competitive cost and technological advantages in the markets that we serve.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current assets exceeded current liabilities by 1.7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$163.1 million at March 31, 2023, compared to $116.5 million at September 30, 2022. This increase in cash was primarily driven by increased project volume and the timing of contract billing milestones. We typically allocate a significant percentage of the progress billing to the early stages of the contract. These favorable billing milestones along with our increase in project backlog are the primary drivers for our increase in cash at March 31, 2023. We believe that our strong working capital position, available borrowings under our credit facility and available cash should be sufficient to finance future operating activities, capital improvements and research and development initiatives for the foreseeable future.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31, 2023, we entered into a second amendment (the Second Amendment) to our credit agreement with Bank of America, N.A. (as amended, the U.S. Revolver). The Second Amendment increased the revolving credit facility extended to us under the U.S. Revolver, which is available for both borrowings and letters of credit and expires September 27, 2024, from $75.0 million to $125.0 million. As amended by the Second Amendment, the U.S. Revolver states the lesser of $50 million or 50% of readily and available cash may be deducted from the amount of letters of credit outstanding (not to be less than zero) when calculating the consolidated funded indebtedness, which is a component of the consolidated net leverage ratio. We have the option to cash collateralize all or a portion of the letters of credit outstanding, which would favorably impact the consolidated funded indebtedness calculation and the consolidated net leverage ratio.</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2023, there were no amounts borrowed under the U.S Revolver, and letters of credit outstanding were $44.8 million. As of March 31, 2023, $80.2 million was available for the issuance of letters of credit and borrowing under the U.S. Revolver.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E and F of Notes to Condensed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$32.6 million of our cash, cash equivalents and short-term investments at March 31, 2023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$55.5 million during the six months ended March 31, 2023 and used net cash of $13.0 million during the same period in Fiscal 2022. Cash flow from operations is primarily influenced by the timing of milestone payments from our customers, project volume and the associated working capital requirements, as well as payment terms with our suppliers. This increase in operating cash flow was primarily due to the favorable timing of contract billing milestones resulting in increased cash flow as our backlog of projects has increased (as noted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provided $0.3 million during the six months ended March 31, 2023 and used $7.6 million during the same period in Fiscal 2022. The increase in cash provided by investing activities in the first six months of Fiscal 2023 is primarily due to short-term investment activity.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$6.8 million during the six months ended March 31, 2023 and $7.2 million during the same period in Fiscal 2022, which primarily consisted of approximately $6.1 million of dividends paid in each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2022, which was filed with the SEC on December 6,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other industrial markets.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our profit margin. We have entered into a derivative contract to hedge a portion of our exposure to commodity price risk. This contract is immaterial for the first half of Fiscal 2023. In the future, we may enter into additional derivative contracts to further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Singapore Dollar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six months ended March 31, 2023, our realized foreign exchange loss was $0.4 million and is included in selling, general and administrative expenses in our Condensed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$26.1 million as of March 31, 2023, a decrease of $2.9 million compared to September 30, 2022. This decrease in comprehensive loss was primarily a result of fluctuations in the currency exchange rates for the Canadian Dollar and British Pound Sterling as we re-measured the foreign operations of those divisions.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on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2022, which was filed with the SEC on December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2">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4">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45">
        <w:r>
          <w:rPr>
            <w:rFonts w:ascii="Times New Roman" w:cs="Times New Roman" w:eastAsia="Times New Roman" w:hAnsi="Times New Roman"/>
            <w:sz w:val="17"/>
            <w:szCs w:val="17"/>
            <w:u w:val="single" w:color="auto"/>
            <w:color w:val="0000FF"/>
          </w:rPr>
          <w:t>Amendment No. 1 to Amended and Restated Bylaws of Powell Industries, Inc. (filed as Exhibit 3.1 to our Form 8-K filed February</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26, 2021,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right="420" w:hanging="809"/>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tab/>
        <w:t xml:space="preserve">— </w:t>
      </w:r>
      <w:hyperlink r:id="rId46">
        <w:r>
          <w:rPr>
            <w:rFonts w:ascii="Times New Roman" w:cs="Times New Roman" w:eastAsia="Times New Roman" w:hAnsi="Times New Roman"/>
            <w:sz w:val="18"/>
            <w:szCs w:val="18"/>
            <w:u w:val="single" w:color="auto"/>
            <w:color w:val="0000FF"/>
          </w:rPr>
          <w:t>Second Amendment to Credit Agreement, dated March 31, 2023 (filed as Exhibit 10.1 to our Form 8-K filed April 6,2023 and</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incorporated herein by reference).</w:t>
        </w:r>
      </w:hyperlink>
    </w:p>
    <w:p>
      <w:pPr>
        <w:spacing w:after="0" w:line="190" w:lineRule="exact"/>
        <w:rPr>
          <w:sz w:val="20"/>
          <w:szCs w:val="20"/>
          <w:color w:val="auto"/>
        </w:rPr>
      </w:pPr>
    </w:p>
    <w:p>
      <w:pPr>
        <w:ind w:left="1340" w:right="120" w:hanging="809"/>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tab/>
        <w:t xml:space="preserve">— </w:t>
      </w:r>
      <w:hyperlink r:id="rId47">
        <w:r>
          <w:rPr>
            <w:rFonts w:ascii="Times New Roman" w:cs="Times New Roman" w:eastAsia="Times New Roman" w:hAnsi="Times New Roman"/>
            <w:sz w:val="18"/>
            <w:szCs w:val="18"/>
            <w:u w:val="single" w:color="auto"/>
            <w:color w:val="0000FF"/>
          </w:rPr>
          <w:t>First Amendment to Powell Industries, Inc. 2014 Non-Employee Director Equity Incentive Plan (filed as Exhibit 10.2 to our Form</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S-8 filed February 9, 2023 and incorporated herein by reference).</w:t>
        </w:r>
      </w:hyperlink>
    </w:p>
    <w:p>
      <w:pPr>
        <w:spacing w:after="0" w:line="149" w:lineRule="exact"/>
        <w:rPr>
          <w:sz w:val="20"/>
          <w:szCs w:val="20"/>
          <w:color w:val="auto"/>
        </w:rPr>
      </w:pPr>
    </w:p>
    <w:p>
      <w:pPr>
        <w:ind w:left="86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tab/>
        <w:t>—</w:t>
      </w:r>
      <w:r>
        <w:rPr>
          <w:sz w:val="20"/>
          <w:szCs w:val="20"/>
          <w:color w:val="auto"/>
        </w:rPr>
        <w:tab/>
      </w:r>
      <w:hyperlink r:id="rId48">
        <w:r>
          <w:rPr>
            <w:rFonts w:ascii="Times New Roman" w:cs="Times New Roman" w:eastAsia="Times New Roman" w:hAnsi="Times New Roman"/>
            <w:sz w:val="17"/>
            <w:szCs w:val="17"/>
            <w:u w:val="single" w:color="auto"/>
            <w:color w:val="0000FF"/>
          </w:rPr>
          <w:t>First Amendment to Powell Industries, Inc. 2014 Equity Incentive Plan (filed as Exhibit 10.1 to our Form 8-K filed February 16,</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2023 and incorporated herein by reference).</w:t>
        </w:r>
      </w:hyperlink>
    </w:p>
    <w:p>
      <w:pPr>
        <w:spacing w:after="0" w:line="20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xml:space="preserve">— </w:t>
      </w:r>
      <w:r>
        <w:rPr>
          <w:rFonts w:ascii="Times New Roman" w:cs="Times New Roman" w:eastAsia="Times New Roman" w:hAnsi="Times New Roman"/>
          <w:sz w:val="18"/>
          <w:szCs w:val="18"/>
          <w:color w:val="244061"/>
        </w:rPr>
        <w:t>The following financial statements from the Company’s Quarterly Report on Form 10-Q for the quarter ended March 31,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36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xml:space="preserve">— </w:t>
      </w:r>
      <w:r>
        <w:rPr>
          <w:rFonts w:ascii="Times New Roman" w:cs="Times New Roman" w:eastAsia="Times New Roman" w:hAnsi="Times New Roman"/>
          <w:sz w:val="18"/>
          <w:szCs w:val="18"/>
          <w:color w:val="244061"/>
        </w:rPr>
        <w:t>The cover page from the Company’s Quarterly Report on Form 10-Q for the quarter ended March 31, 2023, formatted in Inline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45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2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2023</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2023</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089"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98"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3, 2023</w:t>
      </w:r>
    </w:p>
    <w:p>
      <w:pPr>
        <w:sectPr>
          <w:pgSz w:w="11900" w:h="16838" w:orient="portrait"/>
          <w:cols w:equalWidth="0" w:num="1">
            <w:col w:w="11240"/>
          </w:cols>
          <w:pgMar w:left="320" w:top="89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98"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40"/>
        <w:spacing w:after="0" w:line="211"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3, 2023</w:t>
      </w:r>
    </w:p>
    <w:p>
      <w:pPr>
        <w:sectPr>
          <w:pgSz w:w="11900" w:h="16838" w:orient="portrait"/>
          <w:cols w:equalWidth="0" w:num="1">
            <w:col w:w="11240"/>
          </w:cols>
          <w:pgMar w:left="320" w:top="89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In connection with this Quarterly Report (the “Report”) on Form 10-Q of Powell Industries, Inc. (the “Company”) for the quarter ended March 31, 2023, as filed with the Securities and Exchange Commission on the date hereof, I, Brett A. Cope, Chief Executive Officer of the Company, certify, pursuant to 18 U.S.C. Section 1350, as adopted pursuant to Section 906 of the Sarbanes-Oxley Act of 2002, that:</w:t>
      </w:r>
    </w:p>
    <w:p>
      <w:pPr>
        <w:spacing w:after="0" w:line="14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3, 2023</w:t>
      </w:r>
    </w:p>
    <w:p>
      <w:pPr>
        <w:sectPr>
          <w:pgSz w:w="11900" w:h="16838" w:orient="portrait"/>
          <w:cols w:equalWidth="0" w:num="1">
            <w:col w:w="11240"/>
          </w:cols>
          <w:pgMar w:left="320" w:top="89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March 31, 2023,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3,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42" Type="http://schemas.openxmlformats.org/officeDocument/2006/relationships/hyperlink" Target="http://www.sec.gov/Archives/edgar/data/80420/000008042004000044/exhibit3_1.htm" TargetMode="External"/><Relationship Id="rId44" Type="http://schemas.openxmlformats.org/officeDocument/2006/relationships/hyperlink" Target="http://www.sec.gov/Archives/edgar/data/80420/000119312512421889/d424375dex31.htm" TargetMode="External"/><Relationship Id="rId45" Type="http://schemas.openxmlformats.org/officeDocument/2006/relationships/hyperlink" Target="http://www.sec.gov/Archives/edgar/data/80420/000008042021000018/ex31-amendmentno1toamended.htm" TargetMode="External"/><Relationship Id="rId46" Type="http://schemas.openxmlformats.org/officeDocument/2006/relationships/hyperlink" Target="http://www.sec.gov/Archives/edgar/data/80420/000008042023000020/secondamendmenttotheusrevo.htm" TargetMode="External"/><Relationship Id="rId47" Type="http://schemas.openxmlformats.org/officeDocument/2006/relationships/hyperlink" Target="http://www.sec.gov/Archives/edgar/data/80420/000119312523029998/d423291dex102.htm" TargetMode="External"/><Relationship Id="rId48" Type="http://schemas.openxmlformats.org/officeDocument/2006/relationships/hyperlink" Target="http://www.sec.gov/Archives/edgar/data/80420/000008042023000011/amendment1toequityincenti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2023-05-03T14:45:52Z</dcterms:created>
  <dcterms:modified xsi:type="dcterms:W3CDTF">2023-05-03T14:45:52Z</dcterms:modified>
</cp:coreProperties>
</file>