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857" w:right="33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001-12488</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88-0106100</w:t>
      </w:r>
    </w:p>
    <w:p>
      <w:pPr>
        <w:spacing w:after="0" w:line="37" w:lineRule="exact"/>
        <w:rPr>
          <w:sz w:val="24"/>
          <w:szCs w:val="24"/>
          <w:color w:val="auto"/>
        </w:rPr>
      </w:pPr>
    </w:p>
    <w:p>
      <w:pPr>
        <w:sectPr>
          <w:pgSz w:w="11900" w:h="16838" w:orient="portrait"/>
          <w:cols w:equalWidth="0" w:num="3">
            <w:col w:w="4620" w:space="720"/>
            <w:col w:w="2980" w:space="720"/>
            <w:col w:w="2200"/>
          </w:cols>
          <w:pgMar w:left="320" w:top="857" w:right="339" w:bottom="1440" w:gutter="0" w:footer="0" w:header="0"/>
          <w:type w:val="continuous"/>
        </w:sect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2" w:lineRule="exact"/>
        <w:rPr>
          <w:sz w:val="24"/>
          <w:szCs w:val="24"/>
          <w:color w:val="auto"/>
        </w:rPr>
      </w:pPr>
    </w:p>
    <w:p>
      <w:pPr>
        <w:sectPr>
          <w:pgSz w:w="11900" w:h="16838" w:orient="portrait"/>
          <w:cols w:equalWidth="0" w:num="3">
            <w:col w:w="4600" w:space="720"/>
            <w:col w:w="2720" w:space="720"/>
            <w:col w:w="2480"/>
          </w:cols>
          <w:pgMar w:left="320" w:top="857"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8550 Mosley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Houston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77075-1180</w:t>
      </w:r>
    </w:p>
    <w:p>
      <w:pPr>
        <w:spacing w:after="0" w:line="42" w:lineRule="exact"/>
        <w:rPr>
          <w:sz w:val="24"/>
          <w:szCs w:val="24"/>
          <w:color w:val="auto"/>
        </w:rPr>
      </w:pPr>
    </w:p>
    <w:p>
      <w:pPr>
        <w:sectPr>
          <w:pgSz w:w="11900" w:h="16838" w:orient="portrait"/>
          <w:cols w:equalWidth="0" w:num="4">
            <w:col w:w="3480" w:space="720"/>
            <w:col w:w="1120" w:space="720"/>
            <w:col w:w="1540" w:space="720"/>
            <w:col w:w="2940"/>
          </w:cols>
          <w:pgMar w:left="320" w:top="857" w:right="339"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600" w:space="720"/>
            <w:col w:w="2920"/>
          </w:cols>
          <w:pgMar w:left="320" w:top="857" w:right="3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944-6900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31" w:lineRule="exact"/>
        <w:rPr>
          <w:sz w:val="24"/>
          <w:szCs w:val="24"/>
          <w:color w:val="auto"/>
        </w:rPr>
      </w:pPr>
    </w:p>
    <w:p>
      <w:pPr>
        <w:ind w:right="680"/>
        <w:spacing w:after="0" w:line="38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40" w:type="dxa"/>
            <w:vAlign w:val="bottom"/>
          </w:tcPr>
          <w:p>
            <w:pPr>
              <w:spacing w:after="0"/>
              <w:rPr>
                <w:sz w:val="19"/>
                <w:szCs w:val="19"/>
                <w:color w:val="auto"/>
              </w:rPr>
            </w:pPr>
          </w:p>
        </w:tc>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POWL</w:t>
            </w:r>
          </w:p>
        </w:tc>
        <w:tc>
          <w:tcPr>
            <w:tcW w:w="340" w:type="dxa"/>
            <w:vAlign w:val="bottom"/>
          </w:tcPr>
          <w:p>
            <w:pPr>
              <w:spacing w:after="0"/>
              <w:rPr>
                <w:sz w:val="19"/>
                <w:szCs w:val="19"/>
                <w:color w:val="auto"/>
              </w:rPr>
            </w:pPr>
          </w:p>
        </w:tc>
        <w:tc>
          <w:tcPr>
            <w:tcW w:w="4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68" w:lineRule="exact"/>
        <w:rPr>
          <w:sz w:val="24"/>
          <w:szCs w:val="24"/>
          <w:color w:val="auto"/>
        </w:rPr>
      </w:pPr>
    </w:p>
    <w:p>
      <w:pPr>
        <w:ind w:right="520"/>
        <w:spacing w:after="0" w:line="38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60"/>
        <w:spacing w:after="0" w:line="28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 Other Events.</w:t>
      </w:r>
    </w:p>
    <w:p>
      <w:pPr>
        <w:spacing w:after="0" w:line="30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9"/>
          <w:szCs w:val="19"/>
          <w:color w:val="auto"/>
        </w:rPr>
        <w:t>On May 5, 2026, Powell Industries, Inc. (NASDAQ: POWL) (the “Company”) issued a press release announcing that its Board of Directors declared a quarterly cash dividend of $0.09 per share payable to shareholders of record at the close of business on May 20, 2026. This dividend will be paid on June 17, 2026. A copy of the press release is attached hereto as Exhibit 99.1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 The following exhibits are furnished as part of this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2540" w:type="dxa"/>
            <w:vAlign w:val="bottom"/>
          </w:tcPr>
          <w:p>
            <w:pPr>
              <w:spacing w:after="0"/>
              <w:rPr>
                <w:sz w:val="19"/>
                <w:szCs w:val="19"/>
                <w:color w:val="auto"/>
              </w:rPr>
            </w:pPr>
          </w:p>
        </w:tc>
        <w:tc>
          <w:tcPr>
            <w:tcW w:w="6040" w:type="dxa"/>
            <w:vAlign w:val="bottom"/>
            <w:gridSpan w:val="4"/>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r>
      <w:tr>
        <w:trPr>
          <w:trHeight w:val="20"/>
        </w:trPr>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13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99.1</w:t>
            </w: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40" w:type="dxa"/>
            <w:vAlign w:val="bottom"/>
            <w:gridSpan w:val="4"/>
          </w:tcPr>
          <w:p>
            <w:pPr>
              <w:jc w:val="center"/>
              <w:ind w:right="3420"/>
              <w:spacing w:after="0"/>
              <w:rPr>
                <w:sz w:val="20"/>
                <w:szCs w:val="20"/>
                <w:color w:val="auto"/>
              </w:rPr>
            </w:pPr>
            <w:r>
              <w:rPr>
                <w:rFonts w:ascii="Times New Roman" w:cs="Times New Roman" w:eastAsia="Times New Roman" w:hAnsi="Times New Roman"/>
                <w:sz w:val="20"/>
                <w:szCs w:val="20"/>
                <w:color w:val="0000FF"/>
                <w:w w:val="99"/>
              </w:rPr>
              <w:t>Press Release dated May 5, 2026</w:t>
            </w:r>
          </w:p>
        </w:tc>
      </w:tr>
      <w:tr>
        <w:trPr>
          <w:trHeight w:val="20"/>
        </w:trPr>
        <w:tc>
          <w:tcPr>
            <w:tcW w:w="2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10"/>
        </w:trPr>
        <w:tc>
          <w:tcPr>
            <w:tcW w:w="200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104</w:t>
            </w:r>
          </w:p>
        </w:tc>
        <w:tc>
          <w:tcPr>
            <w:tcW w:w="660" w:type="dxa"/>
            <w:vAlign w:val="bottom"/>
          </w:tcPr>
          <w:p>
            <w:pPr>
              <w:spacing w:after="0"/>
              <w:rPr>
                <w:sz w:val="24"/>
                <w:szCs w:val="24"/>
                <w:color w:val="auto"/>
              </w:rPr>
            </w:pPr>
          </w:p>
        </w:tc>
        <w:tc>
          <w:tcPr>
            <w:tcW w:w="8580" w:type="dxa"/>
            <w:vAlign w:val="bottom"/>
            <w:gridSpan w:val="5"/>
          </w:tcPr>
          <w:p>
            <w:pPr>
              <w:jc w:val="center"/>
              <w:ind w:right="920"/>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r>
        <w:trPr>
          <w:trHeight w:val="1756"/>
        </w:trPr>
        <w:tc>
          <w:tcPr>
            <w:tcW w:w="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 w:name="page3"/>
    <w:bookmarkEnd w:id="2"/>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5980" w:type="dxa"/>
            <w:vAlign w:val="bottom"/>
          </w:tcPr>
          <w:p>
            <w:pPr>
              <w:spacing w:after="0"/>
              <w:rPr>
                <w:sz w:val="19"/>
                <w:szCs w:val="19"/>
                <w:color w:val="auto"/>
              </w:rPr>
            </w:pPr>
          </w:p>
        </w:tc>
      </w:tr>
      <w:tr>
        <w:trPr>
          <w:trHeight w:val="234"/>
        </w:trPr>
        <w:tc>
          <w:tcPr>
            <w:tcW w:w="520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520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0"/>
        </w:trPr>
        <w:tc>
          <w:tcPr>
            <w:tcW w:w="520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20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Principal Accounting Officer</w:t>
            </w:r>
          </w:p>
        </w:tc>
      </w:tr>
      <w:tr>
        <w:trPr>
          <w:trHeight w:val="234"/>
        </w:trPr>
        <w:tc>
          <w:tcPr>
            <w:tcW w:w="520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ectPr>
          <w:pgSz w:w="11900" w:h="16838" w:orient="portrait"/>
          <w:cols w:equalWidth="0" w:num="1">
            <w:col w:w="11220"/>
          </w:cols>
          <w:pgMar w:left="320" w:top="144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1765935"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50"/>
          <w:szCs w:val="50"/>
          <w:b w:val="1"/>
          <w:bCs w:val="1"/>
          <w:i w:val="1"/>
          <w:iCs w:val="1"/>
          <w:color w:val="auto"/>
        </w:rPr>
        <w:t>PRESS RELEASE</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 Immediate Release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Metcalf,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713-947-4422</w:t>
      </w:r>
    </w:p>
    <w:p>
      <w:pPr>
        <w:spacing w:after="0" w:line="200" w:lineRule="exact"/>
        <w:rPr>
          <w:sz w:val="20"/>
          <w:szCs w:val="20"/>
          <w:color w:val="auto"/>
        </w:rPr>
      </w:pPr>
    </w:p>
    <w:p>
      <w:pPr>
        <w:sectPr>
          <w:pgSz w:w="11900" w:h="16838" w:orient="portrait"/>
          <w:cols w:equalWidth="0" w:num="3">
            <w:col w:w="5360" w:space="720"/>
            <w:col w:w="660" w:space="720"/>
            <w:col w:w="3780"/>
          </w:cols>
          <w:pgMar w:left="320" w:top="121" w:right="339" w:bottom="1440" w:gutter="0" w:footer="0" w:header="0"/>
          <w:type w:val="continuous"/>
        </w:sectPr>
      </w:pPr>
    </w:p>
    <w:p>
      <w:pPr>
        <w:spacing w:after="0" w:line="8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Robert Winters or Ryan Coleman</w:t>
      </w:r>
    </w:p>
    <w:p>
      <w:pPr>
        <w:spacing w:after="0" w:line="3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Alpha IR Group</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POWL@alpha-ir.com</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312-445-2870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Powell Industries Declares Quarterly Cash Dividend</w:t>
      </w:r>
    </w:p>
    <w:p>
      <w:pPr>
        <w:spacing w:after="0" w:line="200" w:lineRule="exact"/>
        <w:rPr>
          <w:sz w:val="20"/>
          <w:szCs w:val="20"/>
          <w:color w:val="auto"/>
        </w:rPr>
      </w:pPr>
    </w:p>
    <w:p>
      <w:pPr>
        <w:spacing w:after="0" w:line="365"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2"/>
          <w:szCs w:val="22"/>
          <w:color w:val="auto"/>
        </w:rPr>
        <w:t>HOUSTON — May 5, 2026 — Powell Industries, Inc. (NASDAQ: POWL), a leading supplier of custom engineered solutions for the management, control and distribution of electrical energy, today announced that its Board of Directors has declared a quarterly cash dividend on the Company’s common stock of $0.09 per share. The dividend is payable on June 17, 2026, to shareholders of record at the close of business on May 20, 2026.</w:t>
      </w:r>
    </w:p>
    <w:p>
      <w:pPr>
        <w:spacing w:after="0" w:line="210"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22"/>
          <w:szCs w:val="22"/>
          <w:color w:val="auto"/>
        </w:rPr>
        <w:t>Powell Industries, Inc., headquartered in Houston, Texas, develops, designs, manufactures and services custom-engineered equipment and systems that distribute, control and monitor the flow of electrical energy and provide protection to motors, transformers and other electrically powered equipment. Powell Industries, Inc. primarily serves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For more information, please visit powellind.com.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2026-05-05T07:35:26Z</dcterms:created>
  <dcterms:modified xsi:type="dcterms:W3CDTF">2026-05-05T07:35:26Z</dcterms:modified>
</cp:coreProperties>
</file>