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1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18, 2025</w:t>
      </w:r>
    </w:p>
    <w:p>
      <w:pPr>
        <w:spacing w:after="0" w:line="2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10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857" w:right="499" w:bottom="1440" w:gutter="0" w:footer="0" w:header="0"/>
        </w:sectPr>
      </w:pPr>
    </w:p>
    <w:p>
      <w:pPr>
        <w:spacing w:after="0" w:line="17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001-12488</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88-0106100</w:t>
      </w:r>
    </w:p>
    <w:p>
      <w:pPr>
        <w:spacing w:after="0" w:line="37" w:lineRule="exact"/>
        <w:rPr>
          <w:sz w:val="24"/>
          <w:szCs w:val="24"/>
          <w:color w:val="auto"/>
        </w:rPr>
      </w:pPr>
    </w:p>
    <w:p>
      <w:pPr>
        <w:sectPr>
          <w:pgSz w:w="11900" w:h="16838" w:orient="portrait"/>
          <w:cols w:equalWidth="0" w:num="3">
            <w:col w:w="4620" w:space="720"/>
            <w:col w:w="2980" w:space="720"/>
            <w:col w:w="2040"/>
          </w:cols>
          <w:pgMar w:left="320" w:top="857" w:right="499" w:bottom="1440" w:gutter="0" w:footer="0" w:header="0"/>
          <w:type w:val="continuous"/>
        </w:sect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2" w:lineRule="exact"/>
        <w:rPr>
          <w:sz w:val="24"/>
          <w:szCs w:val="24"/>
          <w:color w:val="auto"/>
        </w:rPr>
      </w:pPr>
    </w:p>
    <w:p>
      <w:pPr>
        <w:sectPr>
          <w:pgSz w:w="11900" w:h="16838" w:orient="portrait"/>
          <w:cols w:equalWidth="0" w:num="3">
            <w:col w:w="4600" w:space="720"/>
            <w:col w:w="2860" w:space="720"/>
            <w:col w:w="2180"/>
          </w:cols>
          <w:pgMar w:left="320" w:top="857"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8550 Mosley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Houston,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Texas</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77075</w:t>
      </w:r>
    </w:p>
    <w:p>
      <w:pPr>
        <w:spacing w:after="0" w:line="42" w:lineRule="exact"/>
        <w:rPr>
          <w:sz w:val="24"/>
          <w:szCs w:val="24"/>
          <w:color w:val="auto"/>
        </w:rPr>
      </w:pPr>
    </w:p>
    <w:p>
      <w:pPr>
        <w:sectPr>
          <w:pgSz w:w="11900" w:h="16838" w:orient="portrait"/>
          <w:cols w:equalWidth="0" w:num="4">
            <w:col w:w="3460" w:space="720"/>
            <w:col w:w="1140" w:space="720"/>
            <w:col w:w="1700" w:space="720"/>
            <w:col w:w="2620"/>
          </w:cols>
          <w:pgMar w:left="320" w:top="857" w:right="499" w:bottom="1440" w:gutter="0" w:footer="0" w:header="0"/>
          <w:type w:val="continuous"/>
        </w:sectPr>
      </w:pPr>
    </w:p>
    <w:p>
      <w:pPr>
        <w:jc w:val="center"/>
        <w:ind w:left="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600" w:space="720"/>
            <w:col w:w="2760"/>
          </w:cols>
          <w:pgMar w:left="320" w:top="857" w:right="499" w:bottom="1440" w:gutter="0" w:footer="0" w:header="0"/>
          <w:type w:val="continuous"/>
        </w:sectPr>
      </w:pP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(713) 944-6900</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331" w:lineRule="exact"/>
        <w:rPr>
          <w:sz w:val="24"/>
          <w:szCs w:val="24"/>
          <w:color w:val="auto"/>
        </w:rPr>
      </w:pPr>
    </w:p>
    <w:p>
      <w:pPr>
        <w:ind w:right="520"/>
        <w:spacing w:after="0" w:line="38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857" w:right="499" w:bottom="1440" w:gutter="0" w:footer="0" w:header="0"/>
          <w:type w:val="continuous"/>
        </w:sectPr>
      </w:pPr>
    </w:p>
    <w:p>
      <w:pPr>
        <w:spacing w:after="0" w:line="16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POWL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200" w:lineRule="exact"/>
        <w:rPr>
          <w:sz w:val="24"/>
          <w:szCs w:val="24"/>
          <w:color w:val="auto"/>
        </w:rPr>
      </w:pPr>
    </w:p>
    <w:p>
      <w:pPr>
        <w:sectPr>
          <w:pgSz w:w="11900" w:h="16838" w:orient="portrait"/>
          <w:cols w:equalWidth="0" w:num="3">
            <w:col w:w="4260" w:space="720"/>
            <w:col w:w="1700" w:space="720"/>
            <w:col w:w="3680"/>
          </w:cols>
          <w:pgMar w:left="320" w:top="857" w:right="499" w:bottom="1440" w:gutter="0" w:footer="0" w:header="0"/>
          <w:type w:val="continuous"/>
        </w:sectPr>
      </w:pPr>
    </w:p>
    <w:p>
      <w:pPr>
        <w:spacing w:after="0" w:line="196" w:lineRule="exact"/>
        <w:rPr>
          <w:sz w:val="24"/>
          <w:szCs w:val="24"/>
          <w:color w:val="auto"/>
        </w:rPr>
      </w:pPr>
    </w:p>
    <w:p>
      <w:pPr>
        <w:ind w:right="360"/>
        <w:spacing w:after="0" w:line="38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8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57" w:right="499" w:bottom="1440" w:gutter="0" w:footer="0" w:header="0"/>
          <w:type w:val="continuous"/>
        </w:sectPr>
      </w:pPr>
    </w:p>
    <w:bookmarkStart w:id="1" w:name="page2"/>
    <w:bookmarkEnd w:id="1"/>
    <w:p>
      <w:pPr>
        <w:ind w:right="520"/>
        <w:spacing w:after="0" w:line="329" w:lineRule="auto"/>
        <w:rPr>
          <w:sz w:val="20"/>
          <w:szCs w:val="20"/>
          <w:color w:val="auto"/>
        </w:rPr>
      </w:pPr>
      <w:r>
        <w:rPr>
          <w:rFonts w:ascii="Times New Roman" w:cs="Times New Roman" w:eastAsia="Times New Roman" w:hAnsi="Times New Roman"/>
          <w:sz w:val="20"/>
          <w:szCs w:val="20"/>
          <w:b w:val="1"/>
          <w:bCs w:val="1"/>
          <w:color w:val="auto"/>
        </w:rPr>
        <w:t>Item 5.02 – Departure of Directors or Certain Officers; Election of Directors; Appointment of Certain Officers; Compensatory Arrangements of Certain Officers.</w:t>
      </w:r>
    </w:p>
    <w:p>
      <w:pPr>
        <w:spacing w:after="0" w:line="156" w:lineRule="exact"/>
        <w:rPr>
          <w:sz w:val="20"/>
          <w:szCs w:val="20"/>
          <w:color w:val="auto"/>
        </w:rPr>
      </w:pPr>
    </w:p>
    <w:p>
      <w:pPr>
        <w:ind w:right="20" w:firstLine="648"/>
        <w:spacing w:after="0" w:line="306" w:lineRule="auto"/>
        <w:rPr>
          <w:sz w:val="20"/>
          <w:szCs w:val="20"/>
          <w:color w:val="auto"/>
        </w:rPr>
      </w:pPr>
      <w:r>
        <w:rPr>
          <w:rFonts w:ascii="Times New Roman" w:cs="Times New Roman" w:eastAsia="Times New Roman" w:hAnsi="Times New Roman"/>
          <w:sz w:val="20"/>
          <w:szCs w:val="20"/>
          <w:color w:val="auto"/>
        </w:rPr>
        <w:t>On July 18, 2025, the Board of Directors (the “Board”) of Powell Industries, Inc. (the “Company”), upon recommendation of the Nominating and Governance Committee of the Board, increased the size of the Board from eight to nine directors and appointed Mark W. Smith to fill the newly created directorship with a term scheduled to begin on August 1, 2025 and expire at the Company’s annual stockholder meeting in 2027 or until his successor is duly elected and qualified. Mr. Smith will serve as a member of the Audit Committee of the Board.</w:t>
      </w:r>
    </w:p>
    <w:p>
      <w:pPr>
        <w:spacing w:after="0" w:line="208" w:lineRule="exact"/>
        <w:rPr>
          <w:sz w:val="20"/>
          <w:szCs w:val="20"/>
          <w:color w:val="auto"/>
        </w:rPr>
      </w:pPr>
    </w:p>
    <w:p>
      <w:pPr>
        <w:ind w:right="600" w:firstLine="648"/>
        <w:spacing w:after="0" w:line="310" w:lineRule="auto"/>
        <w:rPr>
          <w:sz w:val="20"/>
          <w:szCs w:val="20"/>
          <w:color w:val="auto"/>
        </w:rPr>
      </w:pPr>
      <w:r>
        <w:rPr>
          <w:rFonts w:ascii="Times New Roman" w:cs="Times New Roman" w:eastAsia="Times New Roman" w:hAnsi="Times New Roman"/>
          <w:sz w:val="20"/>
          <w:szCs w:val="20"/>
          <w:color w:val="auto"/>
        </w:rPr>
        <w:t>There are no arrangements or understandings between Mr. Smith and any other person pursuant to which he was selected as a director. The Company is not aware of any transaction in which Mr. Smith has an interest requiring disclosure under Item 404(a) of Regulation S-K.</w:t>
      </w:r>
    </w:p>
    <w:p>
      <w:pPr>
        <w:spacing w:after="0" w:line="202" w:lineRule="exact"/>
        <w:rPr>
          <w:sz w:val="20"/>
          <w:szCs w:val="20"/>
          <w:color w:val="auto"/>
        </w:rPr>
      </w:pPr>
    </w:p>
    <w:p>
      <w:pPr>
        <w:ind w:firstLine="648"/>
        <w:spacing w:after="0" w:line="306" w:lineRule="auto"/>
        <w:rPr>
          <w:sz w:val="20"/>
          <w:szCs w:val="20"/>
          <w:color w:val="auto"/>
        </w:rPr>
      </w:pPr>
      <w:r>
        <w:rPr>
          <w:rFonts w:ascii="Times New Roman" w:cs="Times New Roman" w:eastAsia="Times New Roman" w:hAnsi="Times New Roman"/>
          <w:sz w:val="20"/>
          <w:szCs w:val="20"/>
          <w:color w:val="auto"/>
        </w:rPr>
        <w:t>Mr. Smith will be compensated for his service on the Board under the Company’s standard arrangement for non-employee directors described in its proxy statement for the 2025 annual meeting of stockholders (which arrangement may be updated from time to time) and will receive an initial stock award approved by the Board under the 2014 Non-Employee Director Equity Incentive Plan valued at $50,000, which represents a 50% proration of the annual stock award received by each of the Company’s non-employee directors in February 2025. Such initial stock award will vest one calendar year from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6" w:right="379" w:bottom="1440" w:gutter="0" w:footer="0" w:header="0"/>
        </w:sectPr>
      </w:pPr>
    </w:p>
    <w:bookmarkStart w:id="2" w:name="page3"/>
    <w:bookmarkEnd w:id="2"/>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4" w:lineRule="exact"/>
        <w:rPr>
          <w:sz w:val="20"/>
          <w:szCs w:val="20"/>
          <w:color w:val="auto"/>
        </w:rPr>
      </w:pPr>
    </w:p>
    <w:p>
      <w:pPr>
        <w:ind w:firstLine="648"/>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July 22, 2025</w:t>
      </w:r>
    </w:p>
    <w:p>
      <w:pPr>
        <w:spacing w:after="0" w:line="24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Powell Industries, Inc.</w:t>
      </w:r>
    </w:p>
    <w:p>
      <w:pPr>
        <w:spacing w:after="0" w:line="283" w:lineRule="exact"/>
        <w:rPr>
          <w:sz w:val="20"/>
          <w:szCs w:val="20"/>
          <w:color w:val="auto"/>
        </w:rPr>
      </w:pPr>
    </w:p>
    <w:tbl>
      <w:tblPr>
        <w:tblLayout w:type="fixed"/>
        <w:tblInd w:w="5760" w:type="dxa"/>
        <w:tblCellMar>
          <w:top w:w="0" w:type="dxa"/>
          <w:left w:w="0" w:type="dxa"/>
          <w:bottom w:w="0" w:type="dxa"/>
          <w:right w:w="0" w:type="dxa"/>
        </w:tblCellMar>
      </w:tblPr>
      <w:tr>
        <w:trPr>
          <w:trHeight w:val="26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Michael W. Metcalf</w:t>
            </w:r>
          </w:p>
        </w:tc>
      </w:tr>
      <w:tr>
        <w:trPr>
          <w:trHeight w:val="244"/>
        </w:trPr>
        <w:tc>
          <w:tcPr>
            <w:tcW w:w="7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Michael W. Metcalf</w:t>
            </w:r>
          </w:p>
        </w:tc>
      </w:tr>
      <w:tr>
        <w:trPr>
          <w:trHeight w:val="257"/>
        </w:trPr>
        <w:tc>
          <w:tcPr>
            <w:tcW w:w="74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w:t>
            </w:r>
          </w:p>
        </w:tc>
      </w:tr>
      <w:tr>
        <w:trPr>
          <w:trHeight w:val="257"/>
        </w:trPr>
        <w:tc>
          <w:tcPr>
            <w:tcW w:w="74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8"/>
        </w:trPr>
        <w:tc>
          <w:tcPr>
            <w:tcW w:w="74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Financial and Principal Accounting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2025-07-22T15:21:10Z</dcterms:created>
  <dcterms:modified xsi:type="dcterms:W3CDTF">2025-07-22T15:21:10Z</dcterms:modified>
</cp:coreProperties>
</file>