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99"/>
        </w:trPr>
        <w:tc>
          <w:tcPr>
            <w:tcW w:w="37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102870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91"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(Do not check if a smaller reporting company)</w:t>
      </w:r>
    </w:p>
    <w:p>
      <w:pPr>
        <w:spacing w:after="0" w:line="198"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August 4, 2017, there were 11,428,638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705" w:gutter="0" w:footer="0" w:header="0"/>
        </w:sect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70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0"/>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06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530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648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Part II — Other Information</w:t>
              </w:r>
            </w:hyperlink>
          </w:p>
        </w:tc>
        <w:tc>
          <w:tcPr>
            <w:tcW w:w="84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68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1A. Risk Factors</w:t>
              </w:r>
            </w:hyperlink>
          </w:p>
        </w:tc>
        <w:tc>
          <w:tcPr>
            <w:tcW w:w="89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10040" w:type="dxa"/>
            <w:vAlign w:val="bottom"/>
            <w:gridSpan w:val="16"/>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942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4"/>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2016</w:t>
            </w: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less allowance for doubtful accounts of $90 and $811</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77,547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101,048</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66,106</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19,028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26,521</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4,006</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2,457</w:t>
            </w:r>
          </w:p>
        </w:tc>
      </w:tr>
      <w:tr>
        <w:trPr>
          <w:trHeight w:val="47"/>
        </w:trPr>
        <w:tc>
          <w:tcPr>
            <w:tcW w:w="79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260,319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304,140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138,664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144,977</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2,059</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424,329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462,516</w:t>
            </w:r>
          </w:p>
        </w:tc>
      </w:tr>
      <w:tr>
        <w:trPr>
          <w:trHeight w:val="73"/>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1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34,985</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bonuses and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41,882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43,974</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product warranty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1,459</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8,212</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Deferred credit ─ short term (Note D)</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2,029</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118,248</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credit ─ long term (Note D)</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127,199</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(Note F)</w:t>
            </w: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2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par value $.01; 30,000,000 shares authorized; 12,234,656 and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12,199,511 shares issued,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53,909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52,003</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331,959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Treasury stock, 806,018 shares at cost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(24,999)</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(23,768)</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325,100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335,317</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46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462"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5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85,927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300,948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435,450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76,873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105,922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261,073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354,921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27,285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14,761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19,362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57,787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Restructuring and separation costs</w:t>
            </w:r>
          </w:p>
        </w:tc>
        <w:tc>
          <w:tcPr>
            <w:tcW w:w="9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(7,520)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(6,898)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6,058</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(3,215)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4,894</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67"/>
        </w:trPr>
        <w:tc>
          <w:tcPr>
            <w:tcW w:w="45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(loss) per share:</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vMerge w:val="continue"/>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67"/>
        </w:trPr>
        <w:tc>
          <w:tcPr>
            <w:tcW w:w="45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11,463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11,463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11,473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580" w:right="35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722</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Bad debt expense (recovery)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amended supply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received from amended supply agreement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Costs and billings in excess of estimated earnings on uncompleted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 and income taxes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Purchase of treasury shares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89,351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corporation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equipment and systems for the distribution, control and monitoring of electrical energy. Headquartered in Houston, Texas, we serve the oil and gas refining, offshore oil and gas production, petrochemical, pipeline, terminal, mining and metals, light rail traction power, electric utility, pulp and paper and other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2016, which was filed with the Securities and Exchange Commission (SEC) on December 7,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2017 and Fiscal 2016 used throughout this report shall mean our fiscal years ended September 30, 2017 and 2016,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and cost recognition for construction contracts, the allowance for doubtful accounts, provision for excess and obsolete inventory, self-insurance, warranty accruals, liquidated damages and income taxes. The amounts recorded for insurance claims, warranties, legal, liquidated damages, income taxes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routinely change as new events occur, additional information becomes available or operating environments change. Actual results may differ from our prior estimates.</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and nine months ended June 30, 2017, our operating loss was positively impacted by $3.6 million and $7.4 million, respectively, as a result of changes in contract estimates related to projects in progress at the beginning of the respective periods. These changes in estimates resulted primarily from, among other things, successful execution and close-out improvements, as well as other changes in facts and circumstances during these periods.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 periods within those years, beginning after December 15, 2017, which would be our fiscal year ending September 30, 2019. We continue to work with various other companies in our industry as well as outside accounting advisors to evaluate this standard and understand the impact that the adoption of this new standard will have on our consolidated financial statements and related disclosures. We believe that we will continue to recognize revenue over time utilizing the cost-to-cost method to measure our progress for the vast majority of our contracts. We have not yet selected a transition method nor have we determined the effect of the standard on our ongoing financial reporting.</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This amendment is effective for annual reporting periods beginning after December 15, 2016, which would be our fiscal year ending September 30, 2018. We have no plans for early adoption. We are still evaluating this new amendment, but we do not expect it to have a material impact on our consolidated financial position or results of operations.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standard is effective for fiscal years beginning after December 15, 2018, including interim periods within those fiscal years. This would be our fiscal year ending September 30, 2020. We plan to adopt this new standard beginning in Fiscal 2018, and do not expect it to have a material impact on our consolidated financial position or results of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new standards on the statement of cash flows and restricted cash that change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These standards are effective for public business entities for fiscal years beginning after December 15, 2017, and interim periods within those fiscal years, which would be our fiscal year ending September 30, 2019. We have no plans for early adoption. We are still evaluating these new standards, but we do not expect them to have a material impact on our consolidated financial position or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The standard is effective for annual reporting periods beginning after December 15, 2017, which would be our fiscal year ending September 30, 2018. We do not expect this topic to have a material impact on our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(3,215)</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4,894</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10,002</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11,463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11,397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11,387</w:t>
            </w: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10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9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89"/>
              </w:rPr>
              <w:t>Weighted average diluted shares with assumed conversions</w:t>
            </w:r>
          </w:p>
        </w:tc>
        <w:tc>
          <w:tcPr>
            <w:tcW w:w="10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11,463</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11,473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11,435</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income (loss)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0.88</w:t>
            </w:r>
          </w:p>
        </w:tc>
      </w:tr>
      <w:tr>
        <w:trPr>
          <w:trHeight w:val="251"/>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0.87</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and nine months ended June 30, 2017, we incurred net losses and therefore all potential common shares were deemed to be anti-dilutive.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34"/>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80" w:type="dxa"/>
            <w:vAlign w:val="bottom"/>
            <w:tcBorders>
              <w:bottom w:val="single" w:sz="8" w:color="CFF0FC"/>
            </w:tcBorders>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976</w:t>
            </w:r>
          </w:p>
        </w:tc>
        <w:tc>
          <w:tcPr>
            <w:tcW w:w="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811</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0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Inventories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The components of inventories are summarized below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June 30, 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50"/>
        </w:trPr>
        <w:tc>
          <w:tcPr>
            <w:tcW w:w="45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1080" w:type="dxa"/>
            <w:vAlign w:val="bottom"/>
            <w:tcBorders>
              <w:top w:val="single" w:sz="8" w:color="CFF0FC"/>
              <w:bottom w:val="single" w:sz="8" w:color="CFF0FC"/>
            </w:tcBorders>
            <w:shd w:val="clear" w:color="auto" w:fill="CFF0FC"/>
          </w:tcPr>
          <w:p>
            <w:pPr>
              <w:spacing w:after="0"/>
              <w:rPr>
                <w:sz w:val="21"/>
                <w:szCs w:val="21"/>
                <w:color w:val="auto"/>
              </w:rPr>
            </w:pPr>
          </w:p>
        </w:tc>
        <w:tc>
          <w:tcPr>
            <w:tcW w:w="5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40" w:type="dxa"/>
            <w:vAlign w:val="bottom"/>
            <w:tcBorders>
              <w:top w:val="single" w:sz="8" w:color="CFF0FC"/>
              <w:bottom w:val="single" w:sz="8" w:color="CFF0FC"/>
            </w:tcBorders>
            <w:shd w:val="clear" w:color="auto" w:fill="CFF0FC"/>
          </w:tcPr>
          <w:p>
            <w:pPr>
              <w:spacing w:after="0"/>
              <w:rPr>
                <w:sz w:val="21"/>
                <w:szCs w:val="21"/>
                <w:color w:val="auto"/>
              </w:rPr>
            </w:pPr>
          </w:p>
        </w:tc>
        <w:tc>
          <w:tcPr>
            <w:tcW w:w="5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18,244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10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19,028</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June 30, 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50"/>
        </w:trPr>
        <w:tc>
          <w:tcPr>
            <w:tcW w:w="45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104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980" w:type="dxa"/>
            <w:vAlign w:val="bottom"/>
            <w:tcBorders>
              <w:top w:val="single" w:sz="8" w:color="CFF0FC"/>
              <w:bottom w:val="single" w:sz="8" w:color="CFF0FC"/>
            </w:tcBorders>
            <w:shd w:val="clear" w:color="auto" w:fill="CFF0FC"/>
          </w:tcPr>
          <w:p>
            <w:pPr>
              <w:spacing w:after="0"/>
              <w:rPr>
                <w:sz w:val="21"/>
                <w:szCs w:val="21"/>
                <w:color w:val="auto"/>
              </w:rPr>
            </w:pPr>
          </w:p>
        </w:tc>
        <w:tc>
          <w:tcPr>
            <w:tcW w:w="6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1,025,641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1,088,921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334,072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350,125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1,359,713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1,439,046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(1,355,468)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(1,416,914)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Included in the accompanying balance sheets under the following captions:</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w w:val="91"/>
              </w:rPr>
              <w:t>Costs and estimated earnings in excess of billings on uncompleted contracts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46,127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66,106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1"/>
              </w:rPr>
              <w:t>Billings in excess of costs and estimated earnings on uncompleted contracts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4"/>
          </w:tcPr>
          <w:p>
            <w:pPr>
              <w:spacing w:after="0"/>
              <w:rPr>
                <w:sz w:val="20"/>
                <w:szCs w:val="20"/>
                <w:color w:val="auto"/>
              </w:rPr>
            </w:pPr>
            <w:r>
              <w:rPr>
                <w:rFonts w:ascii="Arial" w:cs="Arial" w:eastAsia="Arial" w:hAnsi="Arial"/>
                <w:sz w:val="18"/>
                <w:szCs w:val="18"/>
                <w:color w:val="auto"/>
                <w:w w:val="98"/>
              </w:rPr>
              <w:t>Activity in our product warranty accrual consisted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32"/>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Borders>
              <w:bottom w:val="single" w:sz="8" w:color="CFF0FC"/>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4,787</w:t>
            </w:r>
          </w:p>
        </w:tc>
        <w:tc>
          <w:tcPr>
            <w:tcW w:w="38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4,639</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Increase to warranty expense</w:t>
            </w:r>
          </w:p>
        </w:tc>
        <w:tc>
          <w:tcPr>
            <w:tcW w:w="10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(1,206)</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4,729</w:t>
            </w: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3,332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 GOODWILL AND INTANGIBLE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intangible assets consist of goodwill, which is not being amortized, and purchased technology, which is amortized over its estimated useful life. Intangible assets balances, subject to amortization, at June 30, 2017 and September 30, 2016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3"/>
                <w:szCs w:val="13"/>
                <w:color w:val="auto"/>
              </w:rPr>
            </w:pPr>
          </w:p>
        </w:tc>
        <w:tc>
          <w:tcPr>
            <w:tcW w:w="94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11,749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11,749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$0.3 million for the nine months ended June 30, 2017 and 2016.</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7, 2006, we purchased certain assets related to the manufacturing of ANSI medium-voltage switchgear and circuit breaker business from General Electric Company (GE). In connection with the acquisition, we entered into a 15-year supply agreement with GE pursuant to which GE would purchase from us all of their requirements for ANSI medium-voltage switchgear and circuit breakers and other related equipment and components (the Products). In connection with the acquisition, we recorded an intangible asset related to this supply agreement. On December 30, 2013, we and GE amended the supply agreement to allow GE to manufacture similar Products for sale immediately and allow them to begin purchasing Products from other suppliers beginning December 31, 2014. In return, GE paid us $10.0 million upon execution of the amended supply agreement and agreed to pay an additional $7 million over three years, beginning March 2015. The final balance of $2.3 million was received in April 2017. We wrote off the intangible asset related to the original supply agreement and recorded a deferred credit in the amount of $8.1 million at December 31, 2013, the amount by which the proceeds from GE exceeded the unamortized balance of our intangible asset. We are amortizing this deferred credit over the four-year life of the agreement and have recognized gains in other income of $1.5 million for the nine months ended June 30, 2017 and 2016. As of June 30, 2017, there is approximately $1.0 million remaining in the deferred credit balance.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September 30, 2016</w:t>
            </w: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32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76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2,000</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$75.0 million revolving credit facility (U.S. Revolver) to provide working capital support and letters of credit. In June 2017, we entered into the Third Amendment to the Credit Agreement (the Third Amendment). The Third Amendment, among other things, (i) extended the Maturity Date from December 2018 to June 2022; (ii) amended the definition of Applicable Rate by (a) providing that Pricing Level I shall apply when a Cash Collateral Period (described below) is in effect and that Pricing Level II shall apply when no Cash Collateral Period is in effect, (b) decreasing the Letter of Credit Fee percentage for Pricing Level I from 1.00% to 0.875% and (c) increasing the Commitment Fee percentage for both Pricing Level I and Pricing Level II from 0.1875% to 0.20%; (iii) added a new requirement that during a Cash Collateral Period we maintain a cash balance in a pledged cash collateral account equal to at least 102% of the Outstanding Amount of Revolving Loans and Letter of Credit Obligations and (iv) modified the Financial Covenants by requiring that, during any Cash Collateral Period, the Consolidated Current Ratio be no less than 1.10 to 1.0. Price Level 3 has been removed and our ability to pay dividends remains subject to financial covenant restrictions.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a Cash Collateral Period under the Third Amendment is defined as a fiscal quarter during which we have pledged our cash collateral account to the Administrative Agent. A Cash Collateral Period will terminate on the last day of the fiscal quarter in which we satisfy the Level II Pricing Covenants set forth in the Third Amendment for two consecutive fiscal quarters. If we are not in compliance with the Level II Pricing Covenants, we are subject to Level I Pricing Covenants.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Cash Collateral Period was in effect as of June 30, 2017, therefore we placed $25.3 million in a pledged cash collateral account, which was 102% of our outstanding letters of credit as of June 30, 2017. The cash collateral associated with the outstanding letters of credit that are due to expire beyond twelve months has been classified as non-current restricted cash on the balance sheet as of June 30,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 The U.S. Revolver provides for the issuance of letters of credit which reduce the amounts that may be borrowed under this revolver. We had $24.6 million of outstanding letters of credit under the U.S. Revolver at June 30,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borrowings outstanding under the U.S. Revolver as of June 30, 2017. Amounts available under the U.S. Revolver were $50.4 million at June 30, 2017. The U.S. Revolver expires on June 27,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As of June 30, 2017, we were in compliance with all of the financial covenants of the U.S. Revolver.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Revolver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 $7.7 million credit agreement with a major international bank in Canada (the Canadian Revolver) to provide working capital support and letters of credit for our operations in Canada. There were no borrowings or outstanding letters of credit under the Canadian Revolver as of June 30, 2017 and therefore subsequent to June 30, 2017, we canceled the Canadian Revolver. We believe that the cash available in Canada and the U.S. should be sufficient to fund our Canadian operations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June 30, 2017.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1.05% as of June 30,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Surety Bonds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bank letter of credit guarantees or surety bonds. These guarantees and surety bonds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secured and unsecured letters of credit of $24.6 million as of June 30, 2017. We also had surety bonds totaling $221.7 million that were outstanding, with additional bonding capacity of $528.3 million available, at June 30, 2017.</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$6.5 million facility agreement (Facility Agreement) between Powell (UK) Limited and a large international bank. This Facility Agreement provides Powell (UK) Limited the ability to enter into bank guarantees as well as forward exchange contracts and currency options. At June 30, 2017, we had outstanding guarantees totaling $4.2 million under this Facility Agreement and amounts available under this Facility Agreement were $2.3 million. This facility expires in May 2018.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may become or be declared immediately due and payable. As of June 30, 2017, we were in compliance with all of the financial covenants of the Facility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Liquidated Damages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June 30, 2017, our exposure to possible liquidated damages was $6.8 million, of which approximately $1.5 million is probable. Based on our actual or projected failure to meet these various contractual commitments, $1.5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G.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Refer to our Annual Report on Form 10-K for the fiscal year ended September 30, 2016 for a full description of our existing stock-based compensation plans.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issue restricted stock units (RSUs) to certain officers and key employees of the Company. The fair value of the RSUs is based on the closing price of our common stock as reported on the NASDAQ Global Market on the grant dates. These grants vest over a three-year period from their date of issuance. Sixty percent of the grant is time-based and vests over a three-year period on each anniversary of the grant date, based on continued employment. The remaining forty percent of the grant will be earned based on the three-year earnings performance of the Company following the grant date. At June 30, 2017, there were 194,537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nine months ended June 30, 2017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159,988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43.12</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62,100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39.57</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39.08</w:t>
            </w:r>
          </w:p>
        </w:tc>
      </w:tr>
      <w:tr>
        <w:trPr>
          <w:trHeight w:val="257"/>
        </w:trPr>
        <w:tc>
          <w:tcPr>
            <w:tcW w:w="850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194,537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42.56</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June 30, 2017 and 2016, we recorded compensation expense of $1.7 million and $3.7 million, respectively, related to the RSUs. The higher compensation expense recorded in the nine months ended June 30, 2016 was primarily due to the early vesting of shares associated with executive separation costs, see Note J.</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with the February 2017 grant, fifty-percent of the restricted stock granted to each of our non-employee directors vests immediately, while the remaining fifty-percent will vest on the anniversary of the grant date. Compensation expense will be recognized immediately for the first fifty-percent of the restricted stock granted, while compensation expense for the remaining fifty-percent will be recognized over the remaining vesting period based on the price per share on the grant date. In February 2017, 17,000 shares of restricted stock were issued to our non-employee directors at a price of $34.24 per share under the 2014 Director Plan.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June 30, 2017 and 2016, we recorded compensation expense of $0.6 million, respectively, related to restricted stock grants.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June 30, 2017 (in thousands):</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Fair Value Measurements at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55,364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25,301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2016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
        </w:trPr>
        <w:tc>
          <w:tcPr>
            <w:tcW w:w="47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recently amended credit agreement.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this balance as non-current on the balance sheet. See Note E for further discussion on restricted cash.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fair values of the underlying securities of these funds are based on quoted market prices and are categorized as Level 1 in the fair value measurement hierarchy. The company-owned life insurance policies are valued at cash surrender value and are therefore categorized as Level 2 in the fair value measurement hierarchy.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Industrial Development Revenue Bonds</w:t>
      </w:r>
      <w:r>
        <w:rPr>
          <w:rFonts w:ascii="Arial" w:cs="Arial" w:eastAsia="Arial" w:hAnsi="Arial"/>
          <w:sz w:val="18"/>
          <w:szCs w:val="18"/>
          <w:color w:val="auto"/>
        </w:rPr>
        <w:t>– The fair value of our long-term debt depends primarily on the coupon rate of our industrial development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bonds. The carrying value of our long-term debt at June 30, 2017, approximates fair value based 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current coupon rate of the bonds, which is reset weekly. It is classified as a Level 2 input in the fair value measurement hierarchy as there is an active market for the trading of these industrial development revenue bonds.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three months ended June 30,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(6,898)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6,058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10,846</w:t>
            </w:r>
          </w:p>
        </w:tc>
      </w:tr>
      <w:tr>
        <w:trPr>
          <w:trHeight w:val="270"/>
        </w:trPr>
        <w:tc>
          <w:tcPr>
            <w:tcW w:w="4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1,164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844</w:t>
            </w:r>
          </w:p>
        </w:tc>
      </w:tr>
      <w:tr>
        <w:trPr>
          <w:trHeight w:val="230"/>
        </w:trPr>
        <w:tc>
          <w:tcPr>
            <w:tcW w:w="4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(3,215)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4,894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10,002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recorded an income tax benefit of $3.7 million in the third quarter of Fiscal 2017, compared to an income tax provision of $1.2 million in the third quarter of Fiscal 2016. The effective tax rate for the third quarter of Fiscal 2017 was 53% compared to an effective tax rate of 19% in the third quarter of Fiscal 2016. The effective tax rates for the third quarter of Fiscal 2017 and 2016 were favorably impacted by the utilization of net operating loss carryforwards in Canada that are fully reserved with a valuation allowance. In addition, the effective tax rate for the third quarter of Fiscal 2017 was favorably impacted by discrete items recognized during the quarter, primarily related to the Research and Development Tax Credit (R&amp;D Tax Credit).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an income tax benefit of $6.5 million for the nine months ended June 30, 2017, compared to an income tax provision of $0.8 million for the nine months ended June 30, 2016. The effective tax rate was 60% for the nine months ended June 30, 2017 compared to 8% for the nine months ended June 30, 2016. The effective tax rates for the nine months ended June 30, 2017 and 2016 were favorably impacted by the lower tax rate in the United Kingdom, the relative amounts of income/loss recognized in various jurisdictions, as well as the utilization of net operating loss carryforwards in Canada that are fully reserved with a valuation allowance. Additionally, the effective tax rates for the nine months ended June 30, 2017 and 2016 were favorably impacted by discrete items recognized, primarily related to the R&amp;D Tax Credit in the amounts of $0.9 million and $0.8 million,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J. 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incur any restructuring costs in the third quarter of Fiscal 2017. However, in the third quarter of Fiscal 2016, we incurred approximately $0.4 million of separation costs as we continued to align our workforce with future production requirements, with another approximately $0.3 million of restructuring costs related to a leased Canadian facility that we exited in the third quarter of Fiscal 2015.</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June 30, 2017, we incurred $0.8 million of restructuring costs as we continued to reduce our overall cost structure to better align our costs with future production requirements. For the nine months ended June 30, 2016, we incurred approximately $7.7 million due to the realignment of our senior management team and workforce reductions.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K. SUBSEQUENT EVENTS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8, 2017, our Board of Directors declared a quarterly cash dividend on our common stock in the amount of $0.26 per share. The dividend is payable on September 13, 2017 to shareholders of record at the close of business on August 23,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800" w:right="239" w:bottom="1440" w:gutter="0" w:footer="0" w:header="0"/>
          <w:type w:val="continuous"/>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the cyclical nature of the oil and gas industry, our business may be adversely impacted by extended periods of low oil or gas prices or unsuccessful exploration efforts which may decrease our customers' spending and therefore our results in the future.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materially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 including regulations related to conflict minerals.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quarter to quarter.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involve a number of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2016.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2016 which was filed with the Securities and Exchange Commission (SEC) on December 7, 2016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refining, offshore oil and gas production, petrochemical, pipeline, terminal, mining and metals, light rail traction power, electric utility, pulp and paper and other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 Due to the significant decline in oil and gas prices from late 2014 levels, many of our customers have reduced their capital budgets and cut costs, and in certain instances have delayed or cancelled projects that we were pursuing. As a result, our project backlog has declined, and may continue to decline, which may further negatively impact our operations. In response to our reduced project backlog and the challenging market outlook in our core oil, gas and petrochemical markets, we took steps in Fiscal 2016, and have taken additional actions in Fiscal 2017, to reduce our overall cost structure and better align our costs with future production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2017 Compared to the Quarter Ended June 30, 2016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decreased by 35%, or $47.3 million, to $85.9 million in the third quarter of Fiscal 2017, compared to the third quarter of Fiscal 2016, primarily due to the continued decrease in our project backlog as we complete existing projects and continue to see lower demand from our customers in our core oil, gas and petrochemical markets. Domestic revenues decreased by 41%, or $38.9 million, to $55.1 million in the third quarter of Fiscal 2017, compared to the third quarter of Fiscal 2016, and international revenues decreased by 21%, or $8.4 million, to $30.8 million in the third quarter of Fiscal 2017, compared to the third quarter of Fiscal 2016. This reduction in geographic revenues year over year was driven by the decline in our project backlog mentioned above. Revenues from commercial and industrial customers decreased by 52%, or $51.7 million, to $48.0 million in the third quarter of Fiscal 2017, compared to the third quarter of Fiscal 2016, primarily due to lower demand in our core oil, gas and petrochemical markets. Revenues from public and private utilities increased by 25%, or $5.7 million, to $28.5 million in the third quarter of Fiscal 2017, compared to the third quarter of Fiscal 2016. Revenues from municipal and transit projects decreased by 12%, or $1.2 million, to $9.5 million in the third quarter of Fiscal 2017, compared to the third quarter of Fiscal 2016. The decrease in municipal and transit revenues is primarily due to the timing of projects.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for the third quarter of Fiscal 2017 decreased by 67%, or $18.2 million, to $9.1 million, compared to the third quarter of Fiscal 2016, primarily due to lower revenues resulting in underutilization of our manufacturing facilities and increased market price pressures. Gross profit as a percentage of revenues decreased to 11% in the third quarter of Fiscal 2017, compared to 20% in the third quarter of Fiscal 2016 due to the reduction in revenues, underutilization of our manufacturing facilities and market price pressures, partially offset by favorable project execution. However, we continue to see improvement in gross profit margins from project execution as we close out certain projects resulting in changes in contract estimates.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by 24%, or $4.6 million, to $14.8 million during the third quarter of Fiscal 2017, compared to the third quarter of Fiscal 2016, primarily due to the cost reduction efforts we took in Fiscal 2016 in response to our adverse market outlook and lower incentive compensation expenses. Selling, general and administrative expenses, as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percentage of revenues, increased to 17% during the third quarter of Fiscal 2017, compared to 15% during the third quarter of Fiscal 2016, primarily due to the reduction in revenue quarter over quarter.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incur any restructuring costs in the third quarter of Fiscal 2017. However, in the third quarter of Fiscal 2016, we incurred approximately $0.4 million of separation costs as we continued to align our workforce with future production requirements, with another approximately $0.3 million of restructuring costs related to a leased Canadian facility that we exited in the third quarter of Fiscal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recorded an income tax benefit of $3.7 million in the third quarter of Fiscal 2017, compared to an income tax provision of $1.2 million in the third quarter of Fiscal 2016. The effective tax rate for the third quarter of Fiscal 2017 was 53% compared to an effective tax rate of 19% in the third quarter of Fiscal 2016. The effective tax rates for the third quarter of Fiscal 2017 and 2016 were favorably impacted by the utilization of net operating loss carryforwards in Canada that are fully reserved with a valuation allowance. In addition, the effective tax rate for the third quarter of Fiscal 2017 was favorably impacted by discrete items recognized during the quarter, primarily related to the Research and Development Tax Credit (R&amp;D Tax Credit).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third quarter of Fiscal 2017, we recorded a loss of $3.2 million, or $0.28 per diluted share compared to income of $4.9 million, or $0.43 per diluted share, in the third quarter of Fiscal 2016. The reduction in revenue and gross profit compared to the third quarter of Fiscal 2016 was due to a decline in project backlog due to weak market conditions and competitive pricing pressures, primarily in our core oil, gas and petrochemical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order backlog at June 30, 2017 was $232.9 million, which declined from $291.4 million at September 30, 2016. New orders increased during the third quarter of Fiscal 2017 to $90.7 million, compared to $88.1 million in the third quarter of Fiscal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2017 Compared to the Nine Months Ended June 30, 2016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Revenues decreased by 31% or $134.5 million, to $300.9 million for the nine months ended June 30, 2017, compared to the nine months ended June 30, 2016, primarily due to the continued decrease in our project backlog as we complete existing projects and continue to see lower demand from our customers in our core oil, gas and petrochemical markets. Domestic revenues decreased by 29%, or $89.9 million, to $216.3 million for the nine months ended June 30, 2017, compared to the nine months ended June 30, 2016, and international revenues decreased by 34% or $44.6 million, to $84.7 million for the nine months ended June 30, 2017, compared to the nine months ended June 30, 2016. This reduction in geographic revenues year over year was driven by the decline in our project backlog mentioned above. Revenues from commercial and industrial customers decreased by 42%, or $137.3 million, to $190.6 million for the nine months ended June 30, 2017, compared to the nine months ended June 30, 2016, primarily due to lower demand in our core oil, gas and petrochemical markets. Revenues from public and private utilities decreased by 22%, or $16.9 million, to $61.0 million for the nine months ended June 30, 2017, compared to the nine months ended June 30, 2016. The decrease in utility revenues was primarily due to the timing of projects. Revenues from municipal and transit projects increased by 67%, or $19.7 million, to $49.4 million for the nine months ended June 30, 2017, compared to the nine months ended June 30, 2016.</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nine months ended June 30, 2017 decreased by 50%, or $40.7 million, to $39.9 million, compared to the nine months ended June 30, 2016, primarily due to the decrease in revenues. Gross profit as a percentage of revenues decreased to 13% for the nine months ended June 30, 2017, compared to 18% for the nine months ended June 30, 2016. We continue to see improvements in gross profit margins from our Canadian operations and from project execution as we close out certain projects resulting in changes in contract estimates. Margins continued to be negatively impacted by our reduced volume as a result of weak oil and gas market conditions, competitive pricing pressures and increased volume from our municipal transit projects, which typically have lower margins.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jc w:val="both"/>
        <w:spacing w:after="0" w:line="302" w:lineRule="auto"/>
        <w:rPr>
          <w:sz w:val="20"/>
          <w:szCs w:val="20"/>
          <w:color w:val="auto"/>
        </w:rPr>
      </w:pPr>
      <w:r>
        <w:rPr>
          <w:rFonts w:ascii="Arial" w:cs="Arial" w:eastAsia="Arial" w:hAnsi="Arial"/>
          <w:sz w:val="16"/>
          <w:szCs w:val="16"/>
          <w:color w:val="auto"/>
        </w:rPr>
        <w:t>Selling, general and administrative expenses decreased by 20%, or $11.3 million, to $46.5 million for the nine months ended June 30, 2017, compared to the nine months ended June 30, 2016, primarily due to the cost reduction efforts we took in Fiscal 2016 in response to our reduced project backlog and adverse market outlook and reductions in incentive compensation. Selling, general and administrative expenses, as a percentage of revenues, increased to 15% for the nine months ended June 30, 2017, compared to 13% for the nine months ended June 30, 2016, primarily due to the reduction in revenue discussed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June 30, 2017, we incurred $0.8 million in restructuring and separation costs as we continue to reduce our overall cost structure to better align our costs with future production requirements. For the nine months ended June 30, 2016, we incurred $7.7 million of separation costs due to the realignment of our senior management team and workforce reductions.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an income tax benefit of $6.5 million for the nine months ended June 30, 2017, compared to an income tax provision of $0.8 million for the nine months ended June 30, 2016. The effective tax rate for the nine months ended June 30, 2017 was 60% compared to 8% for nine months ended June 30, 2016. The effective tax rates for the nine months ended June 30, 2017 and 2016 were favorably impacted by the lower tax rate in the United Kingdom, the relative amounts of income/loss recognized in various jurisdictions, as well as the utilization of net operating loss carryforwards in Canada that are fully reserved with a valuation allowance. Additionally, the effective tax rates for the nine months ended June 30, 2017 and 2016 were favorably impacted by discrete items recognized, primarily related to the R&amp;D Tax Credit in the amounts of $0.9 million and $0.8 million,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June 30, 2017, we recorded a loss of $4.3 million, or $0.38 per diluted share compared to income of $10.0 million, or $0.87 per diluted share, for the nine months ended June 30, 2016. The reduction in revenue and gross profit compared to the nine months ended June 30, 2016 was due to a decline in our project backlog due to depressed market conditions and competitive pricing pressures, primarily in our core oil, gas and petrochemical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order backlog at June 30, 2017 was $232.9 million, which declined from $291.4 million at September 30, 2016. New orders declined during the nine months ended June 30, 2017 to $243.5 million, compared to $306.7 million for the nine months ended June 30, 2016, primarily due to lower demand from our customers in our core oil, gas and petrochemical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current assets exceeded current liabilities by 2.9 times and our debt to total capitalization was 0.61%.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$87.8 million at June 30, 2017, compared to $97.7 million at September 30, 2016. In addition, at June 30, 2017, we had cash of $25.3 million held in a pledged collateral account related to our amended credit agreement. As of September 30, 2016, we did not have any cash balances classified as restricted. For further information regarding this amended credit agreement, see Note E of Notes to Condensed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$75.0 million revolving credit facility in the U.S. As of June 30, 2017, there were no amounts borrowed under this line of credit. Total letters of credit outstanding under our U.S. credit facility, which reduce our availability, were $24.6 million at June 30, 2017 and $26.8 million at September 30, 2016. The amount available under the U.S. revolving credit facility at June 30, 2017 was $50.4 million. Total long-term debt, including current maturities, totaled $2.0 million at June 30, 2017, compared to $2.4 million at September 30, 2016. For further information regarding our debt, see Notes E and F of Notes to Condensed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$33 million of our cash and short-term investments at June 30, 2017 was held outside of the United States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We believe that cash and short-term investments available and borrowing capacity under our existing credit facility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provided by operating activities decreased to $27.1 million for the nine months ended June 30, 2017, compared to cash provided by operating activities of $61.8 million during the same period in Fiscal 2016. This decrease in operating cash flow in the nine months ended June 30, 2017 was primarily from the reduction in earnings year over year, partially offset by reductions in accounts receivable and project billings due to lower project activity. Cash flow from operations is primarily influenced by the timing of milestone payments from our customers and the payment terms with our suppliers.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during the nine months ended June 30, 2017 totaled $83.2 million compared to $1.9 million during the same period in Fiscal 2016. For the nine months ended June 30, 2017, our net short-term investment activity was $55.4 million and we spent approximately $2.5 million on purchases of plant improvements and equipment. Additionally, we transferred approximately $25 million to restricted cash as it is pledged to secure 102% of our outstanding letters of credit under our U.S. revolving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was $9.7 million for the nine months ended June 30, 2017 and $14.0 million during the same period in Fiscal 2016. This reduction was primarily due to the completion of our share repurchase program in December 2015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17, 2014, our Board of Directors authorized a share repurchase program which allowed us to repurchase up to $25 million of our outstanding stock. The purchases were made from time to time in the open market through Rule 10b5-1 trading plans in accordance with applicable laws, rules and regulations. The repurchase of shares was funded from cash on hand and cash provided by operating activities. The Repurchase Program expired on December 31, 2015. As of December 31, 2015, we had purchased 806,018 shares at an aggregate cost of $25 million under the Repurchase Program. The average purchase price per share since inception of the program was $31.02.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to our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September 30,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Unfavorable oil and gas commodity price levels have caused, and may continue to cause, our customers to change their investment strategies or delay or cancel planned projects. The reduction in available projects across the markets we serve has increased price pressures during this downward market cycle. This reduction in new business opportunities and increased market price pressures have impacted, and will continue to negatively impact, our backlog, revenues and operating results. It is difficult to predict the duration of the current depressed market cycle.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operating results have been, and may continue to be, negatively impacted by factors such as the timing of new order awards, customer approval of final engineering and design specifications and delays in customer construction schedules, all of which have and may continue to have, a negative impact on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If our core oil, gas and petrochemical markets remain depressed, or decline further, our project backlog could continue to decline and negatively impact our operations. In response to our reduced project backlog and depressed market outlook, we took steps in Fiscal 2016, and have taken additional actions in Fiscal 2017, to reduce our overall cost structure and better align our costs with future production requirements. We continue to assess our cost structure, operating performance and service offerings as the oil, gas and petrochemical markets remain challenging and uncertain. However, these actions will not be sufficient to avoid operating losses in the near-term and we expect to report a net loss in Fiscal 2017.</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strong working capital position, cash available, low debt position and borrowing capacity under our existing credit facility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limit our ability to pass cost increases to our customers, thus negatively impacting our earnings. Fluctuations in commodity prices may have a material impact on our future earnings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nine months ended June 30, 2017, our realized foreign exchange gains were $0.3 million and are included in selling, general and administrative expenses in the Condensed Consolidated Statements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$22.6 million as of June 30, 2017, a decrease of $1.1 million compared to September 30, 2016. This decrease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our credit facility,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40" w:hanging="818"/>
        <w:spacing w:after="0" w:line="293" w:lineRule="auto"/>
        <w:tabs>
          <w:tab w:leader="none" w:pos="140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420" w:right="20" w:hanging="818"/>
        <w:spacing w:after="0" w:line="277" w:lineRule="auto"/>
        <w:tabs>
          <w:tab w:leader="none" w:pos="1400" w:val="left"/>
        </w:tabs>
        <w:rPr>
          <w:sz w:val="20"/>
          <w:szCs w:val="20"/>
          <w:color w:val="auto"/>
        </w:rPr>
      </w:pPr>
      <w:r>
        <w:rPr>
          <w:rFonts w:ascii="Arial" w:cs="Arial" w:eastAsia="Arial" w:hAnsi="Arial"/>
          <w:sz w:val="18"/>
          <w:szCs w:val="18"/>
          <w:color w:val="auto"/>
        </w:rPr>
        <w:t>3.2</w:t>
        <w:tab/>
        <w:t>— Amended and Restated Bylaws of Powell Industries, Inc. (filed as Exhibit 3.1 to our Form 8-K filed October 12, 2012, and incorporated herein by reference).</w:t>
      </w:r>
    </w:p>
    <w:p>
      <w:pPr>
        <w:spacing w:after="0" w:line="224" w:lineRule="exact"/>
        <w:rPr>
          <w:sz w:val="20"/>
          <w:szCs w:val="20"/>
          <w:color w:val="auto"/>
        </w:rPr>
      </w:pPr>
    </w:p>
    <w:p>
      <w:pPr>
        <w:jc w:val="both"/>
        <w:ind w:left="1420" w:right="20" w:hanging="908"/>
        <w:spacing w:after="0" w:line="264" w:lineRule="auto"/>
        <w:tabs>
          <w:tab w:leader="none" w:pos="1400" w:val="left"/>
        </w:tabs>
        <w:rPr>
          <w:sz w:val="20"/>
          <w:szCs w:val="20"/>
          <w:color w:val="auto"/>
        </w:rPr>
      </w:pPr>
      <w:r>
        <w:rPr>
          <w:rFonts w:ascii="Arial" w:cs="Arial" w:eastAsia="Arial" w:hAnsi="Arial"/>
          <w:sz w:val="18"/>
          <w:szCs w:val="18"/>
          <w:color w:val="auto"/>
        </w:rPr>
        <w:t>10.1</w:t>
        <w:tab/>
        <w:t>— Third Amendment to Credit Agreement, dated June 27, 2017, between Powell Industries, Inc., the subsidiaries of Powell named therein, Bank of America, N.A., as Administrative Agent, Swingline Lender and L/C issuer and the Lenders party thereto (filed as Exhibit 10.1 to our Form 8-K filed June 30, 2017 and incorporated herein by reference).</w:t>
      </w:r>
    </w:p>
    <w:p>
      <w:pPr>
        <w:spacing w:after="0" w:line="249" w:lineRule="exact"/>
        <w:rPr>
          <w:sz w:val="20"/>
          <w:szCs w:val="20"/>
          <w:color w:val="auto"/>
        </w:rPr>
      </w:pPr>
    </w:p>
    <w:p>
      <w:pPr>
        <w:ind w:left="760"/>
        <w:spacing w:after="0"/>
        <w:tabs>
          <w:tab w:leader="none" w:pos="1400" w:val="left"/>
          <w:tab w:leader="none" w:pos="174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Chief Executive Officer pursuant to Rule 13a-14(a)/15d-14(a).</w:t>
      </w:r>
    </w:p>
    <w:p>
      <w:pPr>
        <w:spacing w:after="0" w:line="279" w:lineRule="exact"/>
        <w:rPr>
          <w:sz w:val="20"/>
          <w:szCs w:val="20"/>
          <w:color w:val="auto"/>
        </w:rPr>
      </w:pPr>
    </w:p>
    <w:p>
      <w:pPr>
        <w:ind w:left="760"/>
        <w:spacing w:after="0"/>
        <w:tabs>
          <w:tab w:leader="none" w:pos="1400" w:val="left"/>
          <w:tab w:leader="none" w:pos="174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Chief Financial Officer pursuant to Rule 13a-14(a)/15d-14(a).</w:t>
      </w:r>
    </w:p>
    <w:p>
      <w:pPr>
        <w:spacing w:after="0" w:line="279" w:lineRule="exact"/>
        <w:rPr>
          <w:sz w:val="20"/>
          <w:szCs w:val="20"/>
          <w:color w:val="auto"/>
        </w:rPr>
      </w:pPr>
    </w:p>
    <w:p>
      <w:pPr>
        <w:ind w:left="1420" w:right="40" w:hanging="998"/>
        <w:spacing w:after="0" w:line="277" w:lineRule="auto"/>
        <w:tabs>
          <w:tab w:leader="none" w:pos="1400" w:val="left"/>
        </w:tabs>
        <w:rPr>
          <w:sz w:val="20"/>
          <w:szCs w:val="20"/>
          <w:color w:val="auto"/>
        </w:rPr>
      </w:pPr>
      <w:r>
        <w:rPr>
          <w:rFonts w:ascii="Arial" w:cs="Arial" w:eastAsia="Arial" w:hAnsi="Arial"/>
          <w:sz w:val="18"/>
          <w:szCs w:val="18"/>
          <w:color w:val="auto"/>
        </w:rPr>
        <w:t>*32.1</w:t>
        <w:tab/>
        <w:t>— Certification of Chief Executive Officer Pursuant to Section 18 U.S.C. Section 1350, as Adopted Pursuant to Section 906 of the Sarbanes-Oxley Act of 2002.</w:t>
      </w:r>
    </w:p>
    <w:p>
      <w:pPr>
        <w:spacing w:after="0" w:line="224" w:lineRule="exact"/>
        <w:rPr>
          <w:sz w:val="20"/>
          <w:szCs w:val="20"/>
          <w:color w:val="auto"/>
        </w:rPr>
      </w:pPr>
    </w:p>
    <w:p>
      <w:pPr>
        <w:ind w:left="1420" w:right="20" w:hanging="998"/>
        <w:spacing w:after="0" w:line="277" w:lineRule="auto"/>
        <w:tabs>
          <w:tab w:leader="none" w:pos="1400" w:val="left"/>
        </w:tabs>
        <w:rPr>
          <w:sz w:val="20"/>
          <w:szCs w:val="20"/>
          <w:color w:val="auto"/>
        </w:rPr>
      </w:pPr>
      <w:r>
        <w:rPr>
          <w:rFonts w:ascii="Arial" w:cs="Arial" w:eastAsia="Arial" w:hAnsi="Arial"/>
          <w:sz w:val="18"/>
          <w:szCs w:val="18"/>
          <w:color w:val="auto"/>
        </w:rPr>
        <w:t>*32.2</w:t>
        <w:tab/>
        <w:t>— Certification of Chief Financial Officer Pursuant to Section 18 U.S.C. Section 1350, as Adopted Pursuant to Section 906 of the Sarbanes-Oxley Act of 2002.</w:t>
      </w:r>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POWELL INDUSTRIES, INC.</w:t>
            </w:r>
          </w:p>
        </w:tc>
      </w:tr>
      <w:tr>
        <w:trPr>
          <w:trHeight w:val="270"/>
        </w:trPr>
        <w:tc>
          <w:tcPr>
            <w:tcW w:w="3460" w:type="dxa"/>
            <w:vAlign w:val="bottom"/>
          </w:tcPr>
          <w:p>
            <w:pPr>
              <w:spacing w:after="0"/>
              <w:rPr>
                <w:sz w:val="23"/>
                <w:szCs w:val="23"/>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540"/>
        </w:trPr>
        <w:tc>
          <w:tcPr>
            <w:tcW w:w="3460" w:type="dxa"/>
            <w:vAlign w:val="bottom"/>
          </w:tcPr>
          <w:p>
            <w:pPr>
              <w:spacing w:after="0"/>
              <w:rPr>
                <w:sz w:val="20"/>
                <w:szCs w:val="20"/>
                <w:color w:val="auto"/>
              </w:rPr>
            </w:pPr>
            <w:r>
              <w:rPr>
                <w:rFonts w:ascii="Arial" w:cs="Arial" w:eastAsia="Arial" w:hAnsi="Arial"/>
                <w:sz w:val="18"/>
                <w:szCs w:val="18"/>
                <w:color w:val="auto"/>
              </w:rPr>
              <w:t>Date: August 9, 2017</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460" w:type="dxa"/>
            <w:vAlign w:val="bottom"/>
          </w:tcPr>
          <w:p>
            <w:pPr>
              <w:spacing w:after="0"/>
              <w:rPr>
                <w:sz w:val="24"/>
                <w:szCs w:val="24"/>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Don R. Madison</w:t>
            </w:r>
          </w:p>
        </w:tc>
      </w:tr>
      <w:tr>
        <w:trPr>
          <w:trHeight w:val="27"/>
        </w:trPr>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Don R. Madison</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spacing w:after="0"/>
        <w:tabs>
          <w:tab w:leader="none" w:pos="6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380" w:right="20" w:hanging="818"/>
        <w:spacing w:after="0" w:line="293" w:lineRule="auto"/>
        <w:tabs>
          <w:tab w:leader="none" w:pos="136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380" w:hanging="818"/>
        <w:spacing w:after="0" w:line="277" w:lineRule="auto"/>
        <w:tabs>
          <w:tab w:leader="none" w:pos="1360" w:val="left"/>
        </w:tabs>
        <w:rPr>
          <w:sz w:val="20"/>
          <w:szCs w:val="20"/>
          <w:color w:val="auto"/>
        </w:rPr>
      </w:pPr>
      <w:r>
        <w:rPr>
          <w:rFonts w:ascii="Arial" w:cs="Arial" w:eastAsia="Arial" w:hAnsi="Arial"/>
          <w:sz w:val="18"/>
          <w:szCs w:val="18"/>
          <w:color w:val="auto"/>
        </w:rPr>
        <w:t>3.2</w:t>
        <w:tab/>
        <w:t>— Amended and Restated Bylaws of Powell Industries, Inc. (filed as Exhibit 3.1 to our Form 8-K filed October 12, 2012, and incorporated herein by reference).</w:t>
      </w:r>
    </w:p>
    <w:p>
      <w:pPr>
        <w:spacing w:after="0" w:line="279" w:lineRule="exact"/>
        <w:rPr>
          <w:sz w:val="20"/>
          <w:szCs w:val="20"/>
          <w:color w:val="auto"/>
        </w:rPr>
      </w:pPr>
    </w:p>
    <w:p>
      <w:pPr>
        <w:jc w:val="both"/>
        <w:ind w:left="1380" w:hanging="908"/>
        <w:spacing w:after="0" w:line="264" w:lineRule="auto"/>
        <w:tabs>
          <w:tab w:leader="none" w:pos="1360" w:val="left"/>
        </w:tabs>
        <w:rPr>
          <w:sz w:val="20"/>
          <w:szCs w:val="20"/>
          <w:color w:val="auto"/>
        </w:rPr>
      </w:pPr>
      <w:r>
        <w:rPr>
          <w:rFonts w:ascii="Arial" w:cs="Arial" w:eastAsia="Arial" w:hAnsi="Arial"/>
          <w:sz w:val="18"/>
          <w:szCs w:val="18"/>
          <w:color w:val="auto"/>
        </w:rPr>
        <w:t>10.1</w:t>
        <w:tab/>
        <w:t>— Third Amendment to Credit Agreement, dated June 27, 2017, between Powell Industries, Inc., the subsidiaries of Powell named therein, Bank of America, N.A., as Administrative Agent, Swingline Lender and L/C issuer and the Lenders party thereto (filed as Exhibit 10.1 to our Form 8-K filed June 30, 2017 and incorporated herein by reference).</w:t>
      </w:r>
    </w:p>
    <w:p>
      <w:pPr>
        <w:spacing w:after="0" w:line="249" w:lineRule="exact"/>
        <w:rPr>
          <w:sz w:val="20"/>
          <w:szCs w:val="20"/>
          <w:color w:val="auto"/>
        </w:rPr>
      </w:pPr>
    </w:p>
    <w:p>
      <w:pPr>
        <w:ind w:left="720"/>
        <w:spacing w:after="0"/>
        <w:tabs>
          <w:tab w:leader="none" w:pos="1360" w:val="left"/>
          <w:tab w:leader="none" w:pos="170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Chief Executive Officer pursuant to Rule 13a-14(a)/15d-14(a).</w:t>
      </w:r>
    </w:p>
    <w:p>
      <w:pPr>
        <w:spacing w:after="0" w:line="279" w:lineRule="exact"/>
        <w:rPr>
          <w:sz w:val="20"/>
          <w:szCs w:val="20"/>
          <w:color w:val="auto"/>
        </w:rPr>
      </w:pPr>
    </w:p>
    <w:p>
      <w:pPr>
        <w:ind w:left="720"/>
        <w:spacing w:after="0"/>
        <w:tabs>
          <w:tab w:leader="none" w:pos="1360" w:val="left"/>
          <w:tab w:leader="none" w:pos="170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Chief Financial Officer pursuant to Rule 13a-14(a)/15d-14(a).</w:t>
      </w:r>
    </w:p>
    <w:p>
      <w:pPr>
        <w:spacing w:after="0" w:line="279" w:lineRule="exact"/>
        <w:rPr>
          <w:sz w:val="20"/>
          <w:szCs w:val="20"/>
          <w:color w:val="auto"/>
        </w:rPr>
      </w:pPr>
    </w:p>
    <w:p>
      <w:pPr>
        <w:ind w:left="1380" w:right="20" w:hanging="998"/>
        <w:spacing w:after="0" w:line="277" w:lineRule="auto"/>
        <w:tabs>
          <w:tab w:leader="none" w:pos="1360" w:val="left"/>
        </w:tabs>
        <w:rPr>
          <w:sz w:val="20"/>
          <w:szCs w:val="20"/>
          <w:color w:val="auto"/>
        </w:rPr>
      </w:pPr>
      <w:r>
        <w:rPr>
          <w:rFonts w:ascii="Arial" w:cs="Arial" w:eastAsia="Arial" w:hAnsi="Arial"/>
          <w:sz w:val="18"/>
          <w:szCs w:val="18"/>
          <w:color w:val="auto"/>
        </w:rPr>
        <w:t>*32.1</w:t>
        <w:tab/>
        <w:t>— Certification of Chief Executive Officer Pursuant to Section 18 U.S.C. Section 1350, as Adopted Pursuant to Section 906 of the Sarbanes-Oxley Act of 2002.</w:t>
      </w:r>
    </w:p>
    <w:p>
      <w:pPr>
        <w:spacing w:after="0" w:line="224" w:lineRule="exact"/>
        <w:rPr>
          <w:sz w:val="20"/>
          <w:szCs w:val="20"/>
          <w:color w:val="auto"/>
        </w:rPr>
      </w:pPr>
    </w:p>
    <w:p>
      <w:pPr>
        <w:ind w:left="1380" w:hanging="998"/>
        <w:spacing w:after="0" w:line="277" w:lineRule="auto"/>
        <w:tabs>
          <w:tab w:leader="none" w:pos="1360" w:val="left"/>
        </w:tabs>
        <w:rPr>
          <w:sz w:val="20"/>
          <w:szCs w:val="20"/>
          <w:color w:val="auto"/>
        </w:rPr>
      </w:pPr>
      <w:r>
        <w:rPr>
          <w:rFonts w:ascii="Arial" w:cs="Arial" w:eastAsia="Arial" w:hAnsi="Arial"/>
          <w:sz w:val="18"/>
          <w:szCs w:val="18"/>
          <w:color w:val="auto"/>
        </w:rPr>
        <w:t>*32.2</w:t>
        <w:tab/>
        <w:t>— Certification of Chief Financial Officer Pursuant to Section 18 U.S.C. Section 1350, as Adopted Pursuant to Section 906 of the Sarbanes-Oxley Act of 2002.</w:t>
      </w:r>
    </w:p>
    <w:p>
      <w:pPr>
        <w:spacing w:after="0" w:line="224" w:lineRule="exact"/>
        <w:rPr>
          <w:sz w:val="20"/>
          <w:szCs w:val="20"/>
          <w:color w:val="auto"/>
        </w:rPr>
      </w:pPr>
    </w:p>
    <w:p>
      <w:pPr>
        <w:ind w:left="420"/>
        <w:spacing w:after="0"/>
        <w:tabs>
          <w:tab w:leader="none" w:pos="1360" w:val="left"/>
          <w:tab w:leader="none" w:pos="170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80" w:top="580"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2017</w:t>
      </w:r>
    </w:p>
    <w:p>
      <w:pPr>
        <w:sectPr>
          <w:pgSz w:w="11900" w:h="16838" w:orient="portrait"/>
          <w:cols w:equalWidth="0" w:num="1">
            <w:col w:w="11420"/>
          </w:cols>
          <w:pgMar w:left="240" w:top="58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Don R. Madison,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2017</w:t>
      </w:r>
    </w:p>
    <w:p>
      <w:pPr>
        <w:sectPr>
          <w:pgSz w:w="11900" w:h="16838" w:orient="portrait"/>
          <w:cols w:equalWidth="0" w:num="1">
            <w:col w:w="11420"/>
          </w:cols>
          <w:pgMar w:left="240" w:top="58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2017,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2017</w:t>
      </w:r>
    </w:p>
    <w:p>
      <w:pPr>
        <w:sectPr>
          <w:pgSz w:w="11900" w:h="16838" w:orient="portrait"/>
          <w:cols w:equalWidth="0" w:num="1">
            <w:col w:w="11420"/>
          </w:cols>
          <w:pgMar w:left="240" w:top="58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June 30, 2017,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2017</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2019-12-29T05:39:54Z</dcterms:created>
  <dcterms:modified xsi:type="dcterms:W3CDTF">2019-12-29T05:39:54Z</dcterms:modified>
</cp:coreProperties>
</file>