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877570</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852170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3"/>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46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572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4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left="500" w:right="124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April 29, 2024, there were 11,987,838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0"/>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FF"/>
            </w:tcBorders>
            <w:gridSpan w:val="10"/>
            <w:vMerge w:val="continue"/>
          </w:tcPr>
          <w:p>
            <w:pPr>
              <w:spacing w:after="0"/>
              <w:rPr>
                <w:sz w:val="15"/>
                <w:szCs w:val="15"/>
                <w:color w:val="auto"/>
              </w:rPr>
            </w:pPr>
          </w:p>
        </w:tc>
        <w:tc>
          <w:tcPr>
            <w:tcW w:w="8040" w:type="dxa"/>
            <w:vAlign w:val="bottom"/>
            <w:gridSpan w:val="10"/>
            <w:vMerge w:val="continue"/>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46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4"/>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4"/>
          </w:tcPr>
          <w:p>
            <w:pPr>
              <w:spacing w:after="0"/>
              <w:rPr>
                <w:sz w:val="18"/>
                <w:szCs w:val="18"/>
                <w:color w:val="auto"/>
              </w:rPr>
            </w:pPr>
          </w:p>
        </w:tc>
        <w:tc>
          <w:tcPr>
            <w:tcW w:w="5440" w:type="dxa"/>
            <w:vAlign w:val="bottom"/>
            <w:gridSpan w:val="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240" w:type="dxa"/>
            <w:vAlign w:val="bottom"/>
            <w:gridSpan w:val="2"/>
          </w:tcPr>
          <w:p>
            <w:pPr>
              <w:spacing w:after="0"/>
              <w:rPr>
                <w:sz w:val="18"/>
                <w:szCs w:val="18"/>
                <w:color w:val="auto"/>
              </w:rPr>
            </w:pPr>
          </w:p>
        </w:tc>
        <w:tc>
          <w:tcPr>
            <w:tcW w:w="8240" w:type="dxa"/>
            <w:vAlign w:val="bottom"/>
            <w:gridSpan w:val="11"/>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245,875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$331 and $273, respectively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206,591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621,985</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13,129</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752,242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79,767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279,796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18,682</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395,686</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455,833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407,216</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2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par value $0.01; 30,000,000 shares authorized; 12,793,856 and 12,668,001 shares issued,</w:t>
            </w:r>
          </w:p>
        </w:tc>
        <w:tc>
          <w:tcPr>
            <w:tcW w:w="24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respectively; 11,987,838 and 11,861,983 shares outstanding, respectively</w:t>
            </w:r>
          </w:p>
        </w:tc>
        <w:tc>
          <w:tcPr>
            <w:tcW w:w="24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325,281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393,785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345,026</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752,242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298,302</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192,388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138,007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338,211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245,401</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52,901</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38,693</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rPr>
                <w:sz w:val="1"/>
                <w:szCs w:val="1"/>
                <w:color w:val="auto"/>
              </w:rPr>
            </w:pPr>
          </w:p>
        </w:tc>
      </w:tr>
      <w:tr>
        <w:trPr>
          <w:trHeight w:val="256"/>
        </w:trPr>
        <w:tc>
          <w:tcPr>
            <w:tcW w:w="5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57,573</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0.70</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4.73</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0.2650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0.2625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0.5275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0.5225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(Unaudited)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cash flow commodity hedge</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31,219</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w:t>
            </w: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2023</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325,281</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24,085</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7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2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346,162</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(23,824)</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33,488</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700" w:type="dxa"/>
            <w:vAlign w:val="bottom"/>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2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2024</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2"/>
                <w:szCs w:val="2"/>
                <w:color w:val="auto"/>
              </w:rPr>
            </w:pPr>
          </w:p>
        </w:tc>
        <w:tc>
          <w:tcPr>
            <w:tcW w:w="9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2022</w:t>
            </w:r>
          </w:p>
        </w:tc>
        <w:tc>
          <w:tcPr>
            <w:tcW w:w="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12,588</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283,638</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0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20" w:type="dxa"/>
            <w:vAlign w:val="bottom"/>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cash flow commodity hedge</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2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12,641</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68,454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281,493</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(26,602)</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20" w:type="dxa"/>
            <w:vAlign w:val="bottom"/>
          </w:tcPr>
          <w:p>
            <w:pPr>
              <w:spacing w:after="0"/>
              <w:rPr>
                <w:sz w:val="12"/>
                <w:szCs w:val="12"/>
                <w:color w:val="auto"/>
              </w:rPr>
            </w:pP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2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cash flow commodity hedge</w:t>
            </w:r>
          </w:p>
        </w:tc>
        <w:tc>
          <w:tcPr>
            <w:tcW w:w="2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69,955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286,777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57,573</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mark-to-market gain on derivative contracts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Bad debt expense,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(63,300)</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123,082</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55,514</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86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9"/>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(6,180)</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49,098</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101,954</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323,256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Powell Industries, Inc. (we, us, our, Powell or the Company) is a Delaware corporation founded by William E. Powell in 1947. Our major subsidiaries, all of which are wholly owned, include Powell Electrical Systems, Inc.; Powell (UK) Limited; Powell Canada Inc.; and Powell Industries International, B.V.</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data centers, renewable energy, mining and metals, light rail traction power, pulp and paper, and other municipal, commercial and industrial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Powell and our wholly 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thereto of Powell and its subsidiaries included in Powell’s Annual Report on Form 10-K for the year ended September 30, 2023, which was filed with the Securities and Exchange Commission (SEC) on December 6,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2024 and Fiscal 2023 used throughout this report shall mean the current fiscal year ending September 30, 2024 and the prior fiscal year ended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and Disclosure Rules Issued but Not Yet Adopted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that public entities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are regularly provided to the chief operating decision maker (CODM) on an annual and interim basis. It also requires that public entities disclose the title and position of the CODM and an explanation of how the CODM uses the reported measures in assessing segment performance and resource allocation. Additionally, it requires that all existing annual disclosures about segment profit or loss and assets must be provided on an interim basis and clarifies that single reportable segment entities are subject to the disclosure requirement under Topic 280 in its entirety. ASU 2023-07 is effective for fiscal years beginning after December 15, 2023 and interim periods within those fiscal years beginning after December 15, 2024. A public entity should apply ASU 2023-07 retrospectively to all prior periods presented in the financial statements. Early adoption is permitted. We are currently evaluating the impacts of the new standard.</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are permitted. We are currently evaluating the impacts of the new standard.</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March 2024, the SEC adopted final rules designed to enhance and standardize disclosures related to the risks and impacts of climate-related matters. The final rules require registrants to disclose certain climate-related information in registration statements and annual reports. Such information relates to climate-related risks and risk management processes for, and governance and oversight activities of such risks. The final rules also include requirements to disclose the financial effects of severe weather events and other natural conditions in the audited financial statements. In addition, larger registrants will be required to disclose information about greenhouse gas emissions, which will be subject to a phased-in assurance requirement. These disclosure requirements will be effective for the Company's fiscal year beginning October 1, 2025. In April 2024, the SEC voluntarily stayed the final rules as a result of pending legal challenges. We are currently evaluating the impacts of the final rules on our consolidated financial statements and related disclosures.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57,573</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w:t>
            </w:r>
          </w:p>
        </w:tc>
      </w:tr>
      <w:tr>
        <w:trPr>
          <w:trHeight w:val="230"/>
        </w:trPr>
        <w:tc>
          <w:tcPr>
            <w:tcW w:w="4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1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12,109</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9"/>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1860" w:type="dxa"/>
            <w:vAlign w:val="bottom"/>
            <w:gridSpan w:val="2"/>
            <w:shd w:val="clear" w:color="auto" w:fill="CFF0FC"/>
          </w:tcPr>
          <w:p>
            <w:pPr>
              <w:jc w:val="right"/>
              <w:ind w:right="16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87,564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1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60" w:type="dxa"/>
            <w:vAlign w:val="bottom"/>
            <w:tcBorders>
              <w:bottom w:val="single" w:sz="8" w:color="auto"/>
            </w:tcBorders>
            <w:gridSpan w:val="2"/>
          </w:tcPr>
          <w:p>
            <w:pPr>
              <w:jc w:val="right"/>
              <w:ind w:right="16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21,606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124,070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94,683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92,477</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245,565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(148,910)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(145,687)</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ind w:right="1577"/>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96,655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under finance lease as of March 31, 2024 or September 30,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we acquired intellectual property for a total consideration of $0.5 million, of which $250 thousand was paid in cash at the acquisition 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3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360" w:type="dxa"/>
            <w:vAlign w:val="bottom"/>
            <w:tcBorders>
              <w:bottom w:val="single" w:sz="8" w:color="CFF0F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3,680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1,867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r>
        <w:trPr>
          <w:trHeight w:val="229"/>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30"/>
        </w:trPr>
        <w:tc>
          <w:tcPr>
            <w:tcW w:w="53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4,568</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95% of revenues for the three months ended March 31, 2024, 94% of revenues for the six months ended March 31, 2024, and 93% of revenues for the three and six months ended March 31, 2023.</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5% of revenues for the three months ended March 31, 2024, 6% of revenues for the six months ended March 31, 2024, and 7% of revenues for the three and six months ended March 31, 2023.</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March 31, 2024, we had backlog of $1.3 billion, of which approximately $733 million is expected to be recognized as revenue within the next twelve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jc w:val="both"/>
        <w:spacing w:after="0" w:line="297" w:lineRule="auto"/>
        <w:rPr>
          <w:sz w:val="20"/>
          <w:szCs w:val="20"/>
          <w:color w:val="auto"/>
        </w:rPr>
      </w:pPr>
      <w:r>
        <w:rPr>
          <w:rFonts w:ascii="Times New Roman" w:cs="Times New Roman" w:eastAsia="Times New Roman" w:hAnsi="Times New Roman"/>
          <w:sz w:val="18"/>
          <w:szCs w:val="18"/>
          <w:color w:val="auto"/>
        </w:rPr>
        <w:t>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March 31, 2024 and 2023, our operating results were positively impacted by $7.8 million and $7.4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Gross unfavorable changes in contract estimates were immaterial for both the six months ended March 31,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Contract assets and liabilities as of March 31, 2024 and September 30, 2023 are summarized below (in thousands):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15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60,621</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(315,699)</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(279,796)</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contract billing position remained a net liability at both March 31, 2024 and September 30, 2023, primarily due to favorable contract billing milestones. We typically allocate a significant percentage of the progress billing to the early stages of the contract. These favorable billing milestones are driving the increase in the net contract liability at March 31, 2024. To determine the amount of revenue recognized during the period from contract liabilities, we first allocate revenue to the individual contract liability balance outstanding at the beginning of the period until the revenue exceeds that balance. During the six months ended March 31, 2024, we recognized revenue of $185.4 million that was related to contract liabilities outstanding at September 30, 2023.</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both March 31, 2024 and September 30, 2023, we had retention amounts of $7.4 million. Of the retained amount at March 31, 2024, $7.1 million is expected to be collected in the next twelve months and is recorded in accounts receivable. The remaining $0.3 million is recorded in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and six months ended March 31, 2024 and 2023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376,793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234,273</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40,491</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48"/>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449,125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298,302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99"/>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24"/>
                <w:szCs w:val="24"/>
                <w:color w:val="auto"/>
              </w:rPr>
            </w:pPr>
          </w:p>
        </w:tc>
        <w:tc>
          <w:tcPr>
            <w:tcW w:w="25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187,456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106,107</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71,075</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39,320</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rail traction power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19,034</w:t>
            </w:r>
          </w:p>
        </w:tc>
      </w:tr>
      <w:tr>
        <w:trPr>
          <w:trHeight w:val="248"/>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449,125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298,302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 Long-Term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we entered into a third amendment (the Third Amendment) to our credit agreement with Bank of America, N.A. (as amended, the U.S. Revolver). The Third Amendment added Texas Capital Bank as Syndication Agent and a lender, increased the amount of the revolving line of credit from $125.0 million to $150.0 million, and extended the expiry date to October 4, 2028. The aggregate commitment of $150.0 million consists of $100.0 million committed by Bank of America and $50.0 million committed by Texas Capital Bank. As amended by the Third Amendment, the lesser of (a) $60 million,</w:t>
      </w:r>
    </w:p>
    <w:p>
      <w:pPr>
        <w:spacing w:after="0" w:line="3" w:lineRule="exact"/>
        <w:rPr>
          <w:sz w:val="20"/>
          <w:szCs w:val="20"/>
          <w:color w:val="auto"/>
        </w:rPr>
      </w:pPr>
    </w:p>
    <w:p>
      <w:pPr>
        <w:jc w:val="both"/>
        <w:ind w:firstLine="8"/>
        <w:spacing w:after="0" w:line="253"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available cash, and (c) the aggregate face amount of the issued but undrawn letters of credit that are not cash-secured, shall be deducted from consolidated funded indebtedness, when calculating the consolidated net leverage ratio. We have the option to cash collateralize all or a portion of the letters of credit outstanding, which would favorably impact the consolidated funded indebtedness calculation and the consolidated net leverage ratio. As of March 31, 2024, there were no amounts borrowed under the U.S. Revolver, and letters of credit outstanding were $87.8 million. There was $62.2 million available for the issuance of letters of credit and borrowings under the U.S. Revolver as of March 31, 2024.</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were in compliance with all of the financial covenants of the U.S. Revolver.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$87.8 million as of March 31, 2024. We also had surety bonds totaling $481.9 million that were outstanding, with additional bonding capacity of $718.1 million available, at March 31, 2024.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$18.9 million facility agreement (Facility Agreement) between Powell (UK) Limited and a large international bank that provides Powell (UK) Limited the ability to enter into bank guarantees as well as forward exchange contracts and currency options. At March 31, 2024, we had outstanding guarantees totaling $7.4 million, with an additional capacity of $11.5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March 31, 2024,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for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March 31, 2024, certain contracts had a probable exposure to liquidated damages claims of $1.7 million, which could possibly increase to $2.1 million under certain circumstances. Based on our actual or projected failure to meet these various contractual commitments, $1.0 million has been recorded as a reduction to revenue. We will attempt to obtain change orders, contract extensions or accelerate project completion, which may resolve the potential for any unrecorded liquidated damages claims. Should we fail to achieve relief on some or all of these contractual obligations, we could be required to pay additional liquidated damages, which could negatively impact our future operating results.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2023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and safety performance of the Company following the grant date. At March 31, 2024, there were 193,346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six months ended March 31, 2024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292,497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r>
      <w:tr>
        <w:trPr>
          <w:trHeight w:val="229"/>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(141,261)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30"/>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193,346</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2024 and 2023, we recorded compensation expense of $2.7 million and $2.5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Company's Compensation and Human Capital Committee revised the non-employee directors' annual restricted stock compensation from a fixed-shares arrangement to a fixed-value arrangement, retrospectively effective on October 1, 2023. Prior to October 1, 2023, each non-employee director received 2,400 restricted shares of the Company’s common stock annually. Fifty percent of the restricted stock granted to each of our non-employee directors vested immediately, while the remaining fifty percent vested on the anniversary of the grant date. Compensation expense was recognized immediately for the first fifty percent of the restricted stock granted, while compensation expense for the remaining fifty percent was recognized over the remaining vesting period. Subsequent to October 1, 2023, each non-employee director shall receive restricted shares of the Company's common stock valued at $0.1 million annually. The number of granted shares is calculated by dividing the $0.1 million by the average of high and low prices of our common stock on the grant date. The shares shall vest on the earlier of the grant anniversary date or the date of the next annual meeting of stockholders, whichever occurs first. In February 2024, 4,620 shares of restricted stock were issued to our non-employee directors at a price of $153.81 per share. During the six months ended March 31, 2024 and 2023, we recorded compensation expense of $0.2 million and $0.5 million, respectively, related to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March 31, 2024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2024</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323,256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42,083</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2023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2023</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Rabbi trust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March 31, 2024.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leases consist primarily of office and construction equipment. All of our future lease obligations are related to non-cancelable operating leases. The following table provides a summary of lease cost components for the three and six months ended March 31, 2024 and 2023, respectively (in thousands):</w:t>
      </w: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80" w:type="dxa"/>
            <w:vAlign w:val="bottom"/>
            <w:gridSpan w:val="2"/>
            <w:vMerge w:val="continue"/>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104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The following table provides a summary of the operating lease assets and operating lease liabilities included in our Condensed Consolidated Balance Sheets as of March 31, 2024 and September 30, 2023, respectively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0" w:type="dxa"/>
            <w:vAlign w:val="bottom"/>
          </w:tcPr>
          <w:p>
            <w:pPr>
              <w:spacing w:after="0"/>
              <w:rPr>
                <w:sz w:val="20"/>
                <w:szCs w:val="20"/>
                <w:color w:val="auto"/>
              </w:rPr>
            </w:pP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Pr>
          <w:p>
            <w:pPr>
              <w:spacing w:after="0"/>
              <w:rPr>
                <w:sz w:val="20"/>
                <w:szCs w:val="20"/>
                <w:color w:val="auto"/>
              </w:rPr>
            </w:pP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3"/>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96"/>
        </w:trPr>
        <w:tc>
          <w:tcPr>
            <w:tcW w:w="66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March 31, 2024 (in thousands):</w:t>
            </w: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90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23"/>
        </w:trPr>
        <w:tc>
          <w:tcPr>
            <w:tcW w:w="4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4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0"/>
        </w:trPr>
        <w:tc>
          <w:tcPr>
            <w:tcW w:w="4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4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4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0" w:type="dxa"/>
            <w:vAlign w:val="bottom"/>
          </w:tcPr>
          <w:p>
            <w:pPr>
              <w:spacing w:after="0"/>
              <w:rPr>
                <w:sz w:val="19"/>
                <w:szCs w:val="19"/>
                <w:color w:val="auto"/>
              </w:rPr>
            </w:pPr>
          </w:p>
        </w:tc>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30"/>
        </w:trPr>
        <w:tc>
          <w:tcPr>
            <w:tcW w:w="40" w:type="dxa"/>
            <w:vAlign w:val="bottom"/>
          </w:tcPr>
          <w:p>
            <w:pPr>
              <w:spacing w:after="0"/>
              <w:rPr>
                <w:sz w:val="19"/>
                <w:szCs w:val="19"/>
                <w:color w:val="auto"/>
              </w:rPr>
            </w:pPr>
          </w:p>
        </w:tc>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4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0"/>
        </w:trPr>
        <w:tc>
          <w:tcPr>
            <w:tcW w:w="40" w:type="dxa"/>
            <w:vAlign w:val="bottom"/>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as of March 31, 2024 was 3.81%. The weighted average remaining lease term was 2.57 years at March 31,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30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43,917</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10,973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73,795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12,587</w:t>
            </w: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10,429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2,500</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16,222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2,951</w:t>
            </w:r>
          </w:p>
        </w:tc>
      </w:tr>
      <w:tr>
        <w:trPr>
          <w:trHeight w:val="162"/>
        </w:trPr>
        <w:tc>
          <w:tcPr>
            <w:tcW w:w="4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33,488</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8,473</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57,573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9,636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3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of 24% and 22% for the three and six months ended March 31, 2024, respectively, compared to 23% for both the three and six months ended March 31, 2023. The effective tax rate for the three and six months ended March 31, 2024 was favorably impacted by the estimated Research and Development Tax Credit (R&amp;D Tax Credit) as well as discrete items related to the vesting of RSUs and the release of a reserve for unrecognized tax benefits upon expiration of the statute of limitations. These items were offset by an inclusion related to U.S. global intangible income and the tax expense related to certain nondeductible expenses. The effective tax rate for the three and six months ended March 31, 2023 was favorably impacted by the estimated R&amp;D Tax Credit and the projected utilization of net operating loss carryforwards in the U.K. that had been fully reserved with a valuation allowance. The favorable impacts were offset by state income tax expense, certain nondeductible expenses and an income inclusion related to U.S. global intangible income.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30, 2024, our Board of Directors declared a quarterly cash dividend on our common stock in the amount of $0.2650 per share. The dividend is payable on June 12, 2024 to stockholders of record at the close of business on May 15, 2024.</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(the Exchange Act). All statements other than statements of historical fact, included in this report are forward-looking statements. Such forward-looking statements include, but are not limited to, projections and estimates concerning the timing and success of specific projects, our future backlog, revenues, income, acquisitions, liquidity, capital spending, results of operations and financial condition, as well as other statements that are not historical facts contained in or incorporated by reference into this report. Statements that contain words such as “believes,” “expects,” “anticipates,” “intends,” “estimates,” “continue,” “should,” “could,” “may,” “plan,” “project,” “predict,” “potential,” “possible,” “would,” “outlook,” “will” or similar expressions are forward-looking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report; we disclaim any obligation to update or revise these statements unless required by applicable law, whether as a result of new information, future events or otherwise; and we caution you not to unduly rely on them. We have based these forward-looking statements on expectations and assumptions of management at the time the statements were made. While our management considers these expectations and assumptions to be reasonable, they are inherently subject to significant business, economic, competitive, regulatory and other risks, contingencies and uncertainties that could cause actual results to differ materially from those included in this report, most of which are difficult to predict and many of which are beyond our control. These risks, contingencies and uncertainties relate to, but are not limited to, the factors detailed below, elsewhere herein and in our other SEC filings.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has had, and may continue to have, an adverse effect on our future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3" w:lineRule="exact"/>
        <w:rPr>
          <w:rFonts w:ascii="Times New Roman" w:cs="Times New Roman" w:eastAsia="Times New Roman" w:hAnsi="Times New Roman"/>
          <w:sz w:val="18"/>
          <w:szCs w:val="18"/>
          <w:color w:val="252525"/>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Catastrophic events, including natural disasters, health epidemics, acts of war and terrorism, among others, could disrupt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right="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which may be outside of our control.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right="20" w:hanging="329"/>
        <w:spacing w:after="0" w:line="282" w:lineRule="auto"/>
        <w:tabs>
          <w:tab w:leader="none" w:pos="61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failure in our business systems or cybersecurity attacks on any of our facilities, or those of third parties, could adversely affect our business, results of operations and reputation.</w:t>
      </w:r>
    </w:p>
    <w:p>
      <w:pPr>
        <w:spacing w:after="0" w:line="53" w:lineRule="exact"/>
        <w:rPr>
          <w:rFonts w:ascii="Times New Roman" w:cs="Times New Roman" w:eastAsia="Times New Roman" w:hAnsi="Times New Roman"/>
          <w:sz w:val="18"/>
          <w:szCs w:val="18"/>
          <w:b w:val="1"/>
          <w:bCs w:val="1"/>
          <w:i w:val="1"/>
          <w:iCs w:val="1"/>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ESG initiatives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“Risk Factors” in Item 1A of Part I of our Annual Report on Form 10-K for the year ended September 30, 2023, which was filed with the SEC on December 6, 2023. We can provide no assurance that the forward-looking statements contained in this report will occur as expected, and actual results may differ materially from those included in this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fiscal year ended September 30, 2023, which was filed with the SEC on December 6, 2023 and is available on the SEC’s website at www.sec.gov.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data centers, renewable energy, mining and metals, light rail traction power, pulp and paper, and other municipal, commercial and industrial markets.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 The North American market is responding to increased international demand for LNG and gas-to-chemical processes utilizing low-cost gas feedstocks. As a result, we have been awarded a number of large LNG and petrochemical contracts in Fiscal 2023 that positively impact our backlog in Fiscal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element of our strategic focus is to strengthen our project portfolio beyond our core oil, gas and petrochemical end market sectors. Diversification efforts outside of our core oil, gas and petrochemical end markets have resulted in a solid backlog across the electric utility and commercial and other industrial sectors in Fiscal 2023 and continuing throughout the first half of Fiscal 2024. As of March 31, 2024, our backlog remained at $1.3 billion.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commodity prices remained stable throughout the first half of Fiscal 2024, we continue to experience supply chain delays for specific engineered components and are working with our suppliers to meet our customer commitments. In response to the increased cost environment and supply chain challenges, we strive to effectively manage our product pricing, delivery schedules and bid validity dates with our customers, as well as improve factory efficiencies and project execution.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March 31, 2024 Compared to the Quarter Ended March 31, 2023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49%, or $83.7 million, to $255.1 million in the second quarter of Fiscal 2024, primarily driven by the increase in project backlog resulting from large contracts awarded in Fiscal 2023 and solid bookings throughout the first half of Fiscal 2024. Domestic revenues increased by 62%, or $82.8 million, to $216.9 million in the second quarter of Fiscal 2024. International revenues increased by 2%, or $0.9 million, to $38.2 million in the second quarter of Fiscal 2024. Our international revenues include both revenues generated from our international facilities as well as revenues from export projects generated at our domestic facilities.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2024, revenue from our core oil and gas market (excluding petrochemical) increased by 66%, or $41.2 million, to $103.8 million; petrochemical market revenue increased by 93%, or $24.2 million, to $50.1 million; revenue from our electric utility market increased by 11%, or $4.8 million, to $47.5 million; commercial and other industrial market revenue increased by 57%, or $12.6 million, to $34.9 million; and revenue from all other markets combined increased by 34%,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or $3.6 million, to $14.3 million. These increases in revenue were driven by improved market conditions and increased capital spending in our core oil, gas and petrochemical markets, as well as our strategic effort to diversify our business into electric utility and commercial and other industrial markets. Revenue from our light rail traction power market decreased by 38%, or $2.8 million, to $4.5 million in the second quarter of Fiscal 2024 due to less project volume in this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88%, or $29.3 million, to $62.7 million for the second quarter of Fiscal 2024. Gross profit as a percentage of revenues increased to 25% in the second quarter of Fiscal 2024, compared to 20% in the second quarter of Fiscal 2023. This increase in gross profit reflects the higher volume levels across our manufacturing facilities driving favorable volume leverage, efficient project execution, as well as our continuing effort to improve key factory efficiencies and to effectively manage product pricing that corresponds to current cost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by 4%, or $0.9 million, to $20.9 million in the second quarter of Fiscal 2024, primarily due to a lower level of variable incentive compensation expenses. Selling, general and administrative expenses as a percentage of revenues decreased to 8% during the second quarter of Fiscal 2024 compared to 13% during the second quarter of Fiscal 2023, resulting from higher revenues on our existing cost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an income tax provision of $10.4 million in the second quarter of Fiscal 2024, compared to an income tax provision of $2.5 million in the second quarter of Fiscal 2023. The effective tax rate for the second quarter of Fiscal 2024 was 24%, compared to an effective tax rate of 23% for the second quarter of Fiscal 2023. For each of the three months ended March 31, 2024 and 2023, the effective tax rate was favorably impacted by the estimated Research and Development Tax Credit (R&amp;D Tax Credit). Additionally, we recognized benefits related to discrete items for the vesting of restricted stock units (RSUs) and the release of a reserve for unrecognized tax benefits in the second quarter of Fiscal 2024 and a benefit related to the projected utilization of net operating loss carryforwards in the United Kingdom (the U.K.) that had been fully reserved with a valuation allowance in the second quarter of Fiscal 2023. For each of the three months ended March 31, 2024 and 2023, these benefits were offset by an income inclusion related to U.S. global intangible income and certain nondeductible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2024, we recorded net income of $33.5 million, or $2.75 per diluted share, compared to net income of $8.5 million, or $0.70 per diluted share, in the second quarter of Fiscal 2023. This increase in net income was primarily due to the strength and quality of our backlog at the end of Fiscal 2023, as well as solid bookings throughout the first half of Fiscal 2024, which has led to an increase in revenue coupled with improved project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March 31, 2024 was $1.3 billion, consistent with our December 31, 2023 backlog, and an increase of 25% from $1.0 billion at March 31, 2023. Bookings, net of cancellations and scope reductions, decreased by 54% in the second quarter of Fiscal 2024 to $235.4 million, compared to $508.2 million in the second quarter of Fiscal 2023. Despite solid bookings in the second quarter of Fiscal 2024, the decrease was due to a normalization of the oil and gas sector and fewer large orders awarded during Fiscal 2024.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2024 Compared to Six Months Ended March 31, 2023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51%, or $150.8 million, to $449.1 million in the six months ended March 31, 2024, primarily driven by the increase in project backlog resulting from large contracts awarded throughout Fiscal 2023 and solid bookings throughout the first half of Fiscal 2024. Domestic revenues increased by 61%, or $142.5 million, to $376.8 million in the six months ended March 31, 2024. International revenues increased by 13%, or $8.3 million, to $72.3 million in the six months ended March 31, 2024. Our international revenues include both revenues generated from our international facilities as well as revenues from export projects generated at our domestic facilities.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In the six months ended March 31, 2024, revenue from our core oil and gas market (excluding petrochemical) increased by 77%, or $81.3 million, to $187.5 million; petrochemical market revenue increased by 62%, or $30.1 million, to $78.4 million; revenue from our electric utility market increased by 24%, or $17.1 million, to $88.2 million; commercial and other industrial market revenue increased by 51%, or $20.2 million, to $59.6 million; and revenue from all other markets combined increased by 40%, or $7.6 million, to $26.6 million. These increases in revenue were driven by improved market conditions and increased capital spending in our core oil, gas and petrochemical markets, as well as our strategic effort to diversify our business into electric utility and commercial and other industrial markets. Revenue from our light rail traction power market decreased by 38%, or $5.5 million, to $8.9 million in the first half of Fiscal 2024 due to less project volume in this market.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110%, or $58.0 million, to $110.9 million for the first half of Fiscal 2024. Gross profit as a percentage of revenues increased to 25% in the first half of Fiscal 2024, compared to 18% in the first half of Fiscal 2023. This increase in gross profit reflects the higher volume levels across our manufacturing facilities driving favorable volume, leverage, efficient project execution, as well as our continuing effort to improve key factory efficiencies and to effectively manage product pricing that corresponds to current cost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7%, or $2.6 million, to $41.3 million in the six months ended March 31, 2024, primarily due to increased compensation expenses. Selling, general and administrative expenses as a percentage of revenues decreased to 9% during the first half of Fiscal 2024 compared to 13% during the first half of Fiscal 2023, resulting from higher revenues on our existing cost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an income tax provision of $16.2 million in the six months ended March 31, 2024, compared to an income tax provision of $3.0 million in the six months ended March 31, 2023. The effective tax rate for the six months ended March 31, 2024 was 22%, compared to an effective tax rate of 23% for the six months ended March 31, 2023. For each of the six months ended March 31, 2024 and 2023, the effective tax rate was favorably impacted by the estimated R&amp;D Tax Credit. Additionally, we recognized benefits related to discrete items for the vesting of RSUs and the release of a reserve for unrecognized tax benefits in the six months ended March 31, 2024 and a benefit related to the projected utilization of net operating loss carryforwards in the U.K. that had been fully reserved with a valuation allowance in the six months ended March 31, 2023. In both periods, these benefits were offset by an income inclusion related to U.S. global intangible income and certain nondeductible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six months ended March 31, 2024, we recorded net income of $57.6 million, or $4.73 per diluted share, compared to net income of $9.6 million, or $0.80 per diluted share, in the six months ended March 31, 2023. This increase in net income was primarily due to the strength and quality of our backlog at the end of Fiscal 2023, as well as solid bookings throughout the first half of Fiscal 2024, which has led to an increase in revenue coupled with improved project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March 31, 2024 was $1.3 billion, consistent with our backlog at September 30, 2023. Bookings, net of cancellations and scope reductions, decreased by 40% during the six months ended March 31, 2024 to $433.0</w:t>
      </w:r>
    </w:p>
    <w:p>
      <w:pPr>
        <w:spacing w:after="0" w:line="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million, compared to $720.0 million during the six months ended March 31, 2023. Despite solid bookings in the first half of Fiscal 2024, the decrease was due to a normalization of the oil and gas sector and fewer large orders awarded in Fiscal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Our order activity in most of our core markets remains active and diversification efforts outside of our core oil, gas and petrochemical markets continue to be a positive catalyst. We believe the fundamentals of the US natural gas market, through abundant supply and low cost, will continue to support investments in LNG, related gas processing, and petrochemical processes. We continue to monitor the Biden administration's pause of LNG export permitting by the Department of Energy, which may impact the timing of future project activity. We have achieved strong bookings in electric utility and commercial markets through the first half of Fiscal 2024 in the US, Canada and the U.K., largely driven by the markets where our operations are based. Our backlog remained at $1.3 billion as of March 31, 2024, of which approximately $733 million is expected to be recognized as revenue within the next twelve months. Although current commercial activity remains active in most of the sectors that we compete in, we remain attentive to the macro environment and geopolitical events that may have an impact on future market activity.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negatively impacted and may continue to negatively impact our business and operating results due to the limited supply of, delays for and uncertainty in the timing of the receipt of key component parts and commodities. We continue to remain focused on the variables that impact our markets as well as cost management, labor availability and supply chain challenges.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planned capital spending of approximately $11.0 million on a facility expansion project at our products factory in Houston. We expect to complete the expansion project by mid-Fiscal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current assets exceeded current liabilities by 1.6 times.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$365.3 million at March 31, 2024, compared to $279.0 million at September 30, 2023. This increase in cash, cash equivalents and short-term investments was primarily driven by the increased project volume and favorable timing of contract billing milestones on many of our large projects. We typically allocate a significant percentage of the progress billing to the early stages of the contract. Our improved earnings, as well as favorable billing milestones largely contributed to the increase in our cash, cash equivalents and short-term investments at March 31, 2024. We believe that our cash, cash equivalents and short-term investments, as well as available borrowings under the U.S. Revolver, will be sufficient to support our future operating activities, working capital requirements, payment of dividends and capital spending, as well as research and development initiatives for the next twelve months and beyond.</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we entered into the Third Amendment to the U.S. Revolver. The Third Amendment added Texas Capital Bank as Syndication Agent and a lender, increased the amount of the revolving line of credit from $125.0 million to $150.0 million, and extended the expiry date to October 4, 2028. The aggregate commitment of $150.0 million consists of $100.0 million committed by Bank of America and $50.0 million committed by Texas Capital Bank. As amended by the Third Amendment, the lesser of (a) $60 million, (b) 60% of available cash, and (c) the aggregate face amount of the issued but undrawn letters of credit that are not cash-secured, shall be deducted from consolidated funded indebtedness, when calculating the consolidated net leverage ratio. We have the option to cash collateralize all or a portion of the letters of credit outstanding, which would favorably impact the consolidated funded indebtedness calculation and the consolidated net leverage ratio.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there were no amounts borrowed under the U.S. Revolver, and letters of credit outstanding were $87.8 million. There was $62.2 million available for the issuance of letters of credit and borrowings under the U.S. Revolver as of March 31, 2024. For further information regarding our debt, see Notes E and F of Notes to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$70.6 million of our cash, cash equivalents and short-term investments at March 31, 2024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$100.9 million during the six months ended March 31, 2024 and provided net cash of $55.5 million during the same period in Fiscal 2023. Cash flow from operations is primarily influenced by project volume and margins, as well as the associated working capital requirements, the timing of milestone payments from our customers, and payment terms with our suppliers. This increase in operating cash flow was primarily due to higher net income resulting from increased project volume and improved project margins.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$11.2 million during the six months ended March 31, 2024 and provided $0.3 million during the same period in Fiscal 2023. The increase in cash used in investing activities was primarily due to net purchases of short-term investments of $8.9 million in the first half of Fiscal 2024 compared to net maturities of short-term investments of $3.7 million in the same period of Fiscal 2023. In December 2023, we acquired intellectual property for a total consideration of $0.5 million, of which $250 thousand was paid in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$12.8 million during the six months ended March 31, 2024 and $6.8 million during the same period in Fiscal 2023. The increase in cash used in financing activities was primarily due to cash payments related to shares withheld in lieu of employee tax withholding, largely driven by the significant increase in our share price in the first half of Fiscal 2024 compared to the same period of Fiscal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our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2023, which was filed with the SEC on December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as of and for the three and six months ended March 31, 2024, as compared to the information previously reported under Part II, Item 7A within our Annual Report on Form 10-K for the fiscal year ended September 30,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second quarter of Fiscal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for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23, 2024, Michael W. Metcalf, Executive Vice President and Chief Financial Officer, adopted a “Rule 10b5-1 trading arrangement,” as the term is defined in Item 408(a) of Regulation S-K, for the sale of up to 10,100 shares of the Company’s common stock, subject to certain conditions, from June 7, 2024 through February 14,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26, 2024, Brett A. Cope, President and Chief Executive Officer, adopted a “Rule 10b5-1 trading arrangement,” as the term is defined in Item 408(a) of Regulation S-K, for the sale of up to 11,000 shares of the Company’s common stock, subject to certain conditions, from June 14, 2024 through December 19,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3">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u w:val="single" w:color="auto"/>
            <w:color w:val="0000FF"/>
          </w:rPr>
          <w:t>2004 (filed as Exhibit 3.1 to our Form 8-A/A filed November 1, 2004,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5">
        <w:r>
          <w:rPr>
            <w:rFonts w:ascii="Times New Roman" w:cs="Times New Roman" w:eastAsia="Times New Roman" w:hAnsi="Times New Roman"/>
            <w:sz w:val="18"/>
            <w:szCs w:val="18"/>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tab/>
        <w:t>—</w:t>
      </w:r>
      <w:r>
        <w:rPr>
          <w:sz w:val="20"/>
          <w:szCs w:val="20"/>
          <w:color w:val="auto"/>
        </w:rPr>
        <w:tab/>
      </w:r>
      <w:hyperlink r:id="rId46">
        <w:r>
          <w:rPr>
            <w:rFonts w:ascii="Times New Roman" w:cs="Times New Roman" w:eastAsia="Times New Roman" w:hAnsi="Times New Roman"/>
            <w:sz w:val="17"/>
            <w:szCs w:val="17"/>
            <w:u w:val="single" w:color="auto"/>
            <w:color w:val="0000FF"/>
          </w:rPr>
          <w:t>Amendment No. 1 to Amended and Restated Bylaws of Powell Industries, Inc. (filed as Exhibit 3.1 to our Form 8-K filed February</w:t>
        </w:r>
      </w:hyperlink>
    </w:p>
    <w:p>
      <w:pPr>
        <w:spacing w:after="0" w:line="2" w:lineRule="exact"/>
        <w:rPr>
          <w:sz w:val="20"/>
          <w:szCs w:val="20"/>
          <w:color w:val="auto"/>
        </w:rPr>
      </w:pPr>
    </w:p>
    <w:p>
      <w:pPr>
        <w:ind w:left="168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u w:val="single" w:color="auto"/>
            <w:color w:val="0000FF"/>
          </w:rPr>
          <w:t>26, 2021,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4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xml:space="preserve">— </w:t>
      </w:r>
      <w:r>
        <w:rPr>
          <w:rFonts w:ascii="Times New Roman" w:cs="Times New Roman" w:eastAsia="Times New Roman" w:hAnsi="Times New Roman"/>
          <w:sz w:val="18"/>
          <w:szCs w:val="18"/>
          <w:color w:val="244061"/>
        </w:rPr>
        <w:t>The following financial statements from the Company’s Quarterly Report on Form 10-Q for the quarter ended March 31,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36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xml:space="preserve">— </w:t>
      </w:r>
      <w:r>
        <w:rPr>
          <w:rFonts w:ascii="Times New Roman" w:cs="Times New Roman" w:eastAsia="Times New Roman" w:hAnsi="Times New Roman"/>
          <w:sz w:val="18"/>
          <w:szCs w:val="18"/>
          <w:color w:val="244061"/>
        </w:rPr>
        <w:t>The cover page from the Company’s Quarterly Report on Form 10-Q for the quarter ended March 31, 2024, formatted in Inline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4061"/>
        </w:rPr>
        <w:t>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0458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260" w:type="dxa"/>
            <w:vAlign w:val="bottom"/>
          </w:tcPr>
          <w:p>
            <w:pPr>
              <w:spacing w:after="0"/>
              <w:rPr>
                <w:sz w:val="20"/>
                <w:szCs w:val="20"/>
                <w:color w:val="auto"/>
              </w:rPr>
            </w:pPr>
          </w:p>
        </w:tc>
        <w:tc>
          <w:tcPr>
            <w:tcW w:w="79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2024</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29"/>
        </w:trPr>
        <w:tc>
          <w:tcPr>
            <w:tcW w:w="3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2024</w:t>
            </w:r>
          </w:p>
        </w:tc>
        <w:tc>
          <w:tcPr>
            <w:tcW w:w="27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34"/>
        </w:trPr>
        <w:tc>
          <w:tcPr>
            <w:tcW w:w="3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bl>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08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340" w:hanging="320"/>
        <w:spacing w:after="0" w:line="298" w:lineRule="auto"/>
        <w:tabs>
          <w:tab w:leader="none" w:pos="1300"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7"/>
          <w:szCs w:val="17"/>
          <w:color w:val="auto"/>
        </w:rPr>
        <w:t>May 01, 2024</w:t>
      </w:r>
    </w:p>
    <w:p>
      <w:pPr>
        <w:sectPr>
          <w:pgSz w:w="11900" w:h="16838" w:orient="portrait"/>
          <w:cols w:equalWidth="0" w:num="1">
            <w:col w:w="11240"/>
          </w:cols>
          <w:pgMar w:left="320" w:top="89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660" w:right="300" w:hanging="328"/>
        <w:spacing w:after="0" w:line="29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30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40"/>
        <w:spacing w:after="0" w:line="211"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7"/>
          <w:szCs w:val="17"/>
          <w:color w:val="auto"/>
        </w:rPr>
        <w:t>May 01, 2024</w:t>
      </w:r>
    </w:p>
    <w:p>
      <w:pPr>
        <w:sectPr>
          <w:pgSz w:w="11900" w:h="16838" w:orient="portrait"/>
          <w:cols w:equalWidth="0" w:num="1">
            <w:col w:w="11240"/>
          </w:cols>
          <w:pgMar w:left="320" w:top="89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85"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6"/>
          <w:szCs w:val="16"/>
          <w:color w:val="auto"/>
        </w:rPr>
        <w:t xml:space="preserve">In connection with this Quarterly Report (the “Report”) on Form 10-Q of Powell Industries, Inc. (the “Company”) for the quarter ended </w:t>
      </w:r>
      <w:r>
        <w:rPr>
          <w:rFonts w:ascii="Times New Roman" w:cs="Times New Roman" w:eastAsia="Times New Roman" w:hAnsi="Times New Roman"/>
          <w:sz w:val="17"/>
          <w:szCs w:val="17"/>
          <w:color w:val="auto"/>
        </w:rPr>
        <w:t>March 31, 2024</w:t>
      </w:r>
      <w:r>
        <w:rPr>
          <w:rFonts w:ascii="Times New Roman" w:cs="Times New Roman" w:eastAsia="Times New Roman" w:hAnsi="Times New Roman"/>
          <w:sz w:val="16"/>
          <w:szCs w:val="16"/>
          <w:color w:val="auto"/>
        </w:rPr>
        <w:t>,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4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represents, in all material respects, the financial condition and results of operations of the Company.</w:t>
      </w:r>
    </w:p>
    <w:p>
      <w:pPr>
        <w:spacing w:after="0" w:line="3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7"/>
          <w:szCs w:val="17"/>
          <w:color w:val="auto"/>
        </w:rPr>
        <w:t>May 01, 2024</w:t>
      </w:r>
    </w:p>
    <w:p>
      <w:pPr>
        <w:sectPr>
          <w:pgSz w:w="11900" w:h="16838" w:orient="portrait"/>
          <w:cols w:equalWidth="0" w:num="1">
            <w:col w:w="11240"/>
          </w:cols>
          <w:pgMar w:left="320" w:top="89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this Quarterly Report (the “Report”) on Form 10-Q of Powell Industries, Inc. (the “Company”) for the quarter ended </w:t>
      </w:r>
      <w:r>
        <w:rPr>
          <w:rFonts w:ascii="Times New Roman" w:cs="Times New Roman" w:eastAsia="Times New Roman" w:hAnsi="Times New Roman"/>
          <w:sz w:val="16"/>
          <w:szCs w:val="16"/>
          <w:color w:val="auto"/>
        </w:rPr>
        <w:t>March 31, 2024</w:t>
      </w:r>
      <w:r>
        <w:rPr>
          <w:rFonts w:ascii="Times New Roman" w:cs="Times New Roman" w:eastAsia="Times New Roman" w:hAnsi="Times New Roman"/>
          <w:sz w:val="18"/>
          <w:szCs w:val="18"/>
          <w:color w:val="auto"/>
        </w:rPr>
        <w:t>,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01,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2"/>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3" Type="http://schemas.openxmlformats.org/officeDocument/2006/relationships/hyperlink" Target="https://www.sec.gov/Archives/edgar/data/80420/000008042004000044/exhibit3_1.htm" TargetMode="External"/><Relationship Id="rId45" Type="http://schemas.openxmlformats.org/officeDocument/2006/relationships/hyperlink" Target="https://www.sec.gov/Archives/edgar/data/80420/000119312512421889/d424375dex31.htm" TargetMode="External"/><Relationship Id="rId46" Type="http://schemas.openxmlformats.org/officeDocument/2006/relationships/hyperlink" Target="https://www.sec.gov/Archives/edgar/data/80420/000008042021000018/ex31-amendmentno1to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2024-05-01T11:52:13Z</dcterms:created>
  <dcterms:modified xsi:type="dcterms:W3CDTF">2024-05-01T11:52:13Z</dcterms:modified>
</cp:coreProperties>
</file>