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328295</wp:posOffset>
            </wp:positionH>
            <wp:positionV relativeFrom="page">
              <wp:posOffset>414655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389255</wp:posOffset>
            </wp:positionV>
            <wp:extent cx="6900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77470</wp:posOffset>
            </wp:positionV>
            <wp:extent cx="2091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104775</wp:posOffset>
            </wp:positionV>
            <wp:extent cx="2091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700" w:right="20" w:hanging="674"/>
        <w:spacing w:after="0" w:line="238" w:lineRule="auto"/>
        <w:tabs>
          <w:tab w:leader="none" w:pos="7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700" w:right="40" w:hanging="674"/>
        <w:spacing w:after="0" w:line="238" w:lineRule="auto"/>
        <w:tabs>
          <w:tab w:leader="none" w:pos="7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17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001-12488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97155</wp:posOffset>
            </wp:positionV>
            <wp:extent cx="2091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Powell Industries,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21590</wp:posOffset>
            </wp:positionV>
            <wp:extent cx="2091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276" w:lineRule="exact"/>
        <w:rPr>
          <w:sz w:val="24"/>
          <w:szCs w:val="24"/>
          <w:color w:val="auto"/>
        </w:rPr>
      </w:pPr>
    </w:p>
    <w:tbl>
      <w:tblPr>
        <w:tblLayout w:type="fixed"/>
        <w:tblInd w:w="1540" w:type="dxa"/>
        <w:tblCellMar>
          <w:top w:w="0" w:type="dxa"/>
          <w:left w:w="0" w:type="dxa"/>
          <w:bottom w:w="0" w:type="dxa"/>
          <w:right w:w="0" w:type="dxa"/>
        </w:tblCellMar>
      </w:tblPr>
      <w:tr>
        <w:trPr>
          <w:trHeight w:val="238"/>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8"/>
                <w:szCs w:val="18"/>
                <w:b w:val="1"/>
                <w:bCs w:val="1"/>
                <w:color w:val="auto"/>
                <w:w w:val="98"/>
              </w:rPr>
              <w:t>88-0106100</w:t>
            </w:r>
          </w:p>
        </w:tc>
      </w:tr>
      <w:tr>
        <w:trPr>
          <w:trHeight w:val="203"/>
        </w:trPr>
        <w:tc>
          <w:tcPr>
            <w:tcW w:w="6240" w:type="dxa"/>
            <w:vAlign w:val="bottom"/>
            <w:gridSpan w:val="3"/>
          </w:tcPr>
          <w:p>
            <w:pPr>
              <w:jc w:val="center"/>
              <w:ind w:right="3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240" w:type="dxa"/>
            <w:vAlign w:val="bottom"/>
            <w:gridSpan w:val="3"/>
          </w:tcPr>
          <w:p>
            <w:pPr>
              <w:jc w:val="center"/>
              <w:ind w:right="3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3"/>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8550 Mosley Road</w:t>
            </w:r>
          </w:p>
        </w:tc>
        <w:tc>
          <w:tcPr>
            <w:tcW w:w="1280" w:type="dxa"/>
            <w:vAlign w:val="bottom"/>
          </w:tcPr>
          <w:p>
            <w:pPr>
              <w:spacing w:after="0"/>
              <w:rPr>
                <w:sz w:val="20"/>
                <w:szCs w:val="20"/>
                <w:color w:val="auto"/>
              </w:rPr>
            </w:pPr>
          </w:p>
        </w:tc>
      </w:tr>
      <w:tr>
        <w:trPr>
          <w:trHeight w:val="229"/>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Houston</w:t>
            </w:r>
          </w:p>
        </w:tc>
        <w:tc>
          <w:tcPr>
            <w:tcW w:w="1280" w:type="dxa"/>
            <w:vAlign w:val="bottom"/>
          </w:tcPr>
          <w:p>
            <w:pPr>
              <w:spacing w:after="0"/>
              <w:rPr>
                <w:sz w:val="19"/>
                <w:szCs w:val="19"/>
                <w:color w:val="auto"/>
              </w:rPr>
            </w:pPr>
          </w:p>
        </w:tc>
      </w:tr>
      <w:tr>
        <w:trPr>
          <w:trHeight w:val="227"/>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3"/>
              </w:rPr>
              <w:t>Texas</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8"/>
                <w:szCs w:val="18"/>
                <w:b w:val="1"/>
                <w:bCs w:val="1"/>
                <w:color w:val="auto"/>
                <w:w w:val="98"/>
              </w:rPr>
              <w:t>77075-1180</w:t>
            </w:r>
          </w:p>
        </w:tc>
      </w:tr>
      <w:tr>
        <w:trPr>
          <w:trHeight w:val="190"/>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66"/>
        </w:trPr>
        <w:tc>
          <w:tcPr>
            <w:tcW w:w="6240" w:type="dxa"/>
            <w:vAlign w:val="bottom"/>
            <w:gridSpan w:val="3"/>
          </w:tcPr>
          <w:p>
            <w:pPr>
              <w:jc w:val="center"/>
              <w:ind w:left="1836"/>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280" w:type="dxa"/>
            <w:vAlign w:val="bottom"/>
          </w:tcPr>
          <w:p>
            <w:pPr>
              <w:spacing w:after="0"/>
              <w:rPr>
                <w:sz w:val="24"/>
                <w:szCs w:val="24"/>
                <w:color w:val="auto"/>
              </w:rPr>
            </w:pPr>
          </w:p>
        </w:tc>
      </w:tr>
      <w:tr>
        <w:trPr>
          <w:trHeight w:val="238"/>
        </w:trPr>
        <w:tc>
          <w:tcPr>
            <w:tcW w:w="572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(713) 944-6900</w:t>
            </w: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bl>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4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Trading Symbol</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20" w:type="dxa"/>
            <w:vAlign w:val="bottom"/>
          </w:tcPr>
          <w:p>
            <w:pPr>
              <w:spacing w:after="0"/>
              <w:rPr>
                <w:sz w:val="19"/>
                <w:szCs w:val="19"/>
                <w:color w:val="auto"/>
              </w:rPr>
            </w:pPr>
          </w:p>
        </w:tc>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32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POWL</w:t>
            </w:r>
          </w:p>
        </w:tc>
        <w:tc>
          <w:tcPr>
            <w:tcW w:w="320" w:type="dxa"/>
            <w:vAlign w:val="bottom"/>
          </w:tcPr>
          <w:p>
            <w:pPr>
              <w:spacing w:after="0"/>
              <w:rPr>
                <w:sz w:val="19"/>
                <w:szCs w:val="19"/>
                <w:color w:val="auto"/>
              </w:rPr>
            </w:pPr>
          </w:p>
        </w:tc>
        <w:tc>
          <w:tcPr>
            <w:tcW w:w="4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139" w:lineRule="exact"/>
        <w:rPr>
          <w:sz w:val="24"/>
          <w:szCs w:val="24"/>
          <w:color w:val="auto"/>
        </w:rPr>
      </w:pPr>
    </w:p>
    <w:p>
      <w:pPr>
        <w:jc w:val="both"/>
        <w:ind w:firstLine="48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24" w:lineRule="exact"/>
        <w:rPr>
          <w:sz w:val="24"/>
          <w:szCs w:val="24"/>
          <w:color w:val="auto"/>
        </w:rPr>
      </w:pPr>
    </w:p>
    <w:p>
      <w:pPr>
        <w:jc w:val="both"/>
        <w:ind w:firstLine="48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24" w:lineRule="exact"/>
        <w:rPr>
          <w:sz w:val="24"/>
          <w:szCs w:val="24"/>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80" w:type="dxa"/>
        <w:tblCellMar>
          <w:top w:w="0" w:type="dxa"/>
          <w:left w:w="0" w:type="dxa"/>
          <w:bottom w:w="0" w:type="dxa"/>
          <w:right w:w="0" w:type="dxa"/>
        </w:tblCellMar>
      </w:tblPr>
      <w:tr>
        <w:trPr>
          <w:trHeight w:val="207"/>
        </w:trPr>
        <w:tc>
          <w:tcPr>
            <w:tcW w:w="572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46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Emerging growth</w:t>
            </w:r>
          </w:p>
        </w:tc>
        <w:tc>
          <w:tcPr>
            <w:tcW w:w="3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4"/>
        </w:trPr>
        <w:tc>
          <w:tcPr>
            <w:tcW w:w="5720" w:type="dxa"/>
            <w:vAlign w:val="bottom"/>
            <w:vMerge w:val="continue"/>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460" w:type="dxa"/>
            <w:vAlign w:val="bottom"/>
            <w:vMerge w:val="continue"/>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18" w:lineRule="exact"/>
        <w:rPr>
          <w:sz w:val="24"/>
          <w:szCs w:val="24"/>
          <w:color w:val="auto"/>
        </w:rPr>
      </w:pPr>
    </w:p>
    <w:p>
      <w:pPr>
        <w:ind w:firstLine="486"/>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left="500" w:right="124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At May 2, 2022, there were 11,780,643 outstanding shares of the registrant’s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103505</wp:posOffset>
            </wp:positionV>
            <wp:extent cx="69005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78105</wp:posOffset>
            </wp:positionV>
            <wp:extent cx="69005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4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8040" w:type="dxa"/>
            <w:vAlign w:val="bottom"/>
            <w:gridSpan w:val="11"/>
            <w:vMerge w:val="restart"/>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440" w:type="dxa"/>
            <w:vAlign w:val="bottom"/>
            <w:tcBorders>
              <w:bottom w:val="single" w:sz="8" w:color="0000FF"/>
            </w:tcBorders>
            <w:gridSpan w:val="9"/>
            <w:vMerge w:val="continue"/>
          </w:tcPr>
          <w:p>
            <w:pPr>
              <w:spacing w:after="0"/>
              <w:rPr>
                <w:sz w:val="15"/>
                <w:szCs w:val="15"/>
                <w:color w:val="auto"/>
              </w:rPr>
            </w:pPr>
          </w:p>
        </w:tc>
        <w:tc>
          <w:tcPr>
            <w:tcW w:w="8040" w:type="dxa"/>
            <w:vAlign w:val="bottom"/>
            <w:gridSpan w:val="11"/>
            <w:vMerge w:val="continue"/>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 Condensed Consolidated Financial Statements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6300" w:type="dxa"/>
            <w:vAlign w:val="bottom"/>
            <w:gridSpan w:val="8"/>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6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20" w:type="dxa"/>
            <w:vAlign w:val="bottom"/>
            <w:tcBorders>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(Loss) (Unaudited)</w:t>
            </w:r>
          </w:p>
        </w:tc>
        <w:tc>
          <w:tcPr>
            <w:tcW w:w="4140" w:type="dxa"/>
            <w:vAlign w:val="bottom"/>
            <w:gridSpan w:val="2"/>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6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(Unaudited)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40" w:type="dxa"/>
            <w:vAlign w:val="bottom"/>
            <w:tcBorders>
              <w:top w:val="single" w:sz="8" w:color="0000FF"/>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w:t>
            </w:r>
          </w:p>
        </w:tc>
        <w:tc>
          <w:tcPr>
            <w:tcW w:w="640" w:type="dxa"/>
            <w:vAlign w:val="bottom"/>
            <w:tcBorders>
              <w:top w:val="single" w:sz="8" w:color="0000FF"/>
            </w:tcBorders>
            <w:gridSpan w:val="3"/>
          </w:tcPr>
          <w:p>
            <w:pPr>
              <w:spacing w:after="0"/>
              <w:rPr>
                <w:sz w:val="18"/>
                <w:szCs w:val="18"/>
                <w:color w:val="auto"/>
              </w:rPr>
            </w:pPr>
          </w:p>
        </w:tc>
        <w:tc>
          <w:tcPr>
            <w:tcW w:w="4880" w:type="dxa"/>
            <w:vAlign w:val="bottom"/>
            <w:gridSpan w:val="3"/>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20" w:type="dxa"/>
            <w:vAlign w:val="bottom"/>
            <w:tcBorders>
              <w:bottom w:val="single" w:sz="8" w:color="0000FF"/>
            </w:tcBorders>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5240" w:type="dxa"/>
            <w:vAlign w:val="bottom"/>
            <w:gridSpan w:val="4"/>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0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438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440" w:type="dxa"/>
            <w:vAlign w:val="bottom"/>
            <w:gridSpan w:val="5"/>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180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8020" w:type="dxa"/>
            <w:vAlign w:val="bottom"/>
            <w:gridSpan w:val="10"/>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72"/>
        </w:trPr>
        <w:tc>
          <w:tcPr>
            <w:tcW w:w="104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120" w:type="dxa"/>
            <w:vAlign w:val="bottom"/>
            <w:tcBorders>
              <w:top w:val="single" w:sz="8" w:color="0000FF"/>
            </w:tcBorders>
          </w:tcPr>
          <w:p>
            <w:pPr>
              <w:spacing w:after="0"/>
              <w:rPr>
                <w:sz w:val="18"/>
                <w:szCs w:val="18"/>
                <w:color w:val="auto"/>
              </w:rPr>
            </w:pPr>
          </w:p>
        </w:tc>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1360" w:type="dxa"/>
            <w:vAlign w:val="bottom"/>
            <w:tcBorders>
              <w:top w:val="single" w:sz="8" w:color="0000FF"/>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220" w:type="dxa"/>
            <w:vAlign w:val="bottom"/>
            <w:tcBorders>
              <w:top w:val="single" w:sz="8" w:color="0000FF"/>
            </w:tcBorders>
          </w:tcPr>
          <w:p>
            <w:pPr>
              <w:spacing w:after="0"/>
              <w:rPr>
                <w:sz w:val="18"/>
                <w:szCs w:val="18"/>
                <w:color w:val="auto"/>
              </w:rPr>
            </w:pPr>
          </w:p>
        </w:tc>
        <w:tc>
          <w:tcPr>
            <w:tcW w:w="8240" w:type="dxa"/>
            <w:vAlign w:val="bottom"/>
            <w:gridSpan w:val="12"/>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6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8760" w:type="dxa"/>
            <w:vAlign w:val="bottom"/>
            <w:gridSpan w:val="14"/>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982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1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200" w:type="dxa"/>
            <w:vAlign w:val="bottom"/>
            <w:gridSpan w:val="15"/>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Condensed Consolidated Financial Statements</w:t>
      </w:r>
    </w:p>
    <w:p>
      <w:pPr>
        <w:spacing w:after="0" w:line="23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16"/>
                <w:szCs w:val="16"/>
                <w:color w:val="auto"/>
              </w:rPr>
            </w:pPr>
          </w:p>
        </w:tc>
        <w:tc>
          <w:tcPr>
            <w:tcW w:w="15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23"/>
        </w:trPr>
        <w:tc>
          <w:tcPr>
            <w:tcW w:w="7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35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114,314</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investments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less allowance for credit losses of $703 and $333</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78,304</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Contract assets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54,199</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29,835</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4,382</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1,599</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311,679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302,461</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109,457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 net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3,453</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4,639</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13,160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15,179</w:t>
            </w:r>
          </w:p>
        </w:tc>
        <w:tc>
          <w:tcPr>
            <w:tcW w:w="0" w:type="dxa"/>
            <w:vAlign w:val="bottom"/>
          </w:tcPr>
          <w:p>
            <w:pPr>
              <w:spacing w:after="0"/>
              <w:rPr>
                <w:sz w:val="1"/>
                <w:szCs w:val="1"/>
                <w:color w:val="auto"/>
              </w:rPr>
            </w:pPr>
          </w:p>
        </w:tc>
      </w:tr>
      <w:tr>
        <w:trPr>
          <w:trHeight w:val="235"/>
        </w:trPr>
        <w:tc>
          <w:tcPr>
            <w:tcW w:w="76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439,705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436,192</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45,247</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Contract liabilities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42,433</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20,395</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product warranty</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7,659</w:t>
            </w:r>
          </w:p>
        </w:tc>
        <w:tc>
          <w:tcPr>
            <w:tcW w:w="0" w:type="dxa"/>
            <w:vAlign w:val="bottom"/>
          </w:tcPr>
          <w:p>
            <w:pPr>
              <w:spacing w:after="0"/>
              <w:rPr>
                <w:sz w:val="1"/>
                <w:szCs w:val="1"/>
                <w:color w:val="auto"/>
              </w:rPr>
            </w:pPr>
          </w:p>
        </w:tc>
      </w:tr>
      <w:tr>
        <w:trPr>
          <w:trHeight w:val="207"/>
        </w:trPr>
        <w:tc>
          <w:tcPr>
            <w:tcW w:w="7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132,883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121,156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compensation</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8,613</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2,413</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2,787</w:t>
            </w:r>
          </w:p>
        </w:tc>
        <w:tc>
          <w:tcPr>
            <w:tcW w:w="0" w:type="dxa"/>
            <w:vAlign w:val="bottom"/>
          </w:tcPr>
          <w:p>
            <w:pPr>
              <w:spacing w:after="0"/>
              <w:rPr>
                <w:sz w:val="1"/>
                <w:szCs w:val="1"/>
                <w:color w:val="auto"/>
              </w:rPr>
            </w:pPr>
          </w:p>
        </w:tc>
      </w:tr>
      <w:tr>
        <w:trPr>
          <w:trHeight w:val="207"/>
        </w:trPr>
        <w:tc>
          <w:tcPr>
            <w:tcW w:w="76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146,835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134,969</w:t>
            </w:r>
          </w:p>
        </w:tc>
        <w:tc>
          <w:tcPr>
            <w:tcW w:w="0" w:type="dxa"/>
            <w:vAlign w:val="bottom"/>
          </w:tcPr>
          <w:p>
            <w:pPr>
              <w:spacing w:after="0"/>
              <w:rPr>
                <w:sz w:val="1"/>
                <w:szCs w:val="1"/>
                <w:color w:val="auto"/>
              </w:rPr>
            </w:pPr>
          </w:p>
        </w:tc>
      </w:tr>
      <w:tr>
        <w:trPr>
          <w:trHeight w:val="19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F)</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Preferred stock, par value $0.01; 5,000,000 shares authorized; none issued</w:t>
            </w: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64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Common stock, par value $0.01; 30,000,000 shares authorized; 12,586,661 and 12,497,691 shares issued,</w:t>
            </w:r>
          </w:p>
        </w:tc>
        <w:tc>
          <w:tcPr>
            <w:tcW w:w="2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respectively</w:t>
            </w:r>
          </w:p>
        </w:tc>
        <w:tc>
          <w:tcPr>
            <w:tcW w:w="24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63,948</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282,505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 806,018 shares at cost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(24,999)</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(19,400)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(20,356)</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292,870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301,223</w:t>
            </w:r>
          </w:p>
        </w:tc>
        <w:tc>
          <w:tcPr>
            <w:tcW w:w="0" w:type="dxa"/>
            <w:vAlign w:val="bottom"/>
          </w:tcPr>
          <w:p>
            <w:pPr>
              <w:spacing w:after="0"/>
              <w:rPr>
                <w:sz w:val="1"/>
                <w:szCs w:val="1"/>
                <w:color w:val="auto"/>
              </w:rPr>
            </w:pPr>
          </w:p>
        </w:tc>
      </w:tr>
      <w:tr>
        <w:trPr>
          <w:trHeight w:val="207"/>
        </w:trPr>
        <w:tc>
          <w:tcPr>
            <w:tcW w:w="76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439,705</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436,192</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16"/>
                <w:szCs w:val="16"/>
                <w:color w:val="auto"/>
              </w:rPr>
            </w:pPr>
          </w:p>
        </w:tc>
        <w:tc>
          <w:tcPr>
            <w:tcW w:w="252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23"/>
        </w:trPr>
        <w:tc>
          <w:tcPr>
            <w:tcW w:w="5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5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127,854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118,716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234,423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225,291</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108,771</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101,563</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201,904</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189,867</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35,424</w:t>
            </w:r>
          </w:p>
        </w:tc>
        <w:tc>
          <w:tcPr>
            <w:tcW w:w="0" w:type="dxa"/>
            <w:vAlign w:val="bottom"/>
          </w:tcPr>
          <w:p>
            <w:pPr>
              <w:spacing w:after="0"/>
              <w:rPr>
                <w:sz w:val="1"/>
                <w:szCs w:val="1"/>
                <w:color w:val="auto"/>
              </w:rPr>
            </w:pPr>
          </w:p>
        </w:tc>
      </w:tr>
      <w:tr>
        <w:trPr>
          <w:trHeight w:val="256"/>
        </w:trPr>
        <w:tc>
          <w:tcPr>
            <w:tcW w:w="5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33,549</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4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(0.10)</w:t>
            </w:r>
          </w:p>
        </w:tc>
        <w:tc>
          <w:tcPr>
            <w:tcW w:w="16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(0.02)</w:t>
            </w:r>
          </w:p>
        </w:tc>
        <w:tc>
          <w:tcPr>
            <w:tcW w:w="24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(0.34)</w:t>
            </w:r>
          </w:p>
        </w:tc>
        <w:tc>
          <w:tcPr>
            <w:tcW w:w="16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11,690</w:t>
            </w:r>
          </w:p>
        </w:tc>
        <w:tc>
          <w:tcPr>
            <w:tcW w:w="0" w:type="dxa"/>
            <w:vAlign w:val="bottom"/>
          </w:tcPr>
          <w:p>
            <w:pPr>
              <w:spacing w:after="0"/>
              <w:rPr>
                <w:sz w:val="1"/>
                <w:szCs w:val="1"/>
                <w:color w:val="auto"/>
              </w:rPr>
            </w:pPr>
          </w:p>
        </w:tc>
      </w:tr>
      <w:tr>
        <w:trPr>
          <w:trHeight w:val="230"/>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11,690</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per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ind w:left="340" w:right="2440"/>
        <w:spacing w:after="0" w:line="278" w:lineRule="auto"/>
        <w:rPr>
          <w:sz w:val="20"/>
          <w:szCs w:val="20"/>
          <w:color w:val="auto"/>
        </w:rPr>
      </w:pPr>
      <w:r>
        <w:rPr>
          <w:rFonts w:ascii="Times New Roman" w:cs="Times New Roman" w:eastAsia="Times New Roman" w:hAnsi="Times New Roman"/>
          <w:sz w:val="18"/>
          <w:szCs w:val="18"/>
          <w:b w:val="1"/>
          <w:bCs w:val="1"/>
          <w:color w:val="auto"/>
        </w:rPr>
        <w:t>POWELL INDUSTRIES, INC. AND SUBSIDIARIES Condensed Consolidated Statements of Comprehensive Income (Loss) (Unaudited) (In thousands)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5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894</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5,243</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669</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POWELL INDUSTRIES, INC. AND SUBSIDIARIES Condensed Consolidated Statements of Stockholders’ Equity (Unaudited) (In thousands)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3"/>
                <w:szCs w:val="23"/>
                <w:color w:val="auto"/>
              </w:rPr>
            </w:pPr>
          </w:p>
        </w:tc>
        <w:tc>
          <w:tcPr>
            <w:tcW w:w="16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23"/>
                <w:szCs w:val="23"/>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23"/>
                <w:szCs w:val="23"/>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7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740" w:type="dxa"/>
            <w:vAlign w:val="bottom"/>
          </w:tcPr>
          <w:p>
            <w:pPr>
              <w:spacing w:after="0"/>
              <w:rPr>
                <w:sz w:val="19"/>
                <w:szCs w:val="19"/>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9"/>
                <w:szCs w:val="19"/>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9"/>
                <w:szCs w:val="19"/>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60" w:type="dxa"/>
            <w:vAlign w:val="bottom"/>
          </w:tcPr>
          <w:p>
            <w:pPr>
              <w:spacing w:after="0"/>
              <w:rPr>
                <w:sz w:val="19"/>
                <w:szCs w:val="19"/>
                <w:color w:val="auto"/>
              </w:rPr>
            </w:pPr>
          </w:p>
        </w:tc>
        <w:tc>
          <w:tcPr>
            <w:tcW w:w="7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3"/>
        </w:trPr>
        <w:tc>
          <w:tcPr>
            <w:tcW w:w="17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2021</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12,498</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63,948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282,505</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(806)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(24,999)</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(20,356)</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301,223</w:t>
            </w:r>
          </w:p>
        </w:tc>
        <w:tc>
          <w:tcPr>
            <w:tcW w:w="0" w:type="dxa"/>
            <w:vAlign w:val="bottom"/>
          </w:tcPr>
          <w:p>
            <w:pPr>
              <w:spacing w:after="0"/>
              <w:rPr>
                <w:sz w:val="1"/>
                <w:szCs w:val="1"/>
                <w:color w:val="auto"/>
              </w:rPr>
            </w:pPr>
          </w:p>
        </w:tc>
      </w:tr>
      <w:tr>
        <w:trPr>
          <w:trHeight w:val="193"/>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(2,846)</w:t>
            </w:r>
          </w:p>
        </w:tc>
        <w:tc>
          <w:tcPr>
            <w:tcW w:w="140" w:type="dxa"/>
            <w:vAlign w:val="bottom"/>
          </w:tcPr>
          <w:p>
            <w:pPr>
              <w:spacing w:after="0"/>
              <w:rPr>
                <w:sz w:val="16"/>
                <w:szCs w:val="16"/>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(2,846)</w:t>
            </w: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translation adjustments</w:t>
            </w:r>
          </w:p>
        </w:tc>
        <w:tc>
          <w:tcPr>
            <w:tcW w:w="8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1,008</w:t>
            </w: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 withheld in lieu of</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tax withholding</w:t>
            </w:r>
          </w:p>
        </w:tc>
        <w:tc>
          <w:tcPr>
            <w:tcW w:w="8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(3,269)</w:t>
            </w:r>
          </w:p>
        </w:tc>
        <w:tc>
          <w:tcPr>
            <w:tcW w:w="140" w:type="dxa"/>
            <w:vAlign w:val="bottom"/>
          </w:tcPr>
          <w:p>
            <w:pPr>
              <w:spacing w:after="0"/>
              <w:rPr>
                <w:sz w:val="16"/>
                <w:szCs w:val="16"/>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(3,200)</w:t>
            </w:r>
          </w:p>
        </w:tc>
        <w:tc>
          <w:tcPr>
            <w:tcW w:w="0" w:type="dxa"/>
            <w:vAlign w:val="bottom"/>
          </w:tcPr>
          <w:p>
            <w:pPr>
              <w:spacing w:after="0"/>
              <w:rPr>
                <w:sz w:val="1"/>
                <w:szCs w:val="1"/>
                <w:color w:val="auto"/>
              </w:rPr>
            </w:pPr>
          </w:p>
        </w:tc>
      </w:tr>
      <w:tr>
        <w:trPr>
          <w:trHeight w:val="23"/>
        </w:trPr>
        <w:tc>
          <w:tcPr>
            <w:tcW w:w="17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12,570</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64,364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276,390</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(806)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(24,999)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295,579</w:t>
            </w:r>
          </w:p>
        </w:tc>
        <w:tc>
          <w:tcPr>
            <w:tcW w:w="0" w:type="dxa"/>
            <w:vAlign w:val="bottom"/>
          </w:tcPr>
          <w:p>
            <w:pPr>
              <w:spacing w:after="0"/>
              <w:rPr>
                <w:sz w:val="1"/>
                <w:szCs w:val="1"/>
                <w:color w:val="auto"/>
              </w:rPr>
            </w:pPr>
          </w:p>
        </w:tc>
      </w:tr>
      <w:tr>
        <w:trPr>
          <w:trHeight w:val="193"/>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140" w:type="dxa"/>
            <w:vAlign w:val="bottom"/>
          </w:tcPr>
          <w:p>
            <w:pPr>
              <w:spacing w:after="0"/>
              <w:rPr>
                <w:sz w:val="16"/>
                <w:szCs w:val="16"/>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902</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902</w:t>
            </w: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translation adjustments</w:t>
            </w:r>
          </w:p>
        </w:tc>
        <w:tc>
          <w:tcPr>
            <w:tcW w:w="8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711</w:t>
            </w: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(3,105)</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(3,105)</w:t>
            </w:r>
          </w:p>
        </w:tc>
        <w:tc>
          <w:tcPr>
            <w:tcW w:w="0" w:type="dxa"/>
            <w:vAlign w:val="bottom"/>
          </w:tcPr>
          <w:p>
            <w:pPr>
              <w:spacing w:after="0"/>
              <w:rPr>
                <w:sz w:val="1"/>
                <w:szCs w:val="1"/>
                <w:color w:val="auto"/>
              </w:rPr>
            </w:pPr>
          </w:p>
        </w:tc>
      </w:tr>
      <w:tr>
        <w:trPr>
          <w:trHeight w:val="189"/>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2022</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12,587</w:t>
            </w:r>
          </w:p>
        </w:tc>
        <w:tc>
          <w:tcPr>
            <w:tcW w:w="14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65,075</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272,068</w:t>
            </w:r>
          </w:p>
        </w:tc>
        <w:tc>
          <w:tcPr>
            <w:tcW w:w="140" w:type="dxa"/>
            <w:vAlign w:val="bottom"/>
          </w:tcPr>
          <w:p>
            <w:pPr>
              <w:spacing w:after="0"/>
              <w:rPr>
                <w:sz w:val="16"/>
                <w:szCs w:val="16"/>
                <w:color w:val="auto"/>
              </w:rPr>
            </w:pPr>
          </w:p>
        </w:tc>
        <w:tc>
          <w:tcPr>
            <w:tcW w:w="6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(806)</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(24,999)</w:t>
            </w: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(19,400)</w:t>
            </w:r>
          </w:p>
        </w:tc>
        <w:tc>
          <w:tcPr>
            <w:tcW w:w="16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292,870</w:t>
            </w:r>
          </w:p>
        </w:tc>
        <w:tc>
          <w:tcPr>
            <w:tcW w:w="0" w:type="dxa"/>
            <w:vAlign w:val="bottom"/>
          </w:tcPr>
          <w:p>
            <w:pPr>
              <w:spacing w:after="0"/>
              <w:rPr>
                <w:sz w:val="1"/>
                <w:szCs w:val="1"/>
                <w:color w:val="auto"/>
              </w:rPr>
            </w:pPr>
          </w:p>
        </w:tc>
      </w:tr>
      <w:tr>
        <w:trPr>
          <w:trHeight w:val="27"/>
        </w:trPr>
        <w:tc>
          <w:tcPr>
            <w:tcW w:w="17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3"/>
                <w:szCs w:val="23"/>
                <w:color w:val="auto"/>
              </w:rPr>
            </w:pPr>
          </w:p>
        </w:tc>
        <w:tc>
          <w:tcPr>
            <w:tcW w:w="16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23"/>
                <w:szCs w:val="23"/>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23"/>
                <w:szCs w:val="23"/>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7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740" w:type="dxa"/>
            <w:vAlign w:val="bottom"/>
          </w:tcPr>
          <w:p>
            <w:pPr>
              <w:spacing w:after="0"/>
              <w:rPr>
                <w:sz w:val="19"/>
                <w:szCs w:val="19"/>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9"/>
                <w:szCs w:val="19"/>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9"/>
                <w:szCs w:val="19"/>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60" w:type="dxa"/>
            <w:vAlign w:val="bottom"/>
          </w:tcPr>
          <w:p>
            <w:pPr>
              <w:spacing w:after="0"/>
              <w:rPr>
                <w:sz w:val="19"/>
                <w:szCs w:val="19"/>
                <w:color w:val="auto"/>
              </w:rPr>
            </w:pPr>
          </w:p>
        </w:tc>
        <w:tc>
          <w:tcPr>
            <w:tcW w:w="7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3"/>
        </w:trPr>
        <w:tc>
          <w:tcPr>
            <w:tcW w:w="17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2020</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12,422</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61,998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294,016</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(806)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(24,999)</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(24,513)</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306,626</w:t>
            </w:r>
          </w:p>
        </w:tc>
        <w:tc>
          <w:tcPr>
            <w:tcW w:w="0" w:type="dxa"/>
            <w:vAlign w:val="bottom"/>
          </w:tcPr>
          <w:p>
            <w:pPr>
              <w:spacing w:after="0"/>
              <w:rPr>
                <w:sz w:val="1"/>
                <w:szCs w:val="1"/>
                <w:color w:val="auto"/>
              </w:rPr>
            </w:pPr>
          </w:p>
        </w:tc>
      </w:tr>
      <w:tr>
        <w:trPr>
          <w:trHeight w:val="193"/>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40" w:type="dxa"/>
            <w:vAlign w:val="bottom"/>
          </w:tcPr>
          <w:p>
            <w:pPr>
              <w:spacing w:after="0"/>
              <w:rPr>
                <w:sz w:val="16"/>
                <w:szCs w:val="16"/>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4,349</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4,349</w:t>
            </w: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translation adjustments</w:t>
            </w:r>
          </w:p>
        </w:tc>
        <w:tc>
          <w:tcPr>
            <w:tcW w:w="8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894</w:t>
            </w: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 withheld in lieu of</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tax withholding</w:t>
            </w:r>
          </w:p>
        </w:tc>
        <w:tc>
          <w:tcPr>
            <w:tcW w:w="8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(3,028)</w:t>
            </w:r>
          </w:p>
        </w:tc>
        <w:tc>
          <w:tcPr>
            <w:tcW w:w="140" w:type="dxa"/>
            <w:vAlign w:val="bottom"/>
          </w:tcPr>
          <w:p>
            <w:pPr>
              <w:spacing w:after="0"/>
              <w:rPr>
                <w:sz w:val="16"/>
                <w:szCs w:val="16"/>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(3,028)</w:t>
            </w:r>
          </w:p>
        </w:tc>
        <w:tc>
          <w:tcPr>
            <w:tcW w:w="0" w:type="dxa"/>
            <w:vAlign w:val="bottom"/>
          </w:tcPr>
          <w:p>
            <w:pPr>
              <w:spacing w:after="0"/>
              <w:rPr>
                <w:sz w:val="1"/>
                <w:szCs w:val="1"/>
                <w:color w:val="auto"/>
              </w:rPr>
            </w:pPr>
          </w:p>
        </w:tc>
      </w:tr>
      <w:tr>
        <w:trPr>
          <w:trHeight w:val="23"/>
        </w:trPr>
        <w:tc>
          <w:tcPr>
            <w:tcW w:w="17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2020</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12,481</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62,259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290,624</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(806)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(24,999)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307,845</w:t>
            </w:r>
          </w:p>
        </w:tc>
        <w:tc>
          <w:tcPr>
            <w:tcW w:w="0" w:type="dxa"/>
            <w:vAlign w:val="bottom"/>
          </w:tcPr>
          <w:p>
            <w:pPr>
              <w:spacing w:after="0"/>
              <w:rPr>
                <w:sz w:val="1"/>
                <w:szCs w:val="1"/>
                <w:color w:val="auto"/>
              </w:rPr>
            </w:pPr>
          </w:p>
        </w:tc>
      </w:tr>
      <w:tr>
        <w:trPr>
          <w:trHeight w:val="193"/>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40" w:type="dxa"/>
            <w:vAlign w:val="bottom"/>
          </w:tcPr>
          <w:p>
            <w:pPr>
              <w:spacing w:after="0"/>
              <w:rPr>
                <w:sz w:val="16"/>
                <w:szCs w:val="16"/>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894</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894</w:t>
            </w: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translation adjustments</w:t>
            </w:r>
          </w:p>
        </w:tc>
        <w:tc>
          <w:tcPr>
            <w:tcW w:w="8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853</w:t>
            </w:r>
          </w:p>
        </w:tc>
        <w:tc>
          <w:tcPr>
            <w:tcW w:w="0" w:type="dxa"/>
            <w:vAlign w:val="bottom"/>
          </w:tcPr>
          <w:p>
            <w:pPr>
              <w:spacing w:after="0"/>
              <w:rPr>
                <w:sz w:val="1"/>
                <w:szCs w:val="1"/>
                <w:color w:val="auto"/>
              </w:rPr>
            </w:pPr>
          </w:p>
        </w:tc>
      </w:tr>
      <w:tr>
        <w:trPr>
          <w:trHeight w:val="23"/>
        </w:trPr>
        <w:tc>
          <w:tcPr>
            <w:tcW w:w="1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(3,035)</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(3,035)</w:t>
            </w:r>
          </w:p>
        </w:tc>
        <w:tc>
          <w:tcPr>
            <w:tcW w:w="0" w:type="dxa"/>
            <w:vAlign w:val="bottom"/>
          </w:tcPr>
          <w:p>
            <w:pPr>
              <w:spacing w:after="0"/>
              <w:rPr>
                <w:sz w:val="1"/>
                <w:szCs w:val="1"/>
                <w:color w:val="auto"/>
              </w:rPr>
            </w:pPr>
          </w:p>
        </w:tc>
      </w:tr>
      <w:tr>
        <w:trPr>
          <w:trHeight w:val="196"/>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2021</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12,498</w:t>
            </w:r>
          </w:p>
        </w:tc>
        <w:tc>
          <w:tcPr>
            <w:tcW w:w="1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63,112</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287,364</w:t>
            </w:r>
          </w:p>
        </w:tc>
        <w:tc>
          <w:tcPr>
            <w:tcW w:w="140" w:type="dxa"/>
            <w:vAlign w:val="bottom"/>
          </w:tcPr>
          <w:p>
            <w:pPr>
              <w:spacing w:after="0"/>
              <w:rPr>
                <w:sz w:val="17"/>
                <w:szCs w:val="17"/>
                <w:color w:val="auto"/>
              </w:rPr>
            </w:pPr>
          </w:p>
        </w:tc>
        <w:tc>
          <w:tcPr>
            <w:tcW w:w="6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(806)</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(24,999)</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(19,270)</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306,332</w:t>
            </w:r>
          </w:p>
        </w:tc>
        <w:tc>
          <w:tcPr>
            <w:tcW w:w="0" w:type="dxa"/>
            <w:vAlign w:val="bottom"/>
          </w:tcPr>
          <w:p>
            <w:pPr>
              <w:spacing w:after="0"/>
              <w:rPr>
                <w:sz w:val="1"/>
                <w:szCs w:val="1"/>
                <w:color w:val="auto"/>
              </w:rPr>
            </w:pPr>
          </w:p>
        </w:tc>
      </w:tr>
      <w:tr>
        <w:trPr>
          <w:trHeight w:val="21"/>
        </w:trPr>
        <w:tc>
          <w:tcPr>
            <w:tcW w:w="1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80"/>
          </w:cols>
          <w:pgMar w:left="1360" w:top="887" w:right="135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1240" w:type="dxa"/>
            <w:vAlign w:val="bottom"/>
          </w:tcPr>
          <w:p>
            <w:pPr>
              <w:spacing w:after="0"/>
              <w:rPr>
                <w:sz w:val="16"/>
                <w:szCs w:val="16"/>
                <w:color w:val="auto"/>
              </w:rPr>
            </w:pPr>
          </w:p>
        </w:tc>
      </w:tr>
      <w:tr>
        <w:trPr>
          <w:trHeight w:val="23"/>
        </w:trPr>
        <w:tc>
          <w:tcPr>
            <w:tcW w:w="68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68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8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00" w:type="dxa"/>
            <w:vAlign w:val="bottom"/>
          </w:tcPr>
          <w:p>
            <w:pPr>
              <w:spacing w:after="0"/>
              <w:rPr>
                <w:sz w:val="19"/>
                <w:szCs w:val="19"/>
                <w:color w:val="auto"/>
              </w:rPr>
            </w:pP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5,289</w:t>
            </w:r>
          </w:p>
        </w:tc>
      </w:tr>
      <w:tr>
        <w:trPr>
          <w:trHeight w:val="230"/>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Bad debt expense (recovery), net</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r>
      <w:tr>
        <w:trPr>
          <w:trHeight w:val="230"/>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30"/>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Contract assets and liabilities, net</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(16,647)</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Inventories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taxes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r>
      <w:tr>
        <w:trPr>
          <w:trHeight w:val="230"/>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liabilities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(9,119)</w:t>
            </w:r>
          </w:p>
        </w:tc>
      </w:tr>
      <w:tr>
        <w:trPr>
          <w:trHeight w:val="230"/>
        </w:trPr>
        <w:tc>
          <w:tcPr>
            <w:tcW w:w="68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net</w:t>
            </w:r>
          </w:p>
        </w:tc>
        <w:tc>
          <w:tcPr>
            <w:tcW w:w="1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r>
      <w:tr>
        <w:trPr>
          <w:trHeight w:val="223"/>
        </w:trPr>
        <w:tc>
          <w:tcPr>
            <w:tcW w:w="6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(18,079)</w:t>
            </w: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(15,835)</w:t>
            </w:r>
          </w:p>
        </w:tc>
      </w:tr>
      <w:tr>
        <w:trPr>
          <w:trHeight w:val="230"/>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15,788</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r>
      <w:tr>
        <w:trPr>
          <w:trHeight w:val="229"/>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life insurance policies</w:t>
            </w:r>
          </w:p>
        </w:tc>
        <w:tc>
          <w:tcPr>
            <w:tcW w:w="1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23"/>
        </w:trPr>
        <w:tc>
          <w:tcPr>
            <w:tcW w:w="6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(7,624)</w:t>
            </w:r>
          </w:p>
        </w:tc>
        <w:tc>
          <w:tcPr>
            <w:tcW w:w="1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on industrial development revenue bonds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Shares withheld in lieu of employee tax withholding</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29"/>
        </w:trPr>
        <w:tc>
          <w:tcPr>
            <w:tcW w:w="6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1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(6,063)</w:t>
            </w:r>
          </w:p>
        </w:tc>
      </w:tr>
      <w:tr>
        <w:trPr>
          <w:trHeight w:val="223"/>
        </w:trPr>
        <w:tc>
          <w:tcPr>
            <w:tcW w:w="6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w:t>
            </w:r>
          </w:p>
        </w:tc>
      </w:tr>
      <w:tr>
        <w:trPr>
          <w:trHeight w:val="22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(26,337)</w:t>
            </w: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30"/>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114,314</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160,216</w:t>
            </w:r>
          </w:p>
        </w:tc>
      </w:tr>
      <w:tr>
        <w:trPr>
          <w:trHeight w:val="248"/>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40" w:type="dxa"/>
            <w:vAlign w:val="bottom"/>
            <w:tcBorders>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86,431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134,093</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Overview and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Powell Industries, Inc. (we, us, our, Powell or the Company) is incorporated in the state of Delaware. Powell's predecessor companies were founded 75 years ago by William E. Powell in 1947. Our major subsidiaries, all of which are wholly owned, include: Powell Electrical Systems, Inc.; Powell (UK) Limited; Powell Canada Inc.; and Powell Industries International, B.V.</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develop, design, manufacture and service custom-engineered equipment and systems which (1) distribute, control and monitor the flow of electrical energy and (2) provide protection to motors, transformers and other electrically powered equipment. We are headquartered in Houston, Texas and serve the oil and gas and petrochemical markets, which include onshore and offshore production, liquefied natural gas (LNG) facilities and terminals, pipelines, refineries and petrochemical plants. Additional markets include electric utility and light rail traction power as well as mining and metals, pulp and paper and other municipal, commercial and industrial markets.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Global Economic Uncertainty and Oil and Gas Commodity Market Volatility on Powell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Various factors resulting in global economic uncertainty have negatively impacted our results over the last 18 months. In particular, the COVID-19 pandemic continues to impact global energy markets. This pandemic has negatively impacted demand, which in turn has resulted in considerable volatility across global oil and gas commodity markets. As a result, some of our industrial customers have deferred or suspended their planned capital expenditures. During this period, certain of our customers have asked that we delay or cancel our manufacturing on their projects as their operations have been negatively impacted by this pandemic and the reduced oil and gas demand, which has resulted in recognition of cancellation fees based on contract terms and the extent of our progress on the projects. We continue to work with our key suppliers who are facing various issues related to the availability and timing of the receipt of key component parts and commodities to ensure that we are able to meet our customer commitments.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consequences of a prolonged global economic decline could include, but are not limited to, a continued reduction in commercial and industrial activity. The Company cannot reasonably estimate the duration or severity of this pandemic, or the extent to which the resulting disruptions may materially impact our business, results of operations or cash flows. We will take prudent measures to maintain our strong liquidity and cash position, which may include reducing our capital expenditures and research and development costs, as well as reducing or eliminating future dividend payments.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Powell and its wholly-owned subsidiaries. All significant intercompany accounts and transactions have been eliminated in consolidation.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in accordance with the instructions to Form 10-Q and Rule 10-01 of Regulation S-X for interim financial information. Certain information and footnote disclosures, normally included in annual financial statements prepared in accordance with accounting principles generally accepted in the United States (U.S. GAAP), have been condensed or omitted pursuant to those rules and regulations. In the opinion of management, all adjustments, consisting only of normal recurring adjustments, necessary to fairly state the financial position, results of operations and cash flows with respect to the interim condensed consolidated financial statements have been included. The results of operations for the interim periods are not necessarily indicative of the results for the entire fiscal year. We believe that these financial statements contain all adjustments necessary so that they are not misleading.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audited consolidated financial statements and notes thereto of Powell and its subsidiaries included in Powell’s Annual Report on Form 10-K for the year ended September 30, 2021, which was filed with the Securities and Exchange Commission (SEC) on December 8,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Fiscal 2022 and Fiscal 2021 used throughout this report shall mean our fiscal years ended September 30, 2022 and 2021,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amounts reported in the condensed consolidated financial statements and accompanying footnotes. The most significant estimates used in our condensed consolidated financial statements affect revenue recognition and estimated cost recognition on our customer contracts, the allowance for credit losses, provision for excess and obsolete inventory, warranty accruals and income taxes. The amounts recorded for warranties, legal, income taxes, impairment of long-lived assets (when applicable), liquidated damages and other contingent liabilities require judgments regarding the amount of expenses that will ultimately be incurred. We base our estimates on historical experience, forecasts and various other assumptions, as well as the specific circumstances surrounding these contingent liabilities, in evaluating the amount of liability that should be recorded. Additionally, the recognition of deferred tax assets requires estimates related to future income and other assumptions regarding timing and future profitability because the ultimate realization of net deferred tax assets is dependent on the generation of future taxable income during the periods in which temporary differences become deductible. Estimates routinely change as new events occur, additional information becomes available or operating environments change. Actual results may differ from our prior estimates.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Earnings Per Share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compute basic earnings per share by dividing net income (loss) by the weighted average number of common shares outstanding during the period. Diluted earnings per common and potential common share includes the weighted average of additional shares associated with the incremental effect of dilutive restricted stock and restricted stock units.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reconciles basic and diluted weighted average shares used in the computation of earnings per share (in thousands, except per share data):</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4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46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4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46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80" w:type="dxa"/>
            <w:vAlign w:val="bottom"/>
          </w:tcPr>
          <w:p>
            <w:pPr>
              <w:spacing w:after="0"/>
              <w:rPr>
                <w:sz w:val="19"/>
                <w:szCs w:val="19"/>
                <w:color w:val="auto"/>
              </w:rPr>
            </w:pPr>
          </w:p>
        </w:tc>
        <w:tc>
          <w:tcPr>
            <w:tcW w:w="9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basic shares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11,690</w:t>
            </w:r>
          </w:p>
        </w:tc>
      </w:tr>
      <w:tr>
        <w:trPr>
          <w:trHeight w:val="229"/>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effect of restricted stock units</w:t>
            </w:r>
          </w:p>
        </w:tc>
        <w:tc>
          <w:tcPr>
            <w:tcW w:w="9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9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180" w:type="dxa"/>
            <w:vAlign w:val="bottom"/>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11,707</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11,783</w:t>
            </w:r>
          </w:p>
        </w:tc>
        <w:tc>
          <w:tcPr>
            <w:tcW w:w="1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11,690</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Loss per share:</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Pr>
          <w:p>
            <w:pPr>
              <w:spacing w:after="0"/>
              <w:rPr>
                <w:sz w:val="19"/>
                <w:szCs w:val="19"/>
                <w:color w:val="auto"/>
              </w:rPr>
            </w:pPr>
          </w:p>
        </w:tc>
        <w:tc>
          <w:tcPr>
            <w:tcW w:w="9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8"/>
        </w:trPr>
        <w:tc>
          <w:tcPr>
            <w:tcW w:w="4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tcBorders>
              <w:bottom w:val="single" w:sz="8" w:color="auto"/>
            </w:tcBorders>
            <w:shd w:val="clear" w:color="auto" w:fill="CCEEFF"/>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each of the three and six months ended March 31, 2022 and 2021, we incurred net losses and therefore all potential common shares were deemed to be anti-dilutive.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Detail of Selected Balance Sheet Accounts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our allowance for credit losses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266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47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4720" w:type="dxa"/>
            <w:vAlign w:val="bottom"/>
          </w:tcPr>
          <w:p>
            <w:pPr>
              <w:spacing w:after="0"/>
              <w:rPr>
                <w:sz w:val="16"/>
                <w:szCs w:val="16"/>
                <w:color w:val="auto"/>
              </w:rPr>
            </w:pPr>
          </w:p>
        </w:tc>
        <w:tc>
          <w:tcPr>
            <w:tcW w:w="10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472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 (recovery), net</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9"/>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Uncollectible accounts written off, net of recoveries</w:t>
            </w:r>
          </w:p>
        </w:tc>
        <w:tc>
          <w:tcPr>
            <w:tcW w:w="10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47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Change due to foreign currency translation</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4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0"/>
        </w:trPr>
        <w:tc>
          <w:tcPr>
            <w:tcW w:w="47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inventories are summarized below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184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23"/>
        </w:trPr>
        <w:tc>
          <w:tcPr>
            <w:tcW w:w="5960" w:type="dxa"/>
            <w:vAlign w:val="bottom"/>
            <w:tcBorders>
              <w:bottom w:val="single" w:sz="8" w:color="CFF0FC"/>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23"/>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 parts and sub-assemblies, net</w:t>
            </w:r>
          </w:p>
        </w:tc>
        <w:tc>
          <w:tcPr>
            <w:tcW w:w="1840" w:type="dxa"/>
            <w:vAlign w:val="bottom"/>
            <w:shd w:val="clear" w:color="auto" w:fill="CFF0FC"/>
          </w:tcPr>
          <w:p>
            <w:pPr>
              <w:jc w:val="right"/>
              <w:ind w:right="16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42,282</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28,688</w:t>
            </w:r>
          </w:p>
        </w:tc>
      </w:tr>
      <w:tr>
        <w:trPr>
          <w:trHeight w:val="229"/>
        </w:trPr>
        <w:tc>
          <w:tcPr>
            <w:tcW w:w="59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Work-in-progress</w:t>
            </w:r>
          </w:p>
        </w:tc>
        <w:tc>
          <w:tcPr>
            <w:tcW w:w="18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248"/>
        </w:trPr>
        <w:tc>
          <w:tcPr>
            <w:tcW w:w="5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840" w:type="dxa"/>
            <w:vAlign w:val="bottom"/>
            <w:tcBorders>
              <w:bottom w:val="single" w:sz="8" w:color="auto"/>
            </w:tcBorders>
            <w:shd w:val="clear" w:color="auto" w:fill="CFF0FC"/>
          </w:tcPr>
          <w:p>
            <w:pPr>
              <w:jc w:val="right"/>
              <w:ind w:right="16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43,685</w:t>
            </w:r>
          </w:p>
        </w:tc>
        <w:tc>
          <w:tcPr>
            <w:tcW w:w="2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29,835</w:t>
            </w:r>
          </w:p>
        </w:tc>
      </w:tr>
      <w:tr>
        <w:trPr>
          <w:trHeight w:val="20"/>
        </w:trPr>
        <w:tc>
          <w:tcPr>
            <w:tcW w:w="5960" w:type="dxa"/>
            <w:vAlign w:val="bottom"/>
            <w:tcBorders>
              <w:top w:val="single" w:sz="8" w:color="CFF0FC"/>
            </w:tcBorders>
          </w:tcPr>
          <w:p>
            <w:pPr>
              <w:spacing w:after="0" w:line="20" w:lineRule="exact"/>
              <w:rPr>
                <w:sz w:val="1"/>
                <w:szCs w:val="1"/>
                <w:color w:val="auto"/>
              </w:rPr>
            </w:pPr>
          </w:p>
        </w:tc>
        <w:tc>
          <w:tcPr>
            <w:tcW w:w="1840" w:type="dxa"/>
            <w:vAlign w:val="bottom"/>
            <w:tcBorders>
              <w:top w:val="single" w:sz="8" w:color="CFF0FC"/>
              <w:bottom w:val="single" w:sz="8" w:color="auto"/>
            </w:tcBorders>
          </w:tcPr>
          <w:p>
            <w:pPr>
              <w:spacing w:after="0" w:line="20" w:lineRule="exact"/>
              <w:rPr>
                <w:sz w:val="1"/>
                <w:szCs w:val="1"/>
                <w:color w:val="auto"/>
              </w:rPr>
            </w:pPr>
          </w:p>
        </w:tc>
        <w:tc>
          <w:tcPr>
            <w:tcW w:w="680" w:type="dxa"/>
            <w:vAlign w:val="bottom"/>
            <w:tcBorders>
              <w:top w:val="single" w:sz="8" w:color="CFF0FC"/>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2140" w:type="dxa"/>
            <w:vAlign w:val="bottom"/>
            <w:tcBorders>
              <w:top w:val="single" w:sz="8" w:color="CFF0FC"/>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Product Warranty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our product warranty accrual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264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46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46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4660" w:type="dxa"/>
            <w:vAlign w:val="bottom"/>
            <w:tcBorders>
              <w:bottom w:val="single" w:sz="8" w:color="CFF0FC"/>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2,771</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to warranty expense</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r>
      <w:tr>
        <w:trPr>
          <w:trHeight w:val="229"/>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Deduction for warranty charges</w:t>
            </w: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30"/>
        </w:trPr>
        <w:tc>
          <w:tcPr>
            <w:tcW w:w="46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Change due to foreign currency translation</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8"/>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2,467</w:t>
            </w:r>
          </w:p>
        </w:tc>
      </w:tr>
      <w:tr>
        <w:trPr>
          <w:trHeight w:val="20"/>
        </w:trPr>
        <w:tc>
          <w:tcPr>
            <w:tcW w:w="46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revenues are primarily generated from the manufacturing of custom-engineered products and systems under long-term fixed-price contracts under which we agree to manufacture various products such as traditional and arc-resistant distribution switchgear and control gear, medium-voltage circuit breakers, monitoring and control communications systems, motor control centers, switches and bus duct systems. These products may be sold separately as an engineered solution but are typically integrated into custom-built enclosures which we also build. These enclosures are referred to as power control room substations (PCRs®), custom-engineered modules or electrical houses (E-Houses). Some contracts may also include the installation and the commissioning of these enclosures.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these contracts is generally recognized over time utilizing the cost-to-cost method. Under the cost-to-cost method, the extent of progress towards completion is measured based on the ratio of costs incurred to date to the total estimated costs at completion of the performance obligation.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contracts to provide value-added services such as field service inspection, installation, commissioning, modification and repair, as well as retrofit and retrofill components for existing systems.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 time in each reporting period corresponding to the amount with which we have the right to invoice. Our performance obligations are satisfied as the work progresses. Revenues from our custom-engineered products and value-added services transferred to customers over time accounted for approximately 94% of total revenues for the three and six months ended March 31, 2022, 93% of total revenues for the three months ended March 31, 2021 and 92% of total revenues for the six months ended March 31, 2021.</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we have sales orders for spare parts and replacement circuit breakers for switchgear that are obsolete or that are no longer produced by the original manufacturer. Revenues from these sales orders are recognized at the time we fulfill our performance obligation to the customer, which is typically upon shipment and represented approximately 6% of total revenues for the three and six months ended March 31, 2022, 7% of total revenues for the three months ended March 31, 2021 and 8% of total revenues for the six months ended March 31, 2021.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agents at the order date, with a corresponding deferred asset. As the project progresses, we record commission expense based on percentage of completion rates that correlate to the project and reduce the deferred asset. Once we have been paid by the customer, we pay the commission and the deferred liability is reduced.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judgment. The majority of our contracts have a single performance obligation where multiple engineered products and services are combined into a single custom-engineered solution. Our contracts include a standard one-year assurance warranty. Occasionally, we provide service-type warranties that will extend the warranty period. These extended warranties qualify as a separate performance obligation, and revenue is deferred and recognized over the warranty period. If we determine during the 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Remaining unsatisfied performance obligations, which we refer to as backlog, represent the estimated transaction price for goods and services for which we have a material right, but work has not been performed. As of March 31, 2022, we had backlog of $440.0 million, of which approximately $310.9 million is expected to be recognized as revenue within the next twelve months. Backlog may not be indicative of future operating results as orders may be cancelled or modified by our customers. Our backlog does not include service and maintenance-type contracts for which we have the right to invoice as services are performed.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Actual revenues and project costs may vary from previous estimates due to changes in a variety of factors. The cost estimation process is based upon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We bear the risk of cost overruns in most of our contracts, which may result in reduced profits. Whenever revisions of estimated contract costs and contract values indicate that the contract costs will exceed estimated revenues, thus creating a loss, a provision for the total estimated loss is recorded in that period.</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six months ended March 31, 2022 and 2021, our operating results were positively impacted by $5.6 million and $8.2 million, respectively, as a result of changes in contract estimates related to projects in progress at the beginning of the respective period. These changes in estimates resulted primarily from favorable project execution and negotiations of variable consideration, discussed below, as well as revenue and reduced costs recognized from project cancellations and other changes in facts and circumstances during these periods. The decrease from the prior year is primarily due to the increase in direct materials cost, which we were not able to pass on to our customers.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the probability-weighted amounts,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Modifications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 modifications result in a cumulative catch-up adjustment to revenue based on our measure of progress for the performance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affects accounts receivable, contract assets and contract liabilities in our Condensed Consolidated Balance Sheets.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are recorded when revenues are recognized in excess of amounts billed for fixed-price contracts as determined by the billing milestone schedule. Contract assets are transferred to accounts receivable when billing milestones have been met, or we have an unconditional right to payment.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typically represent advance payments from contractual billing milestones and billings in excess of revenue recognized. It is unusual to have advanced milestone payments with a term greater than one year, which could represent a financing component on the contract.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contract assets and liabilities are reported in a net position on a contract-by-contract basis at the end of each reporting period and are generally classified as current.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liabilities as of March 31, 2022 and September 30, 2021 are summarized below (in thousands):</w:t>
      </w:r>
    </w:p>
    <w:p>
      <w:pPr>
        <w:spacing w:after="0" w:line="192"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40" w:type="dxa"/>
            <w:vAlign w:val="bottom"/>
          </w:tcPr>
          <w:p>
            <w:pPr>
              <w:spacing w:after="0"/>
              <w:rPr>
                <w:sz w:val="16"/>
                <w:szCs w:val="16"/>
                <w:color w:val="auto"/>
              </w:rPr>
            </w:pPr>
          </w:p>
        </w:tc>
        <w:tc>
          <w:tcPr>
            <w:tcW w:w="1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23"/>
        </w:trPr>
        <w:tc>
          <w:tcPr>
            <w:tcW w:w="7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center"/>
              <w:ind w:left="755"/>
              <w:spacing w:after="0"/>
              <w:rPr>
                <w:sz w:val="20"/>
                <w:szCs w:val="20"/>
                <w:color w:val="auto"/>
              </w:rPr>
            </w:pPr>
            <w:r>
              <w:rPr>
                <w:rFonts w:ascii="Times New Roman" w:cs="Times New Roman" w:eastAsia="Times New Roman" w:hAnsi="Times New Roman"/>
                <w:sz w:val="18"/>
                <w:szCs w:val="18"/>
                <w:color w:val="auto"/>
              </w:rPr>
              <w:t>54,199</w:t>
            </w:r>
          </w:p>
        </w:tc>
      </w:tr>
      <w:tr>
        <w:trPr>
          <w:trHeight w:val="229"/>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(56,706)</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left="715"/>
              <w:spacing w:after="0"/>
              <w:rPr>
                <w:sz w:val="20"/>
                <w:szCs w:val="20"/>
                <w:color w:val="auto"/>
              </w:rPr>
            </w:pPr>
            <w:r>
              <w:rPr>
                <w:rFonts w:ascii="Times New Roman" w:cs="Times New Roman" w:eastAsia="Times New Roman" w:hAnsi="Times New Roman"/>
                <w:sz w:val="18"/>
                <w:szCs w:val="18"/>
                <w:color w:val="auto"/>
              </w:rPr>
              <w:t>(42,433)</w:t>
            </w:r>
          </w:p>
        </w:tc>
      </w:tr>
      <w:tr>
        <w:trPr>
          <w:trHeight w:val="248"/>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asset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center"/>
              <w:ind w:left="775"/>
              <w:spacing w:after="0"/>
              <w:rPr>
                <w:sz w:val="20"/>
                <w:szCs w:val="20"/>
                <w:color w:val="auto"/>
              </w:rPr>
            </w:pPr>
            <w:r>
              <w:rPr>
                <w:rFonts w:ascii="Times New Roman" w:cs="Times New Roman" w:eastAsia="Times New Roman" w:hAnsi="Times New Roman"/>
                <w:sz w:val="18"/>
                <w:szCs w:val="18"/>
                <w:color w:val="auto"/>
                <w:w w:val="96"/>
              </w:rPr>
              <w:t>11,766</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net contract asset at March 31, 2022 from September 30, 2021 was primarily due to the timing of contract billing milestones and new orders as well as cash used on our large industrial project awarded in Fiscal 2020. To determine the amount of revenue recognized during the period from contract liabilities, we first allocate revenue to the individual contract liability balance outstanding at the beginning of the period until the revenue exceeds that balance. During the six months ended March 31, 2022, we recognized revenue of approximately $33.5 million that was related to contract liabilities outstanding at September 30, 2021.</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timing of our invoice process is typically dependent on the completion of certain milestones and contract terms and subject to agreement by our customer. Payment is typically expected within 30 days of invoice. Any uncollected invoiced amounts for our performance obligations recognized over time, including contract retentions, are recorded as accounts receivable in the Condensed Consolidated Balance Sheets. Certain contracts allow customers to withhold a small percentage of billings pursuant to retainage provisions, and such amounts are generally due upon completion of the contract and acceptance of the project by the customer. Based on our experience in recent years, the majority of these retainage balances are expected to be collected within approximately twelve months. As of March 31, 2022 and September 30, 2021, accounts receivable included retention amounts of $9.8 million and $9.6 million, respectively. Of the retained amount at March 31, 2022, $9.1 million is expected to be collected in the next twelve months and is recorded in accounts receivable. The remaining $0.7 million is recorded in other assets.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our disaggregated revenue by geographic destination and market sector for the three and six months ended March 31, 2022 and 2021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86,992</w:t>
            </w:r>
          </w:p>
        </w:tc>
        <w:tc>
          <w:tcPr>
            <w:tcW w:w="1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87,939</w:t>
            </w:r>
          </w:p>
        </w:tc>
        <w:tc>
          <w:tcPr>
            <w:tcW w:w="2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169,137</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168,525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17,734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37,178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15,551</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10,937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23,381</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2,009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Mexico, Central and South America</w:t>
            </w: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 by geographic destination</w:t>
            </w:r>
          </w:p>
        </w:tc>
        <w:tc>
          <w:tcPr>
            <w:tcW w:w="38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127,854</w:t>
            </w:r>
          </w:p>
        </w:tc>
        <w:tc>
          <w:tcPr>
            <w:tcW w:w="16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118,716</w:t>
            </w:r>
          </w:p>
        </w:tc>
        <w:tc>
          <w:tcPr>
            <w:tcW w:w="22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234,423</w:t>
            </w:r>
          </w:p>
        </w:tc>
        <w:tc>
          <w:tcPr>
            <w:tcW w:w="16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225,291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8"/>
        </w:trPr>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gridSpan w:val="7"/>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gas (excludes petrochemical)</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53,634</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96,655</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90,171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Petrochemical</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10,196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36,081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utility</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30,374</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51,907</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Traction power</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15,140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21,426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others</w:t>
            </w: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14,939</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28,354</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 by market sector</w:t>
            </w: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127,854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118,716</w:t>
            </w:r>
          </w:p>
        </w:tc>
        <w:tc>
          <w:tcPr>
            <w:tcW w:w="240" w:type="dxa"/>
            <w:vAlign w:val="bottom"/>
            <w:gridSpan w:val="2"/>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234,423</w:t>
            </w:r>
          </w:p>
        </w:tc>
        <w:tc>
          <w:tcPr>
            <w:tcW w:w="16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225,291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 Long-Term Debt</w:t>
            </w: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45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40" w:type="dxa"/>
            <w:vAlign w:val="bottom"/>
          </w:tcPr>
          <w:p>
            <w:pPr>
              <w:spacing w:after="0"/>
              <w:rPr>
                <w:sz w:val="24"/>
                <w:szCs w:val="24"/>
                <w:color w:val="auto"/>
              </w:rPr>
            </w:pPr>
          </w:p>
        </w:tc>
        <w:tc>
          <w:tcPr>
            <w:tcW w:w="17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23"/>
        </w:trPr>
        <w:tc>
          <w:tcPr>
            <w:tcW w:w="458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360" w:type="dxa"/>
            <w:vAlign w:val="bottom"/>
            <w:tcBorders>
              <w:bottom w:val="single" w:sz="8" w:color="CFF0FC"/>
            </w:tcBorders>
          </w:tcPr>
          <w:p>
            <w:pPr>
              <w:spacing w:after="0"/>
              <w:rPr>
                <w:sz w:val="2"/>
                <w:szCs w:val="2"/>
                <w:color w:val="auto"/>
              </w:rPr>
            </w:pPr>
          </w:p>
        </w:tc>
        <w:tc>
          <w:tcPr>
            <w:tcW w:w="114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c>
          <w:tcPr>
            <w:tcW w:w="340" w:type="dxa"/>
            <w:vAlign w:val="bottom"/>
            <w:tcBorders>
              <w:bottom w:val="single" w:sz="8" w:color="CFF0FC"/>
            </w:tcBorders>
          </w:tcPr>
          <w:p>
            <w:pPr>
              <w:spacing w:after="0"/>
              <w:rPr>
                <w:sz w:val="2"/>
                <w:szCs w:val="2"/>
                <w:color w:val="auto"/>
              </w:rPr>
            </w:pPr>
          </w:p>
        </w:tc>
        <w:tc>
          <w:tcPr>
            <w:tcW w:w="84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Industrial development revenue bonds</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40" w:type="dxa"/>
            <w:vAlign w:val="bottom"/>
            <w:tcBorders>
              <w:right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8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long-term debt</w:t>
            </w: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360" w:type="dxa"/>
            <w:vAlign w:val="bottom"/>
            <w:tcBorders>
              <w:top w:val="single" w:sz="8" w:color="CFF0FC"/>
              <w:bottom w:val="single" w:sz="8" w:color="CFF0FC"/>
            </w:tcBorders>
            <w:shd w:val="clear" w:color="auto" w:fill="CFF0FC"/>
          </w:tcPr>
          <w:p>
            <w:pPr>
              <w:spacing w:after="0"/>
              <w:rPr>
                <w:sz w:val="21"/>
                <w:szCs w:val="21"/>
                <w:color w:val="auto"/>
              </w:rPr>
            </w:pPr>
          </w:p>
        </w:tc>
        <w:tc>
          <w:tcPr>
            <w:tcW w:w="114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340" w:type="dxa"/>
            <w:vAlign w:val="bottom"/>
            <w:tcBorders>
              <w:top w:val="single" w:sz="8" w:color="CFF0FC"/>
              <w:bottom w:val="single" w:sz="8" w:color="CFF0FC"/>
            </w:tcBorders>
            <w:shd w:val="clear" w:color="auto" w:fill="CFF0FC"/>
          </w:tcPr>
          <w:p>
            <w:pPr>
              <w:spacing w:after="0"/>
              <w:rPr>
                <w:sz w:val="21"/>
                <w:szCs w:val="21"/>
                <w:color w:val="auto"/>
              </w:rPr>
            </w:pPr>
          </w:p>
        </w:tc>
        <w:tc>
          <w:tcPr>
            <w:tcW w:w="840" w:type="dxa"/>
            <w:vAlign w:val="bottom"/>
            <w:tcBorders>
              <w:top w:val="single" w:sz="8" w:color="CFF0FC"/>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right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Revolver</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 credit agreement with Bank of America, N.A. (as amended, the "U.S. Revolver"), which is a $75.0 million revolving credit facility that is available for both borrowings and letters of credit and expires September 27, 2024. The U.S. Revolver states that up to $30 million may be deducted from the amount of letters of credit outstanding (not to be less than zero) when calculating the consolidated funded indebtedness which is a component of the consolidated net leverage ratio. Additionally, we have the option to cash collateralize all or a portion of the letters of credit outstanding, which would favorably impact the consolidated funded indebtedness calculation and the consolidated net leverage ratio. As of March 31, 2022, there were no amounts borrowed under the U.S. Revolver and letters of credit outstanding were $32.2 million. There was $42.8 million available for the issuance of letters of credit and borrowings under the U.S. Revolver as of March 31, 2022.</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required to maintain certain financial covenants, the most significant of which are a consolidated net leverage ratio less than 3.0 to 1.0 and a consolidated interest coverage ratio of greater than 3.0 to 1.0. Our most restrictive covenant, the consolidated net leverage ratio, is the ratio of earnings before interest, taxes, depreciation, amortization and stock-based compensation (EBITDAS) to funded indebtedness. An increase in indebtedness, which includes letters of credit, or a decrease in EBITDAS could restrict our ability to issue letters of credit or borrow under the U.S. Revolver. Additionally, we must maintain a consolidated cash balance of $30 million at all times, which can be deducted from the letters of credit outstanding as noted above. The U.S. Revolver also contains a "material adverse effect" clause which is a material change in our operations, business, properties, liabilities or condition (financial or otherwise) or a material impairment of our ability to perform our obligations under our credit agreements. As of March 31, 2022, we were in compliance with all of the financial covenants of the U.S. Revolver.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3" w:name="page14"/>
    <w:bookmarkEnd w:id="13"/>
    <w:p>
      <w:pPr>
        <w:jc w:val="both"/>
        <w:spacing w:after="0" w:line="258" w:lineRule="auto"/>
        <w:rPr>
          <w:sz w:val="20"/>
          <w:szCs w:val="20"/>
          <w:color w:val="auto"/>
        </w:rPr>
      </w:pPr>
      <w:r>
        <w:rPr>
          <w:rFonts w:ascii="Times New Roman" w:cs="Times New Roman" w:eastAsia="Times New Roman" w:hAnsi="Times New Roman"/>
          <w:sz w:val="18"/>
          <w:szCs w:val="18"/>
          <w:color w:val="auto"/>
        </w:rPr>
        <w:t>The U.S. Revolver allows the Company to elect that any borrowing under the facility bears an interest rate based on either the base rate or the eurocurrency rate, in each case, plus the applicable rate. The base rate is generally the highest of (a) the federal funds rate plus 0.50%, (b) the Bank of America prime rate or (c) the London Interbank Offered Rate (LIBOR) successor rate plus 1.00%. The applicable rate is generally a range from (0.25)% to 1.75% depending on the type of loan and the Company's consolidated net leverage ratio. On December 31, 2021, the Company entered into a LIBOR Transition Amendment with Bank of America that states that LIBOR will be replaced with a successor rate in accordance with the U.S. Revolver.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Revolver is collateralized by a pledge of 100% of the voting capital stock of each of our domestic subsidiaries and 65% of the voting capital stock of each non-domestic subsidiary. The U.S. Revolver provides for customary events of default and carries cross-default provisions with other existing debt agreements. If an event of default (as defined in the U.S. Revolver) occurs and is continuing, on the terms and subject to the conditions set forth in the U.S. Revolver, amounts and letters of credit outstanding under the U.S. Revolver may be accelerated and may become immediately due and payable.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 Development Revenue Bonds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borrowed $8.0 million in October 2001 through a loan agreement funded with proceeds from tax-exempt industrial development revenue bonds (Bonds) for the completion of our Northlake, Illinois facility. The Bonds matured on October 1, 2021 and our final payment of $0.4 million was made.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Bank Guarantees and Bonds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customers require us to post letters of credit, bank guarantees or surety bonds. These security instruments assure that we will perform under the terms of our contract. In the event of default, the counterparty may demand payment from the bank under a letter of credit or bank guarantee, or performance by the surety under a bond. To date, there have been no significant draws or claims related to security instruments for the periods reported. We were contingently liable for letters of credit of $32.2 million as of March 31, 2022. We also had surety bonds totaling $149.0 million that were outstanding, with additional bonding capacity of $451.0 million available, at March 31, 2022. We have strong surety relationships; however, a change in market conditions or the sureties' assessment of our financial position could cause the sureties to require cash collateralization for undischarged liabilities under the bonds.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 $6.6 million facility agreement (Facility Agreement) between Powell (UK) Limited and a large international bank that provides Powell (UK) Limited the ability to enter into bank guarantees as well as forward exchange contracts and currency options. At March 31, 2022, we had outstanding guarantees totaling $3.2 million and amounts available under this Facility Agreement were $3.4 million. The Facility Agreement provides for customary events of default, and carries cross-default provisions with our U.S. Revolver. If an event of default (as defined in the Facility Agreement) occurs and is continuing, per the terms and subject to the conditions set forth therein, obligations outstanding under the Facility Agreement may be accelerated and declared immediately due and payable. Additionally, we are required to maintain cash collateral for guarantees greater than two years. As of March 31, 2022, we were in compliance with all of the financial covenants of the Facility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G. Stock-Based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our Annual Report on Form 10-K for the fiscal year ended September 30, 2021 for a full description of our existing stock-based compensation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issue restricted stock units (RSUs) to certain officers and key employees of the Company. The fair value of the RSUs is based on the price of our common stock as reported on the NASDAQ Global Market on the grant dates. Typically, these grants vest over a three-year period from the date of issuance and are a blend of time-based and performance-based shares. The portion of the grant that is time-based typically vests over a three-year period on each anniversary of the grant date, based on continued employment. The performance-based shares vest based on the three-year earnings performance of the Company following the grant date. At March 31, 2022, there were 235,502 RSUs outstanding. The RSUs do not have voting rights but do receive dividend equivalents upon vesting which are accrued quarterly. Additionally, the shares of common stock underlying the RSUs are not considered issued and outstanding until vested and common stock is issued.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RSU activity (number of shares) for the six months ended March 31, 2022 is summarized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37"/>
        </w:trPr>
        <w:tc>
          <w:tcPr>
            <w:tcW w:w="8260" w:type="dxa"/>
            <w:vAlign w:val="bottom"/>
          </w:tcPr>
          <w:p>
            <w:pPr>
              <w:spacing w:after="0"/>
              <w:rPr>
                <w:sz w:val="11"/>
                <w:szCs w:val="11"/>
                <w:color w:val="auto"/>
              </w:rPr>
            </w:pPr>
          </w:p>
        </w:tc>
        <w:tc>
          <w:tcPr>
            <w:tcW w:w="13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118"/>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48"/>
        </w:trPr>
        <w:tc>
          <w:tcPr>
            <w:tcW w:w="82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Grant Value</w:t>
            </w:r>
          </w:p>
        </w:tc>
      </w:tr>
      <w:tr>
        <w:trPr>
          <w:trHeight w:val="190"/>
        </w:trPr>
        <w:tc>
          <w:tcPr>
            <w:tcW w:w="826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3"/>
        </w:trPr>
        <w:tc>
          <w:tcPr>
            <w:tcW w:w="8260" w:type="dxa"/>
            <w:vAlign w:val="bottom"/>
            <w:tcBorders>
              <w:bottom w:val="single" w:sz="8" w:color="CFF0F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8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2021</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199,919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30.34</w:t>
            </w: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w:t>
            </w:r>
          </w:p>
        </w:tc>
      </w:tr>
      <w:tr>
        <w:trPr>
          <w:trHeight w:val="229"/>
        </w:trPr>
        <w:tc>
          <w:tcPr>
            <w:tcW w:w="82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(71,767)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32.66</w:t>
            </w:r>
          </w:p>
        </w:tc>
      </w:tr>
      <w:tr>
        <w:trPr>
          <w:trHeight w:val="229"/>
        </w:trPr>
        <w:tc>
          <w:tcPr>
            <w:tcW w:w="826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Forfeited/canceled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235,502</w:t>
            </w:r>
          </w:p>
        </w:tc>
        <w:tc>
          <w:tcPr>
            <w:tcW w:w="320" w:type="dxa"/>
            <w:vAlign w:val="bottom"/>
            <w:tcBorders>
              <w:bottom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26.94</w:t>
            </w:r>
          </w:p>
        </w:tc>
      </w:tr>
      <w:tr>
        <w:trPr>
          <w:trHeight w:val="20"/>
        </w:trPr>
        <w:tc>
          <w:tcPr>
            <w:tcW w:w="82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March 31, 2022 and 2021, we recorded compensation expense of $1.4 million and $1.3 million, respectively, related to the RSUs.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non-employee director receives 2,400 restricted shares of the Company’s common stock annually. Fifty-percent of the restricted stock granted to each of our non-employee directors vests immediately, while the remaining fifty-percent vests on the anniversary of the grant date. Compensation expense is recognized immediately for the first fifty-percent of the restricted stock granted, while compensation expense for the remaining fifty-percent is recognized over the remaining vesting period. In February 2022, 16,800 shares of restricted stock were issued to our non-employee directors under the 2014 Non-Employee Director Equity Incentive Plan at a price of $23.09 per share. During the six months ended March 31, 2022 and 2021, we recorded compensation expense of $0.3 million and $0.4 million, respectively, related to restricted stock.</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Fair Value Measurements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which identifies and prioritizes three levels of inputs to be used in measuring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fair value hierarchy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Observable inputs such as quoted prices (unadjusted) in active markets for identical assets or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data and require the reporting entity to develop its own assumptions.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March 31, 2022 (in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Measurements at March 31, 2022</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1"/>
                <w:szCs w:val="11"/>
                <w:color w:val="auto"/>
              </w:rPr>
            </w:pPr>
          </w:p>
        </w:tc>
        <w:tc>
          <w:tcPr>
            <w:tcW w:w="1720" w:type="dxa"/>
            <w:vAlign w:val="bottom"/>
            <w:gridSpan w:val="3"/>
          </w:tcPr>
          <w:p>
            <w:pPr>
              <w:jc w:val="center"/>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700" w:type="dxa"/>
            <w:vAlign w:val="bottom"/>
            <w:gridSpan w:val="3"/>
          </w:tcPr>
          <w:p>
            <w:pPr>
              <w:jc w:val="center"/>
              <w:ind w:right="56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40" w:type="dxa"/>
            <w:vAlign w:val="bottom"/>
            <w:vMerge w:val="restart"/>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80" w:type="dxa"/>
            <w:vAlign w:val="bottom"/>
          </w:tcPr>
          <w:p>
            <w:pPr>
              <w:spacing w:after="0"/>
              <w:rPr>
                <w:sz w:val="12"/>
                <w:szCs w:val="12"/>
                <w:color w:val="auto"/>
              </w:rPr>
            </w:pPr>
          </w:p>
        </w:tc>
        <w:tc>
          <w:tcPr>
            <w:tcW w:w="172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70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2"/>
                <w:szCs w:val="12"/>
                <w:color w:val="auto"/>
              </w:rPr>
            </w:pPr>
          </w:p>
        </w:tc>
        <w:tc>
          <w:tcPr>
            <w:tcW w:w="1720" w:type="dxa"/>
            <w:vAlign w:val="bottom"/>
            <w:gridSpan w:val="3"/>
          </w:tcPr>
          <w:p>
            <w:pPr>
              <w:jc w:val="center"/>
              <w:ind w:right="52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1700" w:type="dxa"/>
            <w:vAlign w:val="bottom"/>
            <w:gridSpan w:val="3"/>
          </w:tcPr>
          <w:p>
            <w:pPr>
              <w:jc w:val="center"/>
              <w:ind w:right="58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40" w:type="dxa"/>
            <w:vAlign w:val="bottom"/>
          </w:tcPr>
          <w:p>
            <w:pPr>
              <w:jc w:val="center"/>
              <w:ind w:right="158"/>
              <w:spacing w:after="0" w:line="146"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8"/>
        </w:trPr>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72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70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8"/>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86,431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86,431</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27,143</w:t>
            </w: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8,674</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9,024</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September 30, 2021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2021</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680" w:type="dxa"/>
            <w:vAlign w:val="bottom"/>
            <w:gridSpan w:val="3"/>
          </w:tcPr>
          <w:p>
            <w:pPr>
              <w:jc w:val="center"/>
              <w:ind w:right="54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6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178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8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80" w:type="dxa"/>
            <w:vAlign w:val="bottom"/>
            <w:gridSpan w:val="3"/>
          </w:tcPr>
          <w:p>
            <w:pPr>
              <w:jc w:val="center"/>
              <w:ind w:right="560"/>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60" w:type="dxa"/>
            <w:vAlign w:val="bottom"/>
          </w:tcPr>
          <w:p>
            <w:pPr>
              <w:jc w:val="center"/>
              <w:ind w:right="138"/>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7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8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114,314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114,314</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19,667</w:t>
            </w: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guidance requires certain fair value disclosures be presented in both interim and annual reports. The estimated fair value amounts of financial instruments have been determined using available market information and valuation methodologies described below.</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Cash and cash equivalents, primarily funds held in money market savings instruments, are reported at their current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which approximates fair value due to the short-term nature of these instruments and are included in cash and cash equivalents in our Condensed Consolidated Balance Sheets.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Assets and Deferred Compensation </w:t>
      </w:r>
      <w:r>
        <w:rPr>
          <w:rFonts w:ascii="Times New Roman" w:cs="Times New Roman" w:eastAsia="Times New Roman" w:hAnsi="Times New Roman"/>
          <w:sz w:val="18"/>
          <w:szCs w:val="18"/>
          <w:color w:val="auto"/>
        </w:rPr>
        <w:t>– We hold investments in an irrevocable Rabbi Trust for our deferred compensation plan. The assets are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company-owned life insurance policies and are included in other assets in the accompanying Condensed Consolidated Balance Sheets. Because the mutual funds and company-owned life insurance policies are combined in the plan, they are categorized as Level 2 in the fair value measurement hierarchy. The deferred compensation liability represents the investment options that the plan participants have designated to serve as the basis for measurement of the notional value of their accounts. Because the deferred compensation liability is intended to offset the plan assets, it is also categorized as Level 2 in the fair value measurement hierarchy.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levels within the fair value measurement hierarchy during the quarter ended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 Leases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leases consist primarily of office and manufacturing space and construction equipment. All of our future lease obligations are related to non-cancelable operating leases. The most significant portion of our lease portfolio relates to leases of office and manufacturing facilities in Canada which we no longer occupy. We currently sublease the majority of these Canadian facilities. The following table provides a summary of lease cost components for the three and six months ended March 31, 2022 and 2021, respectively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40" w:type="dxa"/>
            <w:vAlign w:val="bottom"/>
            <w:gridSpan w:val="2"/>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629</w:t>
            </w:r>
          </w:p>
        </w:tc>
        <w:tc>
          <w:tcPr>
            <w:tcW w:w="24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29"/>
        </w:trPr>
        <w:tc>
          <w:tcPr>
            <w:tcW w:w="4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Less: sublease income</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3"/>
                <w:szCs w:val="23"/>
                <w:color w:val="auto"/>
                <w:vertAlign w:val="superscript"/>
              </w:rPr>
              <w:t>(1)</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Short-term lease cost</w:t>
            </w:r>
            <w:r>
              <w:rPr>
                <w:rFonts w:ascii="Times New Roman" w:cs="Times New Roman" w:eastAsia="Times New Roman" w:hAnsi="Times New Roman"/>
                <w:sz w:val="23"/>
                <w:szCs w:val="23"/>
                <w:color w:val="auto"/>
                <w:vertAlign w:val="superscript"/>
              </w:rPr>
              <w:t>(2)</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319</w:t>
            </w:r>
          </w:p>
        </w:tc>
        <w:tc>
          <w:tcPr>
            <w:tcW w:w="2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880</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Variable lease cost represents common area maintenance charges related to our Canadian office space lease.</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Short-term lease cost includes leases and rentals with initial terms of one year or less.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operating lease assets and operating lease liabilities representing the present value of the remaining lease payments for leases with initial terms greater than twelve months. Leases with initial terms of twelve months or less are not recorded in our Condensed Consolidated Balance Sheets. As of March 31, 2022 and September 30, 2021, our operating lease assets have been reduced by a lease accrual of $0.3 million and $0.4 million, respectively, related to certain unused facility leases in Canada. The following table provides a summary of the operating lease assets and operating lease liabilities included in our Condensed Consolidated Balance Sheets as of March 31, 2022 and September 30, 2021, respectively (in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 2021</w:t>
            </w:r>
          </w:p>
        </w:tc>
      </w:tr>
      <w:tr>
        <w:trPr>
          <w:trHeight w:val="223"/>
        </w:trPr>
        <w:tc>
          <w:tcPr>
            <w:tcW w:w="64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170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3,205</w:t>
            </w:r>
          </w:p>
        </w:tc>
        <w:tc>
          <w:tcPr>
            <w:tcW w:w="4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20" w:type="dxa"/>
            <w:vAlign w:val="bottom"/>
          </w:tcPr>
          <w:p>
            <w:pPr>
              <w:spacing w:after="0"/>
              <w:rPr>
                <w:sz w:val="19"/>
                <w:szCs w:val="19"/>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64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29"/>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7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1,629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20" w:type="dxa"/>
            <w:vAlign w:val="bottom"/>
          </w:tcPr>
          <w:p>
            <w:pPr>
              <w:spacing w:after="0"/>
              <w:rPr>
                <w:sz w:val="19"/>
                <w:szCs w:val="19"/>
                <w:color w:val="auto"/>
              </w:rPr>
            </w:pPr>
          </w:p>
        </w:tc>
      </w:tr>
      <w:tr>
        <w:trPr>
          <w:trHeight w:val="230"/>
        </w:trPr>
        <w:tc>
          <w:tcPr>
            <w:tcW w:w="6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7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1,836</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70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3,465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20" w:type="dxa"/>
            <w:vAlign w:val="bottom"/>
            <w:tcBorders>
              <w:bottom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47"/>
        </w:trPr>
        <w:tc>
          <w:tcPr>
            <w:tcW w:w="8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provides the maturities of our operating lease liabilities as of March 31, 2022 (in thousands):</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7"/>
        </w:trPr>
        <w:tc>
          <w:tcPr>
            <w:tcW w:w="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Operating Leases</w:t>
            </w:r>
          </w:p>
        </w:tc>
      </w:tr>
      <w:tr>
        <w:trPr>
          <w:trHeight w:val="223"/>
        </w:trPr>
        <w:tc>
          <w:tcPr>
            <w:tcW w:w="40" w:type="dxa"/>
            <w:vAlign w:val="bottom"/>
          </w:tcPr>
          <w:p>
            <w:pPr>
              <w:spacing w:after="0"/>
              <w:rPr>
                <w:sz w:val="19"/>
                <w:szCs w:val="19"/>
                <w:color w:val="auto"/>
              </w:rPr>
            </w:pPr>
          </w:p>
        </w:tc>
        <w:tc>
          <w:tcPr>
            <w:tcW w:w="6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17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7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7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present value discount (imputed interest)</w:t>
            </w:r>
          </w:p>
        </w:tc>
        <w:tc>
          <w:tcPr>
            <w:tcW w:w="17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7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discount rate as of March 31, 2022 was 3.81%. The weighted average remaining lease term was 1.96 years at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J.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the effective tax rate is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Pr>
          <w:p>
            <w:pPr>
              <w:spacing w:after="0"/>
              <w:rPr>
                <w:sz w:val="16"/>
                <w:szCs w:val="16"/>
                <w:color w:val="auto"/>
              </w:rPr>
            </w:pPr>
          </w:p>
        </w:tc>
        <w:tc>
          <w:tcPr>
            <w:tcW w:w="3000" w:type="dxa"/>
            <w:vAlign w:val="bottom"/>
            <w:gridSpan w:val="4"/>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4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4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595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(1,171)</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(3,692)</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(1,430)</w:t>
            </w:r>
          </w:p>
        </w:tc>
      </w:tr>
      <w:tr>
        <w:trPr>
          <w:trHeight w:val="216"/>
        </w:trPr>
        <w:tc>
          <w:tcPr>
            <w:tcW w:w="4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1,812</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(946)</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371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(841)</w:t>
            </w:r>
          </w:p>
        </w:tc>
      </w:tr>
      <w:tr>
        <w:trPr>
          <w:trHeight w:val="162"/>
        </w:trPr>
        <w:tc>
          <w:tcPr>
            <w:tcW w:w="42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(1,217)</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(4,063)</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(589)</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bl>
    <w:p>
      <w:pPr>
        <w:spacing w:after="0" w:line="30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During interim reporting periods, the provision for income taxes is calculated by applying an estimated annual effective tax rate to year-to-date ordinary pre-tax income (loss). As a result, a significant variation in the customary relationship between income tax expense and pre-tax income may occur. Due to the estimated Research and Development Tax Credit (R&amp;D Tax Credit) as well as the projected utilization of net operating loss carryforwards in Canada that were fully reserved with a valuation allowance, we are projecting an income tax benefit for the full fiscal year ended September 30, 2022, which would</w:t>
      </w:r>
    </w:p>
    <w:p>
      <w:pPr>
        <w:spacing w:after="0" w:line="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result in a negative effective tax rate. When this annual effective tax rate is applied to the year-to-date loss, a tax provision results </w:t>
      </w:r>
      <w:r>
        <w:rPr>
          <w:rFonts w:ascii="Times New Roman" w:cs="Times New Roman" w:eastAsia="Times New Roman" w:hAnsi="Times New Roman"/>
          <w:sz w:val="21"/>
          <w:szCs w:val="21"/>
          <w:color w:val="auto"/>
        </w:rPr>
        <w:t>f</w:t>
      </w:r>
      <w:r>
        <w:rPr>
          <w:rFonts w:ascii="Times New Roman" w:cs="Times New Roman" w:eastAsia="Times New Roman" w:hAnsi="Times New Roman"/>
          <w:sz w:val="18"/>
          <w:szCs w:val="18"/>
          <w:color w:val="auto"/>
        </w:rPr>
        <w:t>or the three and six months ended March 31, 2022. The effective tax rate was largely impacted by the change in the annual estimated relative amounts of income (loss) recognized in the various tax jurisdictions.</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March 31, 2021, the income tax benefit resulted from the relative amounts of income (loss) recognized in various tax jurisdictions, the utilization of net operating loss carryforwards in Canada that have been fully reserved with a valuation allowance, and the estimated R&amp;D Tax Credit.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recorded valuation allowances against the deferred tax assets of various foreign jurisdictions as it was determined that it was more-likely-than-not</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that the deferred tax assets may not be recognized. We maintain a full valuation allowance on our deferred tax assets until there is sufficient evidence to support the reversal of all or some portion of these allowances. However, given our current earnings and anticipated future earnings in Canada, we believe that there is a possibility that within the next 12 months, sufficient positive evidence may become available to allow us to reach a conclusion that a significant portion of the Canadian valuation allowance will no longer be needed. A release of the valuation allowance would result in the recognition of certain net deferred tax assets and a decrease to income tax expense for the period the release is recorded. However, the exact timing and amount of the valuation allowance released are subject to change on the basis of the level of profitability that we believe we may be able to achieve.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Dividend Declared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3, 2022, our Board of Directors declared a quarterly cash dividend on our common stock in the amount of $0.26 per share. The dividend is payable on June 15, 2022 to shareholders of record at the close of business on May 18,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including the following discussion to inform our existing and potential shareholders generally of some of the risks and uncertainties that can affect our Company and to take advantage of the “safe harbor” protection for forward-looking statements that applicable federal securities law affords.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our management or persons acting on our behalf may make forward-looking statements to inform existing and potential shareholders about our Company. These statements may include projections and estimates concerning the timing and success of specific projects and our future backlog, revenues, income, acquisitions and capital spending. Forward-looking statements include information concerning future results of operations and financial condition. Statements that contain words such as “believes,” “expects,” “anticipates,” “intends,” “estimates,” “continue,” “should,” “could,” “may,” “plan,” “project,” “predict,” “will” or similar expressions may be forward-looking statements. In addition, sometimes we will specifically describe a statement as being a forward-looking statement and refer to this cautionary statement.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various statements in this Quarterly Report on Form 10-Q, including those that express a belief, expectation or intention, as well as those that are not statements of historical fact, are forward-looking statements. These forward-looking statements speak only as of the date of this report; we disclaim any obligation to update these statements unless required by securities law,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risks, contingencies and uncertainties relate to, among other matters, the following: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Business and Industry</w:t>
      </w:r>
    </w:p>
    <w:p>
      <w:pPr>
        <w:spacing w:after="0" w:line="121" w:lineRule="exact"/>
        <w:rPr>
          <w:sz w:val="20"/>
          <w:szCs w:val="20"/>
          <w:color w:val="auto"/>
        </w:rPr>
      </w:pPr>
    </w:p>
    <w:p>
      <w:pPr>
        <w:ind w:left="620" w:hanging="329"/>
        <w:spacing w:after="0" w:line="282" w:lineRule="auto"/>
        <w:tabs>
          <w:tab w:leader="none" w:pos="6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the cyclical nature of the end markets that we serve. This has had, and may continue to have, an adverse effect on our future operating results.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may make existing products and production methods obsolete.</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difficulties with expansions, relocations or consolidations of existing facilities could adversely affect our operations.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problems with our products could harm our reputation and erode our competitive position.</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and product diversification through strategic acquisitions involves a number of risks.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requires skilled and unskilled labor, and we may be unable to attract and retain qualified employees.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relating to the use of subcontractors on some of our projects.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Misconduct by our employees or subcontractors, or a failure to </w:t>
      </w:r>
      <w:r>
        <w:rPr>
          <w:rFonts w:ascii="Times New Roman" w:cs="Times New Roman" w:eastAsia="Times New Roman" w:hAnsi="Times New Roman"/>
          <w:sz w:val="18"/>
          <w:szCs w:val="18"/>
          <w:color w:val="252525"/>
        </w:rPr>
        <w:t>comply with laws or regulations, could harm our reputation, damage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relationships with customers and subject us to criminal and civil enforcement actions.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4"/>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Unsatisfactory safety performance may subject us to penalties, negatively impact customer relationships, result in higher operating costs, and negatively impact employee morale and turnover.</w:t>
      </w:r>
    </w:p>
    <w:p>
      <w:pPr>
        <w:spacing w:after="0" w:line="53" w:lineRule="exact"/>
        <w:rPr>
          <w:rFonts w:ascii="Times New Roman" w:cs="Times New Roman" w:eastAsia="Times New Roman" w:hAnsi="Times New Roman"/>
          <w:sz w:val="18"/>
          <w:szCs w:val="18"/>
          <w:color w:val="252525"/>
        </w:rPr>
      </w:pPr>
    </w:p>
    <w:p>
      <w:pPr>
        <w:ind w:left="620" w:hanging="329"/>
        <w:spacing w:after="0" w:line="282" w:lineRule="auto"/>
        <w:tabs>
          <w:tab w:leader="none" w:pos="615" w:val="left"/>
        </w:tabs>
        <w:numPr>
          <w:ilvl w:val="0"/>
          <w:numId w:val="4"/>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auto"/>
        </w:rPr>
        <w:t>Catastrophic events, including natural disasters, health epidemics (including the COVID-19 pandemic), acts of war and terrorism, among others, could disrupt our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Financial Condition and Markets</w:t>
      </w:r>
    </w:p>
    <w:p>
      <w:pPr>
        <w:spacing w:after="0" w:line="121" w:lineRule="exact"/>
        <w:rPr>
          <w:sz w:val="20"/>
          <w:szCs w:val="20"/>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uncertainty and financial market conditions may impact our customer base, suppliers and backlog.</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is subject to unexpected adjustments, cancellations and scope reductions and, therefore, may not be a reliable indicator of our future earnings.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recognized over time from our fixed-price contracts could result in volatility in our results of operations.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contracts contain performance obligations that may subject us to penalties or additional liabilities.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and supply of materials used to manufacture our products may reduce our profits and could adversely impact our ability to meet commitments to our customers.</w:t>
      </w:r>
    </w:p>
    <w:p>
      <w:pPr>
        <w:spacing w:after="0" w:line="53" w:lineRule="exact"/>
        <w:rPr>
          <w:rFonts w:ascii="Times New Roman" w:cs="Times New Roman" w:eastAsia="Times New Roman" w:hAnsi="Times New Roman"/>
          <w:sz w:val="18"/>
          <w:szCs w:val="18"/>
          <w:color w:val="auto"/>
        </w:rPr>
      </w:pPr>
    </w:p>
    <w:p>
      <w:pPr>
        <w:ind w:left="620" w:right="20" w:hanging="329"/>
        <w:spacing w:after="0" w:line="282" w:lineRule="auto"/>
        <w:tabs>
          <w:tab w:leader="none" w:pos="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surety bonds, letters of credit, bank guarantees, or other financial assurances, may be necessary for us to successfully bid on and obtain certain contracts.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 w:name="page20"/>
    <w:bookmarkEnd w:id="19"/>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remain in compliance with covenants or obtain waivers or amendments under our credit agreement could adversely impact our business.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extend credit to customers in conjunction with our performance under fixed-price contracts which subjects us to potential credit risks.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revenues may be concentrated among a small number of customers.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carry insurance against many potential liabilities, but our management of risk may leave us exposed to unidentified or unanticipated risks.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expose us to risks that are different from, or possibly greater than, the risks we are exposed to domestically and may adversely affect our operations.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weaknesses in our internal controls over financial reporting could adversely affect our ability to report on our financial condition and results of operations accurately and/or on a timely basis.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our business systems or cyber security attacks on any of our facilities, or those of third parties, could adversely affect our business and our internal controls.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Common Stock</w:t>
      </w:r>
    </w:p>
    <w:p>
      <w:pPr>
        <w:spacing w:after="0" w:line="121" w:lineRule="exact"/>
        <w:rPr>
          <w:sz w:val="20"/>
          <w:szCs w:val="20"/>
          <w:color w:val="auto"/>
        </w:rPr>
      </w:pPr>
    </w:p>
    <w:p>
      <w:pPr>
        <w:ind w:left="620" w:hanging="329"/>
        <w:spacing w:after="0" w:line="282" w:lineRule="auto"/>
        <w:tabs>
          <w:tab w:leader="none" w:pos="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could decline or fluctuate significantly due to unforeseen circumstances. These fluctuations may cause our stockholders to incur losses.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declare or pay future dividends on our common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Legal and Regulatory Matters</w:t>
      </w:r>
    </w:p>
    <w:p>
      <w:pPr>
        <w:spacing w:after="0" w:line="121" w:lineRule="exact"/>
        <w:rPr>
          <w:sz w:val="20"/>
          <w:szCs w:val="20"/>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could be adversely impacted by the effects of government regulations.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environmental laws and regulations, including those regarding climate change, could adversely impact our financial results.</w:t>
      </w:r>
    </w:p>
    <w:p>
      <w:pPr>
        <w:spacing w:after="0" w:line="53" w:lineRule="exact"/>
        <w:rPr>
          <w:rFonts w:ascii="Times New Roman" w:cs="Times New Roman" w:eastAsia="Times New Roman" w:hAnsi="Times New Roman"/>
          <w:sz w:val="18"/>
          <w:szCs w:val="18"/>
          <w:color w:val="auto"/>
        </w:rPr>
      </w:pPr>
    </w:p>
    <w:p>
      <w:pPr>
        <w:ind w:left="620" w:right="20" w:hanging="329"/>
        <w:spacing w:after="0" w:line="282" w:lineRule="auto"/>
        <w:tabs>
          <w:tab w:leader="none" w:pos="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our charter documents or Delaware law could delay or prevent an acquisition of our company, even if the acquisition would be beneficial to our stockholders, and could make it more difficult to change management.</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developments arising from tariffs and other economic proposals could adversely impact our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21" w:lineRule="exact"/>
        <w:rPr>
          <w:sz w:val="20"/>
          <w:szCs w:val="20"/>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Actual and potential claims, lawsuits and proceedings could ultimately reduce our profitability and liquidity and weaken our financial condition.</w:t>
      </w:r>
    </w:p>
    <w:p>
      <w:pPr>
        <w:spacing w:after="0" w:line="117" w:lineRule="exact"/>
        <w:rPr>
          <w:rFonts w:ascii="Times New Roman" w:cs="Times New Roman" w:eastAsia="Times New Roman" w:hAnsi="Times New Roman"/>
          <w:sz w:val="18"/>
          <w:szCs w:val="18"/>
          <w:b w:val="1"/>
          <w:bCs w:val="1"/>
          <w:i w:val="1"/>
          <w:iCs w:val="1"/>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 may change our effective tax rate and could have a material effect on our financial results.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departure of key personnel could disrupt our business.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the items we have outlined above are important factors that could cause estimates included in our financial statements and those expressed in a forward-looking statement made in this report or elsewhere by us or on our behalf to differ materially from actual results and those expressed in a forward-looking statement made in this report or elsewhere by us or on our behalf. We have discussed these factors in more detail in our Annual Report on Form 10-K for the year ended September 30, 2021. These factors are not necessarily all of the factors that could affect us. Unpredictable or unanticipated factors we have not discussed in this report could also have material adverse effects on actual results. We do not intend to update our description of important factors each time a potential important factor arises, except as required by applicable securities laws and regulations. We advise our shareholders that they should (1) be aware that factors not referred to above could affect the accuracy of our forward-looking statements and (2) use caution when considering our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accompanying condensed consolidated financial statements and related notes included elsewhere in this Quarterly Report on Form 10-Q and with our Annual Report on Form 10-K for the year ended September 30, 2021, which was filed with the Securities and Exchange Commission (SEC) on December 8, 2021 and is available on the SEC’s website at www.sec.gov.</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develop, design, manufacture and service custom-engineered equipment and systems which (1) distribute, control and monitor the flow of electrical energy and (2) provide protection to motors, transformers and other electrically powered equipment. We are headquartered in Houston, Texas, and serve the oil and gas and petrochemical markets, which include onshore and offshore production, liquefied natural gas (LNG) facilities and terminals, pipelines, refineries and petrochemical plants. Additional markets include electric utility and light rail traction power as well as mining and metals, pulp and paper and other municipal, commercial and industrial markets. Revenues and costs are primarily related to custom engineered-to-order equipment and systems</w:t>
      </w:r>
    </w:p>
    <w:p>
      <w:pPr>
        <w:spacing w:after="0" w:line="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are accounted for under percentage-of-completion accounting, which precludes us from providing detailed price and volume information. Our backlog includes various projects that typically take a number of months to produce.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markets in which we participate are capital-intensive and cyclical in nature. Cyclicality is predominantly driven by customer demand, global economic and geopolitical conditions and anticipated environmental, safety or regulatory changes which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customer requirements, and projects typically take a number of months to produce. Schedules may change during the course of any particular project, and our operating results can, therefore, be impacted by factors outside of our control.</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Within the industrial sector, specifically oil, gas and petrochemical, the demand for our electrical distribution solutions is very cyclical and closely correlated to the level of capital expenditures of our end-user customers as well as prevailing global economic conditions.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the combination of a growing global economy, abundant sources of favorably priced natural gas feedstock, and an energy industry focus on transition to natural gas and cleaner-burning fuels drove an increase in capital investment opportunities, specifically across the oil, gas and petrochemical sectors. Some of these opportunities were for natural gas related projects targeting global demand for cleaner-burning fuels. Additionally, projects within the domestic petrochemical sector benefited from the low feedstock prices of natural gas. Specific to natural gas, the business was awarded a substantial contract in the second quarter of Fiscal 2020 that will support the integrated electrical distribution requirements for a large domestic industrial complex and should be substantially completed in Fiscal 2022. We began to experience reduced commercial activity in Fiscal 2020 driven in large part by the uncertainties across our industrial end markets in the U.S. resulting from the COVID-19 pandemic. Considering the long cycle nature of our business, these cyclical conditions may persist throughout the remainder of Fiscal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Global Economic Uncertainty and Oil and Gas Commodity Market Volatility on Powell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Various factors resulting in global economic uncertainty have negatively impacted our results over the last 18 months. In particular, the COVID-19 pandemic continues to impact global energy markets. This pandemic has negatively impacted demand, which in turn has resulted in considerable volatility across global oil and gas commodity markets. The pandemic and global economic uncertainty have had a negative impact on the demand for our products and services as well as our operations as a result of the associated reduction in oil and gas demand and volatility in commodity prices noted above. As a result, some of our industrial customers have deferred or suspended their planned capital expenditures. During this period, certain of our customers have asked that we delay or cancel our manufacturing on their projects as their operations have been negatively impacted by this pandemic and the reduced oil and gas demand, which has resulted in recognition of cancellation fees based on contract terms and the extent of our progress on the projects. We continue to work with our key suppliers who are facing various issues related to the availability and timing of the receipt of key component parts and commodities to ensure that we are able to meet our customer commitments.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8"/>
          <w:szCs w:val="18"/>
          <w:color w:val="auto"/>
        </w:rPr>
        <w:t>In response to the lower demand across select end markets, we have taken and will continue to take various actions to reduce costs. During Fiscal 2020, we reduced our global workforce and our capital and discretionary spending in response to business conditions. We continued to operate at these lower thresholds throughout Fiscal 2021 and the first half of Fiscal 2022 and will continue to consistently monitor the macro-economic conditions throughout the remainder of Fiscal 2022.</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further under the heading "Outlook" below, it is difficult to predict the economic impact that this pandemic, as well as reduced oil and gas demand, supply chain issues and inflationary pressures, may have on our business, results of operations and cash flows going forward.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 Ended March 31, 2022 Compared to the Quarter Ended March 31, 2021 (Unaudited)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Gross Profit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increased by 8%, or $9.1 million, to $127.9 million in the second quarter of Fiscal 2022. Domestic revenues decreased by 1%, or $0.9 million, to $87.0 million in the second quarter of Fiscal 2022. Included in our domestic revenues in the oil and gas markets is our large domestic industrial project awarded in Fiscal 2020, which accounted for approximately 16% of our consolidated revenues for the second quarter of Fiscal 2022 compared to 20% in the same period of the prior year. International revenues increased by 33%, or $10.1 million, to $40.9 million in the second quarter of Fiscal 2022. Our international revenues include both revenues generated from our international facilities as well as revenues from export projects generated at our domestic facilities.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our core oil and gas markets (excluding petrochemical) increased by 7%, or $3.5 million, to $53.6 million in the second quarter of Fiscal 2022, while petrochemical revenue increased by 85%, or $8.7 million, to $18.9 million in the second quarter of Fiscal 2022, primarily due to project mix. Revenue from our utility markets increased by 7%, or $1.9 million, to $30.4 million, and traction market revenue decreased by 34%, or $5.1 million, to $10.1 million in the second quarter of Fiscal 2022. Revenue from all other markets combined increased by $0.2 million to $14.9 million in the second quarter of Fiscal 2022.</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increased by 11%, or $1.9 million, to $19.1 million for the second quarter of Fiscal 2022. Gross profit as a percentage of revenues increased to 15% in the second quarter of Fiscal 2022, compared to 14% in the second quarter of Fiscal 2021. The increase in gross profit was driven predominately by increased volume and operating efficiencies across most of our North American operations and improved project execution and performance from our UK operations in the second quarter of Fiscal 2022. This incremental increase in gross profit incorporates favorable productivity and pricing impacts, offset by inflationary pressures across our supply base.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by 2%, or $0.4 million, to $17.1 million in the second quarter of Fiscal 2022, primarily due to increased bad debt expense. Selling, general and administrative expenses as a percentage of revenues decreased to 13% during the second quarter of Fiscal 2022 compared to 14% during the second quarter of Fiscal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other income of $0.3 million in the second quarter of Fiscal 2022 related to a gain on the sale of land. We did not record other income during the second quarter of Fiscal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Benefit/Provision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an income tax provision of $1.8 million in the second quarter of Fiscal 2022, compared to an income tax benefit of $0.9 million in the second quarter of Fiscal 2021. The effective tax rate for the second quarter of Fiscal 2022 was 305%, compared to an effective tax rate of 81% in the second quarter of Fiscal 2021. For the three months ended March 31, 2022, the effective tax rate was negatively impacted by the change in the annual estimated relative amounts of income (loss) recognized in the various tax jurisdictions. The tax provision recorded in the second quarter of Fiscal 2022 resulted from an increase in forecasted pre-tax income.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second quarter of Fiscal 2022, we recorded a net loss of $1.2 million, or $0.10 per diluted share, compared to a net loss of $0.2 million, or $0.02 per diluted share, in the second quarter of Fiscal 2021. This increase in net loss is primarily due to the provision for income taxes resulting from applying an estimated annual effective tax rate to year-to-date ordinary pre-tax income (loss).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order backlog at March 31, 2022 was $440.0 million, an increase of 6% from $416.0 million at December 31, 2021 and a slight increase from $436.6 million at March 31, 2021. Bookings, net of cancellations and scope reductions, increased by 70% in the second quarter of Fiscal 2022 to $150.8 million, compared to $88.5 million in the second quarter of Fiscal 2021, primarily driven by activity outside of our oil and gas and petrochemical sectors.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March 31, 2022 Compared to the Six Months Ended March 31, 2021 (Unaudited)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Gross Profit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increased by 4%, or $9.1 million, to $234.4 million in the six months ended March 31, 2022. Revenues continue to be negatively impacted due to project delays and cancellations of potential projects associated with the global economic impact resulting from the COVID-19 pandemic and associated reduction in demand across our industrial end markets. Domestic revenues increased slightly to $169.1 million in the six months ended March 31, 2022. International revenues increased by 15.0%, or $8.5 million, to $65.3 million. Our international revenues include both revenues generated from our international facilities as well as revenues from export projects generated at our domestic facilities.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our core oil and gas markets (excluding petrochemical) increased by 7%, or $6.5 million, to $96.7 million in the six months ended March 31, 2022, while petrochemical revenue increased by 86%, or $16.7 million, to $36.1 million in the first half of Fiscal 2022, primarily due to project mix. Revenue from our utility markets decreased by 8%, or $4.7 million, to $51.9 million, and traction market revenue decreased by 25%, or $7.1 million, to $21.4 million in the six months ended March 31, 2022. Revenue from all other markets combined decreased by 7%, or $2.3 million, to $28.3 million in the six months ended March 31, 2022.</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decreased by 8%, or $2.9 million, to $32.5 million as compared to the first half of Fiscal 2021. The decrease in gross profit was driven predominately by higher direct material costs. Gross profit may continue to be negatively impacted by higher material costs to the extent we are not able to pass these increases to our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by 2%, or $0.6 million, to $33.0 million in the six months ended March 31, 2022, primarily due to decreased variable incentive compensation. Selling, general and administrative expenses as a percentage of revenues decreased to 14% during the six months ended March 31, 2022 compared to 15% during the six months ended March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other income of $0.3 million in the six months ended March 31, 2022 related to a gain on the sale of land. We did not record other income during the six months ended March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Benefit/Provision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recorded an income tax provision of $0.4 million in the six months ended March 31, 2022, compared to an income tax benefit of $0.8 million in the six months ended March 31, 2021. The effective tax rate for the six months ended March 31, 2022 was negative 10%, compared to an effective tax rate of 59% for the six months ended March 31, 2021. For the six months ended March 31, 2022, the effective tax rate was negatively impacted by the change in the annual estimated relative amounts of income (loss) recognized in the various tax jurisdictions. The effective tax rate was favorably impacted by the estimated R&amp;D Tax Credit and the projected utilization of net operating loss carryforwards in Canada that were fully reserved with a valuation allowance in the six months ended March 31, 2022 and 2021.</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six months ended March 31, 2022, we recorded a net loss of $4.1 million, or $0.34 per diluted share, compared to a net loss of $0.6 million, or $0.05 per diluted share, in the six months ended March 31, 2021. This increase in net loss is due to a decline in gross profit as discussed above.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order backlog at March 31, 2022 was $440.0 million, an increase of 6% from $414.9 million at September 30, 2021. Bookings, net of cancellations and scope reductions, increased by 44% during the six months ended March 31, 2022 to $258.5 million, compared to $179.6 million in the six months ended March 31,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noted in "Overview" above, the markets in which we participate are capital-intensive and cyclical in nature. A significant portion of our revenues has historically been from the oil, gas and petrochemical markets. Oil and gas commodity price levels have been unstable over the last several years, and our customers have in certain cases delayed or cancelled some of their major capital investment projects. Recently we have seen increased global demand for cleaner-burning fuels; however, the uncertainty in oil prices and the global economic impacts from COVID-19, including supply chain disruptions and associated inflationary pressures, as well as other geopolitical events may have a negative impact on our business going forward, as discussed in more detail below. Specific to the energy industry focus on transitioning to natural gas and cleaner-burning fuels, the business was awarded a substantial contract in Fiscal 2020 that will support the integrated electrical distribution requirements for a large domestic industrial complex and should be substantially completed in Fiscal 2022.</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operating results are impacted by factors such as the timing of new order awards, customer approval of final engineering and design specifications and delays in customer construction schedules, all of which contribute to short-term earnings variability and the timing of project execution. Our operating results also have been, and may continue to be, impacted by the timing and resolution of change orders, project close-out and resolution of potential contract claims and liquidated damages, all of which could improve or deteriorate gross margins during the period in which these items are resolved with our customers. Disruption in the global supply chain has negatively impacted our business as well due to the reduction in availability and uncertainty in the timing of the receipt of certain key component parts and commodities. These factors may result in periods of underutilization of our resources and facilities, which may negatively impact our ability to cover our fixed costs, or inhibit our ability to deliver completed products on time. We experienced lower commercial activity in Fiscal 2020 and Fiscal 2021 driven in large part from the uncertainty resulting from the COVID-19 pandemic, as discussed in "Overview" above. Considering the long cycle nature of our business, we anticipate these cyclical conditions may persist throughout the remainder of Fiscal 2022. We will continue to remain focused on the variables that impact our markets as well as cost management, labor and supply chain challenges. We will also continue to adjust to the global conditions in order to maintain competitive cost and technological advantages in the markets that we serve.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consequences of a prolonged economic decline could include, but are not limited to, a continued reduction in commercial and industrial activity. The Company cannot reasonably estimate the duration or severity of these global economic challenges, or the extent to which the resulting disruptions may materially impact our business, results of operations or cash flows. We will take prudent measures to maintain our strong liquidity and cash position, which may include reducing our capital expenditures and research and development costs, as well as reducing or eliminating future dividend payments.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current assets exceeded current liabilities by 2.3 times.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cash equivalents and short-term investments decreased to $113.6 million at March 31, 2022, compared to $134.0 million at September 30, 2021. This decrease in cash was primarily driven by increases in each of accounts receivable and inventory. We have strategically increased certain inventories due to uncertainty from the global supply chain issues impacting our business. We believe that our strong working capital position, available borrowings under our credit facility and available cash should be sufficient to finance future operating activities, capital improvements, research and development initiatives and debt repayments for the foreseeable future.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credit agreement with Bank of America, N.A. (as amended, the "U.S. Revolver") which is a $75.0 million revolving credit facility available for both borrowings and letters of credit and expires September 27, 2024. The U.S. Revolver states that up to $30 million may be deducted from the amount of letters of credit outstanding (not to be less than zero) when calculating the consolidated funded indebtedness which is a component of the consolidated net leverage ratio. Additionally, we have the option to cash collateralize all or a portion of the letters of credit outstanding, which would favorably impact the consolidated funded indebtedness calculation and the consolidated net leverage ratio.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4" w:name="page25"/>
    <w:bookmarkEnd w:id="24"/>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 2021, our industrial development revenue bonds matured and as a result we had no long-term debt at March 31, 2022. As of March 31, 2022, there were no amounts borrowed under the U.S. Revolver, and letters of credit outstanding were $32.2 million. As of March 31, 2022, $42.8 million was available for the issuance of letters of credit and borrowing under the U.S. Revolver. We are required to maintain certain financial covenants, the most significant of which are a consolidated net leverage ratio of less than 3.0 to 1.0 and a consolidated interest coverage ratio of greater than 3.0 to 1.0. Our most restrictive covenant, the consolidated net leverage ratio, is the ratio of earnings before interest, taxes, depreciation, amortization and stock-based compensation (EBITDAS) to funded indebtedness, which includes letters of credit. An increase in indebtedness or a decrease in EBITDAS could restrict our ability to issue letters of credit or borrow under the U.S. Revolver. For further information regarding our debt, see Notes E and F of Notes to Condensed Consolidated Financial Statements.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Approximately $30.4 million of our cash, cash equivalents and short-term investments at March 31, 2022 was held outside of the U.S. for our international operations. It is our intention to indefinitely reinvest all current and future foreign earnings internationally in order to ensure sufficient working capital to support our international operations. In the event that we elect to repatriate some or all of the foreign earnings that were previously deemed to be indefinitely reinvested outside the U.S., we may incur additional tax expense upon such repatriation under current tax laws.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activities used net cash of $13.0 million during the six months ended March 31, 2022 and $18.1 million during the same period in Fiscal 2021. Cash flow from operations is primarily influenced by the timing of milestone payments from our customers, project volume and the payment terms with our suppliers. This increase in operating cash flow was primarily due to the timing of contract billing milestones although slightly offset by the increase in accounts receivable. The strategic increase in inventory as a result of the uncertainty in the global supply chain negatively impacted cash flow for the first six months of Fiscal 2022.</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Investing activities used $7.6 million during the six months ended March 31, 2022 and $1.2 million during the same period in Fiscal 2021. The increase in cash used in investing activities in the first six months of Fiscal 2022 was primarily due to short-term investment activity.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$7.2 million during the six months ended March 31, 2022 and $7.1 million during the same period in Fiscal 2021, which primarily consisted of approximately $6.1 million of dividends paid in each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condensed consolidated financial statements, which have been prepared in accordance with U.S. GAAP. The preparation of these condensed consolidated financial statements requires management to make estimates and assumptions that affect the reported amounts of assets and liabilities, disclosures of contingent assets and liabilities known to exist at the date of the condensed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not differ from those estimates.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as disclosed in our Annual Report on Form 10-K for the fiscal year ended September 30, 2021, which was filed with the SEC on December 8, 2021.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certain market risks arising from transactions we have entered into in the normal course of business. These risks primarily relate to fluctuations in market conditions, commodity prices, foreign currency transactions and interest rates.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general market risk and its potential impact on accounts receivable or costs and estimated earnings in excess of billings on uncompleted contracts. The amounts recorded may be at risk if our customers’ ability to pay these obligations is negatively impacted by economic conditions. Our customers are typically in the oil and gas and petrochemical markets, which include onshore and offshore production, LNG facilities and terminals, pipelines, refineries and petrochemical plants. Additional markets include electric utility and light rail traction power as well as mining and metals, pulp and paper and other municipal, commercial and industrial markets. Occasionally, our customers may include an engineering, procurement and construction (EPC) firm which may increase our market risk exposure based on the business climate of the EPC firm. We maintain ongoing discussions with customers regarding contract status with respect to payment status, change orders and billing terms in an effort to monitor collections of amounts billed.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market risk from fluctuating market prices of certain raw materials used in our products. While such materials are typically available from numerous suppliers, commodity raw materials are subject to price fluctuations. We attempt to pass along such commodity price increases to our customers on a contract-by-contract basis to avoid a negative effect on profit margin. While we may do so in the future, we have not currently entered into any derivative contracts to hedge our exposure to commodity price risk. We continue to experience price volatility with some of our key raw materials and components. Fixed-price contracts may limit our ability to pass cost increases to our customers, thus negatively impacting our earnings. Fluctuations in commodity prices may have a material impact on our future earnings and cash flows.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Risk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foreign operations that expose us to foreign currency exchange rate risk in the British Pound Sterling, the Canadian Dollar and to a lesser extent the Mexican Peso and the Euro, among others. Amounts invested in our foreign operations are translated into U.S. Dollars at the exchange rates in effect at the balance sheet date. The resulting translation adjustments are recorded as accumulated other comprehensive loss, a component of stockholders’ equity in our Condensed Consolidated Balance Sheets. We believe the exposure to the effects that fluctuating foreign currencies have on our consolidated results of operations is limited because the foreign operations primarily invoice customers and collect payments in their respective local currencies or U.S. Dollars. Additionally, expenses associated with these transactions are generally contracted and paid for in the same local currencies. For the six months ended March 31, 2022, our realized foreign exchange gain was less than $0.1 million and is included in selling, general and administrative expenses in the Condensed Consolidated Statements of Operations.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accumulated other comprehensive loss, which is included as a component of stockholders’ equity, was $19.4 million as of March 31, 2022, a decrease of $1.0 million compared to September 30, 2021. This decrease in comprehensive loss was primarily a result of fluctuations in the currency exchange rates for the Canadian Dollar and British Pound Sterling as we remeasured the foreign operations of those divisions.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typically hedge our exposure to potential foreign currency translation adjustments.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borrow under our U.S. Revolver, we will be subject to market risk resulting from changes in interest rates related to our floating rate bank credit facility. If we were to make such borrowings, a hypothetical 100 basis point increase in variable interest rates may result in a material impact to our financial statements. While we do not currently have any derivative contracts to hedge our exposure to interest rate risk, in the past we have entered and may in the future enter into such contracts. During each of the periods presented, we have not experienced a significant effect on our business due to changes in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and maintain a system of disclosure controls and procedures that are designed to provide reasonable assurance that information required to be disclosed in our reports filed with the SEC pursuant to the Securities Exchange Act of 1934, as amended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report. Based on such evaluation, our CEO and CFO have each concluded that as of the end of the period covered by this report,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paragraph (d) of Rules 13a-15 or 15d-15 of the Exchange Act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7" w:name="page28"/>
    <w:bookmarkEnd w:id="27"/>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the Company's Annual Report on Form 10-K for the fiscal year ended September 30, 2021, which was filed with the SEC on December 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385"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 of Exhibits</w:t>
      </w:r>
    </w:p>
    <w:p>
      <w:pPr>
        <w:spacing w:after="0" w:line="48" w:lineRule="exact"/>
        <w:rPr>
          <w:sz w:val="20"/>
          <w:szCs w:val="20"/>
          <w:color w:val="auto"/>
        </w:rPr>
      </w:pPr>
    </w:p>
    <w:p>
      <w:pPr>
        <w:ind w:left="900"/>
        <w:spacing w:after="0"/>
        <w:tabs>
          <w:tab w:leader="none" w:pos="1320" w:val="left"/>
          <w:tab w:leader="none" w:pos="1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tab/>
        <w:t>—</w:t>
      </w:r>
      <w:r>
        <w:rPr>
          <w:sz w:val="20"/>
          <w:szCs w:val="20"/>
          <w:color w:val="auto"/>
        </w:rPr>
        <w:tab/>
      </w:r>
      <w:hyperlink r:id="rId44">
        <w:r>
          <w:rPr>
            <w:rFonts w:ascii="Times New Roman" w:cs="Times New Roman" w:eastAsia="Times New Roman" w:hAnsi="Times New Roman"/>
            <w:sz w:val="18"/>
            <w:szCs w:val="18"/>
            <w:u w:val="single" w:color="auto"/>
            <w:color w:val="0000FF"/>
          </w:rPr>
          <w:t>Certificate of Incorporation of Powell Industries, Inc. filed with the Secretary of State of the State of Delaware on February 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1680"/>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u w:val="single" w:color="auto"/>
            <w:color w:val="0000FF"/>
          </w:rPr>
          <w:t>2004 (filed as Exhibit 3.1 to our Form 8-A/A filed November 1, 2004, and incorporated herein by reference)</w:t>
        </w:r>
        <w:r>
          <w:rPr>
            <w:rFonts w:ascii="Times New Roman" w:cs="Times New Roman" w:eastAsia="Times New Roman" w:hAnsi="Times New Roman"/>
            <w:sz w:val="18"/>
            <w:szCs w:val="18"/>
            <w:color w:val="000000"/>
          </w:rPr>
          <w:t>.</w:t>
        </w:r>
      </w:hyperlink>
    </w:p>
    <w:p>
      <w:pPr>
        <w:spacing w:after="0" w:line="165" w:lineRule="exact"/>
        <w:rPr>
          <w:sz w:val="20"/>
          <w:szCs w:val="20"/>
          <w:color w:val="auto"/>
        </w:rPr>
      </w:pPr>
    </w:p>
    <w:p>
      <w:pPr>
        <w:ind w:left="1340" w:hanging="773"/>
        <w:spacing w:after="0" w:line="250" w:lineRule="auto"/>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tab/>
        <w:t xml:space="preserve">— </w:t>
      </w:r>
      <w:hyperlink r:id="rId46">
        <w:r>
          <w:rPr>
            <w:rFonts w:ascii="Times New Roman" w:cs="Times New Roman" w:eastAsia="Times New Roman" w:hAnsi="Times New Roman"/>
            <w:sz w:val="18"/>
            <w:szCs w:val="18"/>
            <w:u w:val="single" w:color="auto"/>
            <w:color w:val="0000FF"/>
          </w:rPr>
          <w:t>Amended and Restated Bylaws of Powell Industries, Inc. (filed as Exhibit 3.1 to our Form 8-K filed October 12, 2012, and</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FF"/>
          </w:rPr>
          <w:t>incorporated herein by reference).</w:t>
        </w:r>
      </w:hyperlink>
    </w:p>
    <w:p>
      <w:pPr>
        <w:spacing w:after="0" w:line="149" w:lineRule="exact"/>
        <w:rPr>
          <w:sz w:val="20"/>
          <w:szCs w:val="20"/>
          <w:color w:val="auto"/>
        </w:rPr>
      </w:pPr>
    </w:p>
    <w:p>
      <w:pPr>
        <w:ind w:left="900"/>
        <w:spacing w:after="0"/>
        <w:tabs>
          <w:tab w:leader="none" w:pos="1320" w:val="left"/>
          <w:tab w:leader="none" w:pos="16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3.3</w:t>
        <w:tab/>
        <w:t>—</w:t>
      </w:r>
      <w:r>
        <w:rPr>
          <w:sz w:val="20"/>
          <w:szCs w:val="20"/>
          <w:color w:val="auto"/>
        </w:rPr>
        <w:tab/>
      </w:r>
      <w:hyperlink r:id="rId47">
        <w:r>
          <w:rPr>
            <w:rFonts w:ascii="Times New Roman" w:cs="Times New Roman" w:eastAsia="Times New Roman" w:hAnsi="Times New Roman"/>
            <w:sz w:val="17"/>
            <w:szCs w:val="17"/>
            <w:u w:val="single" w:color="auto"/>
            <w:color w:val="0000FF"/>
          </w:rPr>
          <w:t>Amendment No. 1 to Amended and Restated Bylaws of Powell Industries, Inc. (filed as Exhibit 3.1 to our Form 8-K filed February</w:t>
        </w:r>
      </w:hyperlink>
    </w:p>
    <w:p>
      <w:pPr>
        <w:spacing w:after="0" w:line="2" w:lineRule="exact"/>
        <w:rPr>
          <w:sz w:val="20"/>
          <w:szCs w:val="20"/>
          <w:color w:val="auto"/>
        </w:rPr>
      </w:pPr>
    </w:p>
    <w:p>
      <w:pPr>
        <w:ind w:left="1680"/>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u w:val="single" w:color="auto"/>
            <w:color w:val="0000FF"/>
          </w:rPr>
          <w:t>26, 2021, and incorporated herein by reference)</w:t>
        </w:r>
        <w:r>
          <w:rPr>
            <w:rFonts w:ascii="Times New Roman" w:cs="Times New Roman" w:eastAsia="Times New Roman" w:hAnsi="Times New Roman"/>
            <w:sz w:val="18"/>
            <w:szCs w:val="18"/>
            <w:color w:val="000000"/>
          </w:rPr>
          <w:t>.</w:t>
        </w:r>
      </w:hyperlink>
    </w:p>
    <w:p>
      <w:pPr>
        <w:spacing w:after="0" w:line="165" w:lineRule="exact"/>
        <w:rPr>
          <w:sz w:val="20"/>
          <w:szCs w:val="20"/>
          <w:color w:val="auto"/>
        </w:rPr>
      </w:pPr>
    </w:p>
    <w:p>
      <w:pPr>
        <w:ind w:left="780"/>
        <w:spacing w:after="0"/>
        <w:tabs>
          <w:tab w:leader="none" w:pos="1320" w:val="left"/>
          <w:tab w:leader="none" w:pos="1660" w:val="left"/>
        </w:tabs>
        <w:rPr>
          <w:sz w:val="20"/>
          <w:szCs w:val="20"/>
          <w:color w:val="auto"/>
        </w:rPr>
      </w:pPr>
      <w:r>
        <w:rPr>
          <w:rFonts w:ascii="Times New Roman" w:cs="Times New Roman" w:eastAsia="Times New Roman" w:hAnsi="Times New Roman"/>
          <w:sz w:val="18"/>
          <w:szCs w:val="18"/>
          <w:color w:val="auto"/>
        </w:rPr>
        <w:t>*31.1</w:t>
        <w:tab/>
        <w:t>—</w:t>
      </w:r>
      <w:r>
        <w:rPr>
          <w:sz w:val="20"/>
          <w:szCs w:val="20"/>
          <w:color w:val="auto"/>
        </w:rPr>
        <w:tab/>
      </w:r>
      <w:r>
        <w:rPr>
          <w:rFonts w:ascii="Times New Roman" w:cs="Times New Roman" w:eastAsia="Times New Roman" w:hAnsi="Times New Roman"/>
          <w:sz w:val="17"/>
          <w:szCs w:val="17"/>
          <w:u w:val="single" w:color="auto"/>
          <w:color w:val="0000FF"/>
        </w:rPr>
        <w:t>Certification of Chief Executive Officer pursuant to Rule 13a-14(a)/15d-14(a).</w:t>
      </w:r>
    </w:p>
    <w:p>
      <w:pPr>
        <w:spacing w:after="0" w:line="185" w:lineRule="exact"/>
        <w:rPr>
          <w:sz w:val="20"/>
          <w:szCs w:val="20"/>
          <w:color w:val="auto"/>
        </w:rPr>
      </w:pPr>
    </w:p>
    <w:p>
      <w:pPr>
        <w:ind w:left="780"/>
        <w:spacing w:after="0"/>
        <w:tabs>
          <w:tab w:leader="none" w:pos="1320" w:val="left"/>
          <w:tab w:leader="none" w:pos="1660" w:val="left"/>
        </w:tabs>
        <w:rPr>
          <w:sz w:val="20"/>
          <w:szCs w:val="20"/>
          <w:color w:val="auto"/>
        </w:rPr>
      </w:pPr>
      <w:r>
        <w:rPr>
          <w:rFonts w:ascii="Times New Roman" w:cs="Times New Roman" w:eastAsia="Times New Roman" w:hAnsi="Times New Roman"/>
          <w:sz w:val="18"/>
          <w:szCs w:val="18"/>
          <w:color w:val="auto"/>
        </w:rPr>
        <w:t>*31.2</w:t>
        <w:tab/>
        <w:t>—</w:t>
      </w:r>
      <w:r>
        <w:rPr>
          <w:sz w:val="20"/>
          <w:szCs w:val="20"/>
          <w:color w:val="auto"/>
        </w:rPr>
        <w:tab/>
      </w:r>
      <w:r>
        <w:rPr>
          <w:rFonts w:ascii="Times New Roman" w:cs="Times New Roman" w:eastAsia="Times New Roman" w:hAnsi="Times New Roman"/>
          <w:sz w:val="17"/>
          <w:szCs w:val="17"/>
          <w:u w:val="single" w:color="auto"/>
          <w:color w:val="0000FF"/>
        </w:rPr>
        <w:t>Certification of Chief Financial Officer pursuant to Rule 13a-14(a)/15d-14(a).</w:t>
      </w:r>
    </w:p>
    <w:p>
      <w:pPr>
        <w:spacing w:after="0" w:line="185" w:lineRule="exact"/>
        <w:rPr>
          <w:sz w:val="20"/>
          <w:szCs w:val="20"/>
          <w:color w:val="auto"/>
        </w:rPr>
      </w:pPr>
    </w:p>
    <w:p>
      <w:pPr>
        <w:ind w:left="1340" w:hanging="989"/>
        <w:spacing w:after="0" w:line="250" w:lineRule="auto"/>
        <w:tabs>
          <w:tab w:leader="none" w:pos="1320" w:val="left"/>
        </w:tabs>
        <w:rPr>
          <w:sz w:val="20"/>
          <w:szCs w:val="20"/>
          <w:color w:val="auto"/>
        </w:rPr>
      </w:pPr>
      <w:r>
        <w:rPr>
          <w:rFonts w:ascii="Times New Roman" w:cs="Times New Roman" w:eastAsia="Times New Roman" w:hAnsi="Times New Roman"/>
          <w:sz w:val="18"/>
          <w:szCs w:val="18"/>
          <w:color w:val="auto"/>
        </w:rPr>
        <w:t>**32.1</w:t>
        <w:tab/>
        <w:t xml:space="preserve">— </w:t>
      </w:r>
      <w:r>
        <w:rPr>
          <w:rFonts w:ascii="Times New Roman" w:cs="Times New Roman" w:eastAsia="Times New Roman" w:hAnsi="Times New Roman"/>
          <w:sz w:val="18"/>
          <w:szCs w:val="18"/>
          <w:u w:val="single" w:color="auto"/>
          <w:color w:val="0000FF"/>
        </w:rPr>
        <w:t>Certification of Chief Executive Officer Pursuant to Section 18 U.S.C. Section 1350, as Adopted Pursuant to Section 906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Sarbanes-Oxley Act of 2002.</w:t>
      </w:r>
    </w:p>
    <w:p>
      <w:pPr>
        <w:spacing w:after="0" w:line="149" w:lineRule="exact"/>
        <w:rPr>
          <w:sz w:val="20"/>
          <w:szCs w:val="20"/>
          <w:color w:val="auto"/>
        </w:rPr>
      </w:pPr>
    </w:p>
    <w:p>
      <w:pPr>
        <w:ind w:left="1340" w:hanging="989"/>
        <w:spacing w:after="0" w:line="250" w:lineRule="auto"/>
        <w:tabs>
          <w:tab w:leader="none" w:pos="1320" w:val="left"/>
        </w:tabs>
        <w:rPr>
          <w:sz w:val="20"/>
          <w:szCs w:val="20"/>
          <w:color w:val="auto"/>
        </w:rPr>
      </w:pPr>
      <w:r>
        <w:rPr>
          <w:rFonts w:ascii="Times New Roman" w:cs="Times New Roman" w:eastAsia="Times New Roman" w:hAnsi="Times New Roman"/>
          <w:sz w:val="18"/>
          <w:szCs w:val="18"/>
          <w:color w:val="auto"/>
        </w:rPr>
        <w:t>**32.2</w:t>
        <w:tab/>
        <w:t xml:space="preserve">— </w:t>
      </w:r>
      <w:r>
        <w:rPr>
          <w:rFonts w:ascii="Times New Roman" w:cs="Times New Roman" w:eastAsia="Times New Roman" w:hAnsi="Times New Roman"/>
          <w:sz w:val="18"/>
          <w:szCs w:val="18"/>
          <w:u w:val="single" w:color="auto"/>
          <w:color w:val="0000FF"/>
        </w:rPr>
        <w:t>Certification of Chief Financial Officer Pursuant to Section 18 U.S.C. Section 1350, as Adopted Pursuant to Section 906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Sarbanes-Oxley Act of 2002.</w:t>
      </w:r>
    </w:p>
    <w:p>
      <w:pPr>
        <w:spacing w:after="0" w:line="149" w:lineRule="exact"/>
        <w:rPr>
          <w:sz w:val="20"/>
          <w:szCs w:val="20"/>
          <w:color w:val="auto"/>
        </w:rPr>
      </w:pPr>
    </w:p>
    <w:p>
      <w:pPr>
        <w:ind w:left="1340" w:right="40" w:hanging="854"/>
        <w:spacing w:after="0" w:line="242" w:lineRule="auto"/>
        <w:tabs>
          <w:tab w:leader="none" w:pos="1320" w:val="left"/>
        </w:tabs>
        <w:rPr>
          <w:sz w:val="20"/>
          <w:szCs w:val="20"/>
          <w:color w:val="auto"/>
        </w:rPr>
      </w:pPr>
      <w:r>
        <w:rPr>
          <w:rFonts w:ascii="Times New Roman" w:cs="Times New Roman" w:eastAsia="Times New Roman" w:hAnsi="Times New Roman"/>
          <w:sz w:val="18"/>
          <w:szCs w:val="18"/>
          <w:color w:val="auto"/>
        </w:rPr>
        <w:t>*101</w:t>
        <w:tab/>
        <w:t xml:space="preserve">— </w:t>
      </w:r>
      <w:r>
        <w:rPr>
          <w:rFonts w:ascii="Times New Roman" w:cs="Times New Roman" w:eastAsia="Times New Roman" w:hAnsi="Times New Roman"/>
          <w:sz w:val="18"/>
          <w:szCs w:val="18"/>
          <w:color w:val="244061"/>
        </w:rPr>
        <w:t>The following financial statements from the Company’s Quarterly Report on Form 10-Q for the quarter ended March 31,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4061"/>
        </w:rPr>
        <w:t>formatted in Inline XBRL: (i) Condensed Consolidated Balance Sheets (Unaudited); (ii) Condensed Consolidated Statements of Operations (Unaudited); (iii) Condensed Consolidated Statements of Comprehensive Income (Unaudited); (iv) Condensed Consolidated Statements of Stockholders' Equity (Unaudited); (v) Condensed Consolidated Statements of Cash Flows (Unaudited); and (vi) Notes to Condensed Consolidated Financial Statements (Unaudited), tagged as blocks of text and including detailed tags.</w:t>
      </w:r>
    </w:p>
    <w:p>
      <w:pPr>
        <w:spacing w:after="0" w:line="185" w:lineRule="exact"/>
        <w:rPr>
          <w:sz w:val="20"/>
          <w:szCs w:val="20"/>
          <w:color w:val="auto"/>
        </w:rPr>
      </w:pPr>
    </w:p>
    <w:p>
      <w:pPr>
        <w:ind w:left="1340" w:right="360" w:hanging="854"/>
        <w:spacing w:after="0" w:line="266" w:lineRule="auto"/>
        <w:tabs>
          <w:tab w:leader="none" w:pos="1320" w:val="left"/>
        </w:tabs>
        <w:rPr>
          <w:sz w:val="20"/>
          <w:szCs w:val="20"/>
          <w:color w:val="auto"/>
        </w:rPr>
      </w:pPr>
      <w:r>
        <w:rPr>
          <w:rFonts w:ascii="Times New Roman" w:cs="Times New Roman" w:eastAsia="Times New Roman" w:hAnsi="Times New Roman"/>
          <w:sz w:val="18"/>
          <w:szCs w:val="18"/>
          <w:color w:val="auto"/>
        </w:rPr>
        <w:t>*104</w:t>
        <w:tab/>
        <w:t xml:space="preserve">— </w:t>
      </w:r>
      <w:r>
        <w:rPr>
          <w:rFonts w:ascii="Times New Roman" w:cs="Times New Roman" w:eastAsia="Times New Roman" w:hAnsi="Times New Roman"/>
          <w:sz w:val="18"/>
          <w:szCs w:val="18"/>
          <w:color w:val="244061"/>
        </w:rPr>
        <w:t>The cover page from the Company’s Quarterly Report on Form 10-Q for the quarter ended March 31, 2022, formatted in Inline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4061"/>
        </w:rPr>
        <w:t>XBRL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0458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38" w:right="39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260" w:type="dxa"/>
            <w:vAlign w:val="bottom"/>
          </w:tcPr>
          <w:p>
            <w:pPr>
              <w:spacing w:after="0"/>
              <w:rPr>
                <w:sz w:val="19"/>
                <w:szCs w:val="19"/>
                <w:color w:val="auto"/>
              </w:rPr>
            </w:pPr>
          </w:p>
        </w:tc>
        <w:tc>
          <w:tcPr>
            <w:tcW w:w="79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POWELL INDUSTRIES, INC.</w:t>
            </w:r>
          </w:p>
        </w:tc>
      </w:tr>
      <w:tr>
        <w:trPr>
          <w:trHeight w:val="234"/>
        </w:trPr>
        <w:tc>
          <w:tcPr>
            <w:tcW w:w="3260" w:type="dxa"/>
            <w:vAlign w:val="bottom"/>
          </w:tcPr>
          <w:p>
            <w:pPr>
              <w:spacing w:after="0"/>
              <w:rPr>
                <w:sz w:val="20"/>
                <w:szCs w:val="20"/>
                <w:color w:val="auto"/>
              </w:rPr>
            </w:pPr>
          </w:p>
        </w:tc>
        <w:tc>
          <w:tcPr>
            <w:tcW w:w="79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(Registrant)</w:t>
            </w:r>
          </w:p>
        </w:tc>
      </w:tr>
      <w:tr>
        <w:trPr>
          <w:trHeight w:val="45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2022</w:t>
            </w:r>
          </w:p>
        </w:tc>
        <w:tc>
          <w:tcPr>
            <w:tcW w:w="27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Brett A. Cope</w:t>
            </w:r>
          </w:p>
        </w:tc>
      </w:tr>
      <w:tr>
        <w:trPr>
          <w:trHeight w:val="218"/>
        </w:trPr>
        <w:tc>
          <w:tcPr>
            <w:tcW w:w="3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Brett A. Cope</w:t>
            </w:r>
          </w:p>
        </w:tc>
      </w:tr>
      <w:tr>
        <w:trPr>
          <w:trHeight w:val="229"/>
        </w:trPr>
        <w:tc>
          <w:tcPr>
            <w:tcW w:w="3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2022</w:t>
            </w:r>
          </w:p>
        </w:tc>
        <w:tc>
          <w:tcPr>
            <w:tcW w:w="27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W. Metcalf</w:t>
            </w:r>
          </w:p>
        </w:tc>
      </w:tr>
      <w:tr>
        <w:trPr>
          <w:trHeight w:val="218"/>
        </w:trPr>
        <w:tc>
          <w:tcPr>
            <w:tcW w:w="3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W. Metcalf</w:t>
            </w:r>
          </w:p>
        </w:tc>
      </w:tr>
      <w:tr>
        <w:trPr>
          <w:trHeight w:val="229"/>
        </w:trPr>
        <w:tc>
          <w:tcPr>
            <w:tcW w:w="3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0"/>
        </w:trPr>
        <w:tc>
          <w:tcPr>
            <w:tcW w:w="3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88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Brett A. Cope, certify that:</w:t>
      </w:r>
    </w:p>
    <w:p>
      <w:pPr>
        <w:spacing w:after="0" w:line="194"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Powell Industries, Inc.;</w:t>
      </w:r>
    </w:p>
    <w:p>
      <w:pPr>
        <w:spacing w:after="0" w:line="261"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5" w:lineRule="exact"/>
        <w:rPr>
          <w:rFonts w:ascii="Times New Roman" w:cs="Times New Roman" w:eastAsia="Times New Roman" w:hAnsi="Times New Roman"/>
          <w:sz w:val="16"/>
          <w:szCs w:val="16"/>
          <w:color w:val="auto"/>
        </w:rPr>
      </w:pPr>
    </w:p>
    <w:p>
      <w:pPr>
        <w:ind w:left="660" w:right="520" w:hanging="328"/>
        <w:spacing w:after="0" w:line="280"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6"/>
          <w:szCs w:val="16"/>
          <w:color w:val="auto"/>
        </w:rPr>
      </w:pPr>
    </w:p>
    <w:p>
      <w:pPr>
        <w:jc w:val="both"/>
        <w:ind w:left="660" w:right="340" w:hanging="328"/>
        <w:spacing w:after="0" w:line="272"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Times New Roman" w:cs="Times New Roman" w:eastAsia="Times New Roman" w:hAnsi="Times New Roman"/>
          <w:sz w:val="16"/>
          <w:szCs w:val="16"/>
          <w:color w:val="auto"/>
        </w:rPr>
      </w:pPr>
    </w:p>
    <w:p>
      <w:pPr>
        <w:ind w:left="1300" w:right="40" w:hanging="320"/>
        <w:spacing w:after="0" w:line="272" w:lineRule="auto"/>
        <w:tabs>
          <w:tab w:leader="none" w:pos="1291"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Times New Roman" w:cs="Times New Roman" w:eastAsia="Times New Roman" w:hAnsi="Times New Roman"/>
          <w:sz w:val="16"/>
          <w:szCs w:val="16"/>
          <w:color w:val="auto"/>
        </w:rPr>
      </w:pPr>
    </w:p>
    <w:p>
      <w:pPr>
        <w:ind w:left="1300" w:right="140" w:hanging="320"/>
        <w:spacing w:after="0" w:line="263" w:lineRule="auto"/>
        <w:tabs>
          <w:tab w:leader="none" w:pos="130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8" w:lineRule="exact"/>
        <w:rPr>
          <w:rFonts w:ascii="Times New Roman" w:cs="Times New Roman" w:eastAsia="Times New Roman" w:hAnsi="Times New Roman"/>
          <w:sz w:val="16"/>
          <w:szCs w:val="16"/>
          <w:color w:val="auto"/>
        </w:rPr>
      </w:pPr>
    </w:p>
    <w:p>
      <w:pPr>
        <w:ind w:left="1300" w:right="180" w:hanging="320"/>
        <w:spacing w:after="0" w:line="280" w:lineRule="auto"/>
        <w:tabs>
          <w:tab w:leader="none" w:pos="1291"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5" w:lineRule="exact"/>
        <w:rPr>
          <w:rFonts w:ascii="Times New Roman" w:cs="Times New Roman" w:eastAsia="Times New Roman" w:hAnsi="Times New Roman"/>
          <w:sz w:val="16"/>
          <w:szCs w:val="16"/>
          <w:color w:val="auto"/>
        </w:rPr>
      </w:pPr>
    </w:p>
    <w:p>
      <w:pPr>
        <w:ind w:left="1300" w:right="180" w:hanging="320"/>
        <w:spacing w:after="0" w:line="263" w:lineRule="auto"/>
        <w:tabs>
          <w:tab w:leader="none" w:pos="130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8" w:lineRule="exact"/>
        <w:rPr>
          <w:rFonts w:ascii="Times New Roman" w:cs="Times New Roman" w:eastAsia="Times New Roman" w:hAnsi="Times New Roman"/>
          <w:sz w:val="16"/>
          <w:szCs w:val="16"/>
          <w:color w:val="auto"/>
        </w:rPr>
      </w:pPr>
    </w:p>
    <w:p>
      <w:pPr>
        <w:ind w:left="660" w:right="300" w:hanging="328"/>
        <w:spacing w:after="0" w:line="280"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5" w:lineRule="exact"/>
        <w:rPr>
          <w:rFonts w:ascii="Times New Roman" w:cs="Times New Roman" w:eastAsia="Times New Roman" w:hAnsi="Times New Roman"/>
          <w:sz w:val="16"/>
          <w:szCs w:val="16"/>
          <w:color w:val="auto"/>
        </w:rPr>
      </w:pPr>
    </w:p>
    <w:p>
      <w:pPr>
        <w:ind w:left="1300" w:right="140" w:hanging="320"/>
        <w:spacing w:after="0" w:line="280" w:lineRule="auto"/>
        <w:tabs>
          <w:tab w:leader="none" w:pos="1291"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Times New Roman" w:cs="Times New Roman" w:eastAsia="Times New Roman" w:hAnsi="Times New Roman"/>
          <w:sz w:val="16"/>
          <w:szCs w:val="16"/>
          <w:color w:val="auto"/>
        </w:rPr>
      </w:pPr>
    </w:p>
    <w:p>
      <w:pPr>
        <w:ind w:left="1300" w:right="340" w:hanging="320"/>
        <w:spacing w:after="0" w:line="298" w:lineRule="auto"/>
        <w:tabs>
          <w:tab w:leader="none" w:pos="130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u w:val="single" w:color="auto"/>
          <w:color w:val="auto"/>
        </w:rPr>
        <w:t>/s/ Brett A. Cope</w:t>
      </w:r>
    </w:p>
    <w:p>
      <w:pPr>
        <w:ind w:left="5640"/>
        <w:spacing w:after="0" w:line="211" w:lineRule="auto"/>
        <w:rPr>
          <w:sz w:val="20"/>
          <w:szCs w:val="20"/>
          <w:color w:val="auto"/>
        </w:rPr>
      </w:pPr>
      <w:r>
        <w:rPr>
          <w:rFonts w:ascii="Times New Roman" w:cs="Times New Roman" w:eastAsia="Times New Roman" w:hAnsi="Times New Roman"/>
          <w:sz w:val="16"/>
          <w:szCs w:val="16"/>
          <w:color w:val="auto"/>
        </w:rPr>
        <w:t>Brett A. Cope</w:t>
      </w:r>
    </w:p>
    <w:p>
      <w:pPr>
        <w:ind w:left="5640"/>
        <w:spacing w:after="0" w:line="211" w:lineRule="auto"/>
        <w:rPr>
          <w:sz w:val="20"/>
          <w:szCs w:val="20"/>
          <w:color w:val="auto"/>
        </w:rPr>
      </w:pPr>
      <w:r>
        <w:rPr>
          <w:rFonts w:ascii="Times New Roman" w:cs="Times New Roman" w:eastAsia="Times New Roman" w:hAnsi="Times New Roman"/>
          <w:sz w:val="16"/>
          <w:szCs w:val="16"/>
          <w:color w:val="auto"/>
        </w:rPr>
        <w:t>President and Chief Executive Officer</w:t>
      </w:r>
    </w:p>
    <w:p>
      <w:pPr>
        <w:ind w:left="564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4, 2022</w:t>
      </w:r>
    </w:p>
    <w:p>
      <w:pPr>
        <w:sectPr>
          <w:pgSz w:w="11900" w:h="16838" w:orient="portrait"/>
          <w:cols w:equalWidth="0" w:num="1">
            <w:col w:w="11240"/>
          </w:cols>
          <w:pgMar w:left="320" w:top="893"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Michael W. Metcalf, certify that:</w:t>
      </w:r>
    </w:p>
    <w:p>
      <w:pPr>
        <w:spacing w:after="0" w:line="19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Powell Industries, Inc.;</w:t>
      </w:r>
    </w:p>
    <w:p>
      <w:pPr>
        <w:spacing w:after="0" w:line="261"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5" w:lineRule="exact"/>
        <w:rPr>
          <w:rFonts w:ascii="Times New Roman" w:cs="Times New Roman" w:eastAsia="Times New Roman" w:hAnsi="Times New Roman"/>
          <w:sz w:val="16"/>
          <w:szCs w:val="16"/>
          <w:color w:val="auto"/>
        </w:rPr>
      </w:pPr>
    </w:p>
    <w:p>
      <w:pPr>
        <w:ind w:left="660" w:right="520" w:hanging="328"/>
        <w:spacing w:after="0" w:line="280"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6"/>
          <w:szCs w:val="16"/>
          <w:color w:val="auto"/>
        </w:rPr>
      </w:pPr>
    </w:p>
    <w:p>
      <w:pPr>
        <w:jc w:val="both"/>
        <w:ind w:left="660" w:right="340" w:hanging="328"/>
        <w:spacing w:after="0" w:line="272"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Times New Roman" w:cs="Times New Roman" w:eastAsia="Times New Roman" w:hAnsi="Times New Roman"/>
          <w:sz w:val="16"/>
          <w:szCs w:val="16"/>
          <w:color w:val="auto"/>
        </w:rPr>
      </w:pPr>
    </w:p>
    <w:p>
      <w:pPr>
        <w:ind w:left="1300" w:right="40" w:hanging="320"/>
        <w:spacing w:after="0" w:line="272" w:lineRule="auto"/>
        <w:tabs>
          <w:tab w:leader="none" w:pos="1291"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Times New Roman" w:cs="Times New Roman" w:eastAsia="Times New Roman" w:hAnsi="Times New Roman"/>
          <w:sz w:val="16"/>
          <w:szCs w:val="16"/>
          <w:color w:val="auto"/>
        </w:rPr>
      </w:pPr>
    </w:p>
    <w:p>
      <w:pPr>
        <w:ind w:left="1300" w:right="140" w:hanging="320"/>
        <w:spacing w:after="0" w:line="263" w:lineRule="auto"/>
        <w:tabs>
          <w:tab w:leader="none" w:pos="130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8" w:lineRule="exact"/>
        <w:rPr>
          <w:rFonts w:ascii="Times New Roman" w:cs="Times New Roman" w:eastAsia="Times New Roman" w:hAnsi="Times New Roman"/>
          <w:sz w:val="16"/>
          <w:szCs w:val="16"/>
          <w:color w:val="auto"/>
        </w:rPr>
      </w:pPr>
    </w:p>
    <w:p>
      <w:pPr>
        <w:ind w:left="1300" w:right="180" w:hanging="320"/>
        <w:spacing w:after="0" w:line="280" w:lineRule="auto"/>
        <w:tabs>
          <w:tab w:leader="none" w:pos="1291"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5" w:lineRule="exact"/>
        <w:rPr>
          <w:rFonts w:ascii="Times New Roman" w:cs="Times New Roman" w:eastAsia="Times New Roman" w:hAnsi="Times New Roman"/>
          <w:sz w:val="16"/>
          <w:szCs w:val="16"/>
          <w:color w:val="auto"/>
        </w:rPr>
      </w:pPr>
    </w:p>
    <w:p>
      <w:pPr>
        <w:ind w:left="1300" w:right="180" w:hanging="320"/>
        <w:spacing w:after="0" w:line="263" w:lineRule="auto"/>
        <w:tabs>
          <w:tab w:leader="none" w:pos="130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Times New Roman" w:cs="Times New Roman" w:eastAsia="Times New Roman" w:hAnsi="Times New Roman"/>
          <w:sz w:val="16"/>
          <w:szCs w:val="16"/>
          <w:color w:val="auto"/>
        </w:rPr>
      </w:pPr>
    </w:p>
    <w:p>
      <w:pPr>
        <w:ind w:left="660" w:right="300" w:hanging="328"/>
        <w:spacing w:after="0" w:line="298"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6"/>
          <w:szCs w:val="16"/>
          <w:color w:val="auto"/>
        </w:rPr>
      </w:pPr>
    </w:p>
    <w:p>
      <w:pPr>
        <w:ind w:left="1300" w:right="140" w:hanging="320"/>
        <w:spacing w:after="0" w:line="280" w:lineRule="auto"/>
        <w:tabs>
          <w:tab w:leader="none" w:pos="1291"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Times New Roman" w:cs="Times New Roman" w:eastAsia="Times New Roman" w:hAnsi="Times New Roman"/>
          <w:sz w:val="16"/>
          <w:szCs w:val="16"/>
          <w:color w:val="auto"/>
        </w:rPr>
      </w:pPr>
    </w:p>
    <w:p>
      <w:pPr>
        <w:ind w:left="1300" w:right="340" w:hanging="320"/>
        <w:spacing w:after="0" w:line="280" w:lineRule="auto"/>
        <w:tabs>
          <w:tab w:leader="none" w:pos="130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8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u w:val="single" w:color="auto"/>
          <w:color w:val="auto"/>
        </w:rPr>
        <w:t>/s/ Michael W. Metcalf</w:t>
      </w:r>
    </w:p>
    <w:p>
      <w:pPr>
        <w:ind w:left="5640"/>
        <w:spacing w:after="0" w:line="211" w:lineRule="auto"/>
        <w:rPr>
          <w:sz w:val="20"/>
          <w:szCs w:val="20"/>
          <w:color w:val="auto"/>
        </w:rPr>
      </w:pPr>
      <w:r>
        <w:rPr>
          <w:rFonts w:ascii="Times New Roman" w:cs="Times New Roman" w:eastAsia="Times New Roman" w:hAnsi="Times New Roman"/>
          <w:sz w:val="16"/>
          <w:szCs w:val="16"/>
          <w:color w:val="auto"/>
        </w:rPr>
        <w:t>Michael W. Metcalf</w:t>
      </w:r>
    </w:p>
    <w:p>
      <w:pPr>
        <w:ind w:left="5640"/>
        <w:spacing w:after="0" w:line="211" w:lineRule="auto"/>
        <w:rPr>
          <w:sz w:val="20"/>
          <w:szCs w:val="20"/>
          <w:color w:val="auto"/>
        </w:rPr>
      </w:pPr>
      <w:r>
        <w:rPr>
          <w:rFonts w:ascii="Times New Roman" w:cs="Times New Roman" w:eastAsia="Times New Roman" w:hAnsi="Times New Roman"/>
          <w:sz w:val="16"/>
          <w:szCs w:val="16"/>
          <w:color w:val="auto"/>
        </w:rPr>
        <w:t>Executive Vice President</w:t>
      </w:r>
    </w:p>
    <w:p>
      <w:pPr>
        <w:ind w:left="5640"/>
        <w:spacing w:after="0" w:line="211" w:lineRule="auto"/>
        <w:rPr>
          <w:sz w:val="20"/>
          <w:szCs w:val="20"/>
          <w:color w:val="auto"/>
        </w:rPr>
      </w:pPr>
      <w:r>
        <w:rPr>
          <w:rFonts w:ascii="Times New Roman" w:cs="Times New Roman" w:eastAsia="Times New Roman" w:hAnsi="Times New Roman"/>
          <w:sz w:val="16"/>
          <w:szCs w:val="16"/>
          <w:color w:val="auto"/>
        </w:rPr>
        <w:t>Chief Financial Officer</w:t>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4, 2022</w:t>
      </w:r>
    </w:p>
    <w:p>
      <w:pPr>
        <w:sectPr>
          <w:pgSz w:w="11900" w:h="16838" w:orient="portrait"/>
          <w:cols w:equalWidth="0" w:num="1">
            <w:col w:w="11240"/>
          </w:cols>
          <w:pgMar w:left="320" w:top="893"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90"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In connection with this Quarterly Report (the “Report”) on Form 10-Q of Powell Industries, Inc. (the “Company”) for the quarter ended March 31, 2022, as filed with the Securities and Exchange Commission on the date hereof, I, Brett A. Cope, Chief Executive Officer of the Company, certify, pursuant to 18 U.S.C. Section 1350, as adopted pursuant to Section 906 of the Sarbanes-Oxley Act of 2002, that:</w:t>
      </w:r>
    </w:p>
    <w:p>
      <w:pPr>
        <w:spacing w:after="0" w:line="14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61"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represents, in all material respects, the financial condition and results of operations of the Company.</w:t>
      </w:r>
    </w:p>
    <w:p>
      <w:pPr>
        <w:spacing w:after="0" w:line="3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u w:val="single" w:color="auto"/>
          <w:color w:val="auto"/>
        </w:rPr>
        <w:t>/s/ Brett A. Cope</w:t>
      </w:r>
    </w:p>
    <w:p>
      <w:pPr>
        <w:ind w:left="5640"/>
        <w:spacing w:after="0" w:line="211" w:lineRule="auto"/>
        <w:rPr>
          <w:sz w:val="20"/>
          <w:szCs w:val="20"/>
          <w:color w:val="auto"/>
        </w:rPr>
      </w:pPr>
      <w:r>
        <w:rPr>
          <w:rFonts w:ascii="Times New Roman" w:cs="Times New Roman" w:eastAsia="Times New Roman" w:hAnsi="Times New Roman"/>
          <w:sz w:val="16"/>
          <w:szCs w:val="16"/>
          <w:color w:val="auto"/>
        </w:rPr>
        <w:t>Brett A. Cope</w:t>
      </w:r>
    </w:p>
    <w:p>
      <w:pPr>
        <w:ind w:left="564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4, 2022</w:t>
      </w:r>
    </w:p>
    <w:p>
      <w:pPr>
        <w:sectPr>
          <w:pgSz w:w="11900" w:h="16838" w:orient="portrait"/>
          <w:cols w:equalWidth="0" w:num="1">
            <w:col w:w="11240"/>
          </w:cols>
          <w:pgMar w:left="320" w:top="893"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(the “Report”) on Form 10-Q of Powell Industries, Inc. (the “Company”) for the quarter ended March 31, 2022, as filed with the Securities and Exchange Commission on the date hereof, I, Michael W. Metcalf, Executive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operations of the Company.</w:t>
      </w:r>
    </w:p>
    <w:p>
      <w:pPr>
        <w:spacing w:after="0" w:line="38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u w:val="single" w:color="auto"/>
          <w:color w:val="auto"/>
        </w:rPr>
        <w:t>/s/ Michael W. Metcalf</w:t>
      </w:r>
    </w:p>
    <w:p>
      <w:pPr>
        <w:ind w:left="5620"/>
        <w:spacing w:after="0" w:line="211" w:lineRule="auto"/>
        <w:rPr>
          <w:sz w:val="20"/>
          <w:szCs w:val="20"/>
          <w:color w:val="auto"/>
        </w:rPr>
      </w:pPr>
      <w:r>
        <w:rPr>
          <w:rFonts w:ascii="Times New Roman" w:cs="Times New Roman" w:eastAsia="Times New Roman" w:hAnsi="Times New Roman"/>
          <w:sz w:val="16"/>
          <w:szCs w:val="16"/>
          <w:color w:val="auto"/>
        </w:rPr>
        <w:t>Michael W. Metcalf</w:t>
      </w:r>
    </w:p>
    <w:p>
      <w:pPr>
        <w:ind w:left="5620"/>
        <w:spacing w:after="0" w:line="211" w:lineRule="auto"/>
        <w:rPr>
          <w:sz w:val="20"/>
          <w:szCs w:val="20"/>
          <w:color w:val="auto"/>
        </w:rPr>
      </w:pPr>
      <w:r>
        <w:rPr>
          <w:rFonts w:ascii="Times New Roman" w:cs="Times New Roman" w:eastAsia="Times New Roman" w:hAnsi="Times New Roman"/>
          <w:sz w:val="16"/>
          <w:szCs w:val="16"/>
          <w:color w:val="auto"/>
        </w:rPr>
        <w:t>Executive Vice President</w:t>
      </w:r>
    </w:p>
    <w:p>
      <w:pPr>
        <w:ind w:left="56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4, 2022</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5"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44" Type="http://schemas.openxmlformats.org/officeDocument/2006/relationships/hyperlink" Target="http://www.sec.gov/Archives/edgar/data/80420/000008042004000044/exhibit3_1.htm" TargetMode="External"/><Relationship Id="rId46" Type="http://schemas.openxmlformats.org/officeDocument/2006/relationships/hyperlink" Target="http://www.sec.gov/Archives/edgar/data/80420/000119312512421889/d424375dex31.htm" TargetMode="External"/><Relationship Id="rId47" Type="http://schemas.openxmlformats.org/officeDocument/2006/relationships/hyperlink" Target="http://www.sec.gov/Archives/edgar/data/80420/000008042021000018/ex31-amendmentno1toamend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2022-05-04T14:56:33Z</dcterms:created>
  <dcterms:modified xsi:type="dcterms:W3CDTF">2022-05-04T14:56:33Z</dcterms:modified>
</cp:coreProperties>
</file>