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6"/>
        </w:rPr>
        <w:t>Form 10-Q</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80" w:after="283"/>
        <w:jc w:val="center"/>
        <w:rPr/>
      </w:pPr>
      <w:r>
        <w:rPr>
          <w:rFonts w:ascii="Times New Roman;serif" w:hAnsi="Times New Roman;serif"/>
          <w:b/>
          <w:color w:val="000000"/>
          <w:sz w:val="20"/>
        </w:rPr>
        <w:t>Commission File Number 001-12488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Powell Industries,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88-0106100</w:t>
            </w:r>
          </w:p>
        </w:tc>
      </w:tr>
      <w:tr>
        <w:trPr/>
        <w:tc>
          <w:tcPr>
            <w:tcW w:w="2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8550 Mosley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77075-1180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 944-6900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78"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474"/>
        <w:gridCol w:w="474"/>
        <w:gridCol w:w="476"/>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80" w:after="283"/>
        <w:ind w:left="0" w:right="0" w:firstLine="54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August 3, 2026, there were 36,432,564 outstanding shares of the registrant’s common stock, par value $0.01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490" w:type="dxa"/>
        <w:jc w:val="left"/>
        <w:tblInd w:w="0" w:type="dxa"/>
        <w:tblLayout w:type="fixed"/>
        <w:tblCellMar>
          <w:top w:w="28" w:type="dxa"/>
          <w:left w:w="28" w:type="dxa"/>
          <w:bottom w:w="28" w:type="dxa"/>
          <w:right w:w="28" w:type="dxa"/>
        </w:tblCellMar>
      </w:tblPr>
      <w:tblGrid>
        <w:gridCol w:w="2889"/>
        <w:gridCol w:w="2542"/>
        <w:gridCol w:w="2548"/>
        <w:gridCol w:w="149"/>
        <w:gridCol w:w="149"/>
        <w:gridCol w:w="213"/>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0">
              <w:r>
                <w:rPr>
                  <w:rStyle w:val="InternetLink"/>
                  <w:rFonts w:ascii="Times New Roman;serif" w:hAnsi="Times New Roman;serif"/>
                  <w:b/>
                  <w:color w:val="0000FF"/>
                  <w:sz w:val="20"/>
                  <w:u w:val="single"/>
                </w:rPr>
                <w:t>Part I — 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5c80d0e2d6a4075ae8c1dfc31fb267a_10">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3">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3">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6">
              <w:r>
                <w:rPr>
                  <w:rStyle w:val="InternetLink"/>
                  <w:rFonts w:ascii="Times New Roman;serif" w:hAnsi="Times New Roman;serif"/>
                  <w:b w:val="false"/>
                  <w:color w:val="0000FF"/>
                  <w:sz w:val="20"/>
                  <w:u w:val="singl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6">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9">
              <w:r>
                <w:rPr>
                  <w:rStyle w:val="InternetLink"/>
                  <w:rFonts w:ascii="Times New Roman;serif" w:hAnsi="Times New Roman;serif"/>
                  <w:b w:val="false"/>
                  <w:color w:val="0000FF"/>
                  <w:sz w:val="20"/>
                  <w:u w:val="single"/>
                </w:rPr>
                <w:t>Condensed 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9">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95c80d0e2d6a4075ae8c1dfc31fb267a_22">
              <w:r>
                <w:rPr>
                  <w:rStyle w:val="InternetLink"/>
                  <w:rFonts w:ascii="Times New Roman;serif" w:hAnsi="Times New Roman;serif"/>
                  <w:b w:val="false"/>
                  <w:color w:val="0000FF"/>
                  <w:sz w:val="20"/>
                  <w:u w:val="single"/>
                </w:rPr>
                <w:t>Condensed Consolidated Statements of Comprehensive Income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22">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25">
              <w:r>
                <w:rPr>
                  <w:rStyle w:val="InternetLink"/>
                  <w:rFonts w:ascii="Times New Roman;serif" w:hAnsi="Times New Roman;serif"/>
                  <w:b w:val="false"/>
                  <w:color w:val="0000FF"/>
                  <w:sz w:val="20"/>
                  <w:u w:val="single"/>
                </w:rPr>
                <w:t>Condensed Consolidated Statements of Stockholders’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25">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28">
              <w:r>
                <w:rPr>
                  <w:rStyle w:val="InternetLink"/>
                  <w:rFonts w:ascii="Times New Roman;serif" w:hAnsi="Times New Roman;serif"/>
                  <w:b w:val="false"/>
                  <w:color w:val="0000FF"/>
                  <w:sz w:val="20"/>
                  <w:u w:val="single"/>
                </w:rPr>
                <w:t>Condensed 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28">
              <w:r>
                <w:rPr>
                  <w:rStyle w:val="InternetLink"/>
                  <w:rFonts w:ascii="Times New Roman;serif" w:hAnsi="Times New Roman;serif"/>
                  <w:b w:val="false"/>
                  <w:color w:val="0000FF"/>
                  <w:sz w:val="20"/>
                  <w:u w:val="singl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31">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31">
              <w:r>
                <w:rPr>
                  <w:rStyle w:val="InternetLink"/>
                  <w:rFonts w:ascii="Times New Roman;serif" w:hAnsi="Times New Roman;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79">
              <w:r>
                <w:rPr>
                  <w:rStyle w:val="InternetLink"/>
                  <w:rFonts w:ascii="Times New Roman;serif" w:hAnsi="Times New Roman;serif"/>
                  <w:b w:val="false"/>
                  <w:color w:val="0000FF"/>
                  <w:sz w:val="20"/>
                  <w:u w:val="single"/>
                </w:rPr>
                <w:t>26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94">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94">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97">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97">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00">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00">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03">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03">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06">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06">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09">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09">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15">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15">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c80d0e2d6a4075ae8c1dfc31fb267a_118">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c80d0e2d6a4075ae8c1dfc31fb267a_118">
              <w:r>
                <w:rPr>
                  <w:rStyle w:val="InternetLink"/>
                  <w:rFonts w:ascii="Times New Roman;serif" w:hAnsi="Times New Roman;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PART I —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9151" w:type="dxa"/>
        <w:jc w:val="left"/>
        <w:tblInd w:w="0" w:type="dxa"/>
        <w:tblLayout w:type="fixed"/>
        <w:tblCellMar>
          <w:top w:w="28" w:type="dxa"/>
          <w:left w:w="28" w:type="dxa"/>
          <w:bottom w:w="28" w:type="dxa"/>
          <w:right w:w="28" w:type="dxa"/>
        </w:tblCellMar>
      </w:tblPr>
      <w:tblGrid>
        <w:gridCol w:w="2198"/>
        <w:gridCol w:w="1926"/>
        <w:gridCol w:w="1935"/>
        <w:gridCol w:w="196"/>
        <w:gridCol w:w="871"/>
        <w:gridCol w:w="109"/>
        <w:gridCol w:w="109"/>
        <w:gridCol w:w="109"/>
        <w:gridCol w:w="109"/>
        <w:gridCol w:w="255"/>
        <w:gridCol w:w="1134"/>
        <w:gridCol w:w="200"/>
      </w:tblGrid>
      <w:tr>
        <w:trPr/>
        <w:tc>
          <w:tcPr>
            <w:tcW w:w="219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credit losses of $435 and $368,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1,231,171 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931,716 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446,387 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468,214 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G)</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5,000,000 shares authorized;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par value $0.01; 90,000,000 shares authorized;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issued: 38,850,618 and 38,628,588, respectively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outstanding: 36,432,564 and 36,210,534, respectively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629,848 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2,418,054 shares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640,770 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1,108,984 </w:t>
            </w:r>
          </w:p>
        </w:tc>
        <w:tc>
          <w:tcPr>
            <w:tcW w:w="2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left"/>
        <w:rPr>
          <w:color w:val="000000"/>
        </w:rPr>
      </w:pPr>
      <w:r>
        <w:rPr>
          <w:color w:val="000000"/>
        </w:rPr>
        <w:t> </w:t>
      </w:r>
    </w:p>
    <w:tbl>
      <w:tblPr>
        <w:tblW w:w="9344" w:type="dxa"/>
        <w:jc w:val="left"/>
        <w:tblInd w:w="0" w:type="dxa"/>
        <w:tblLayout w:type="fixed"/>
        <w:tblCellMar>
          <w:top w:w="28" w:type="dxa"/>
          <w:left w:w="28" w:type="dxa"/>
          <w:bottom w:w="28" w:type="dxa"/>
          <w:right w:w="28" w:type="dxa"/>
        </w:tblCellMar>
      </w:tblPr>
      <w:tblGrid>
        <w:gridCol w:w="1353"/>
        <w:gridCol w:w="1186"/>
        <w:gridCol w:w="11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166,012 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8834" w:type="dxa"/>
        <w:jc w:val="left"/>
        <w:tblInd w:w="0" w:type="dxa"/>
        <w:tblLayout w:type="fixed"/>
        <w:tblCellMar>
          <w:top w:w="28" w:type="dxa"/>
          <w:left w:w="28" w:type="dxa"/>
          <w:bottom w:w="28" w:type="dxa"/>
          <w:right w:w="28" w:type="dxa"/>
        </w:tblCellMar>
      </w:tblPr>
      <w:tblGrid>
        <w:gridCol w:w="1241"/>
        <w:gridCol w:w="1090"/>
        <w:gridCol w:w="110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965" w:type="dxa"/>
        <w:jc w:val="center"/>
        <w:tblInd w:w="0" w:type="dxa"/>
        <w:tblLayout w:type="fixed"/>
        <w:tblCellMar>
          <w:top w:w="28" w:type="dxa"/>
          <w:left w:w="28" w:type="dxa"/>
          <w:bottom w:w="28" w:type="dxa"/>
          <w:right w:w="28" w:type="dxa"/>
        </w:tblCellMar>
      </w:tblPr>
      <w:tblGrid>
        <w:gridCol w:w="630"/>
        <w:gridCol w:w="225"/>
        <w:gridCol w:w="226"/>
        <w:gridCol w:w="323"/>
        <w:gridCol w:w="323"/>
        <w:gridCol w:w="196"/>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285"/>
        <w:gridCol w:w="286"/>
        <w:gridCol w:w="196"/>
        <w:gridCol w:w="109"/>
        <w:gridCol w:w="109"/>
        <w:gridCol w:w="109"/>
        <w:gridCol w:w="196"/>
        <w:gridCol w:w="661"/>
        <w:gridCol w:w="109"/>
        <w:gridCol w:w="109"/>
        <w:gridCol w:w="109"/>
        <w:gridCol w:w="109"/>
        <w:gridCol w:w="246"/>
        <w:gridCol w:w="831"/>
        <w:gridCol w:w="139"/>
        <w:gridCol w:w="109"/>
        <w:gridCol w:w="109"/>
        <w:gridCol w:w="109"/>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in lieu of employee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in lieu of employee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related to Stock Split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in lieu of employee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(31,115)</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965" w:type="dxa"/>
        <w:jc w:val="center"/>
        <w:tblInd w:w="0" w:type="dxa"/>
        <w:tblLayout w:type="fixed"/>
        <w:tblCellMar>
          <w:top w:w="28" w:type="dxa"/>
          <w:left w:w="28" w:type="dxa"/>
          <w:bottom w:w="28" w:type="dxa"/>
          <w:right w:w="28" w:type="dxa"/>
        </w:tblCellMar>
      </w:tblPr>
      <w:tblGrid>
        <w:gridCol w:w="630"/>
        <w:gridCol w:w="225"/>
        <w:gridCol w:w="226"/>
        <w:gridCol w:w="323"/>
        <w:gridCol w:w="323"/>
        <w:gridCol w:w="196"/>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285"/>
        <w:gridCol w:w="286"/>
        <w:gridCol w:w="196"/>
        <w:gridCol w:w="109"/>
        <w:gridCol w:w="109"/>
        <w:gridCol w:w="109"/>
        <w:gridCol w:w="196"/>
        <w:gridCol w:w="661"/>
        <w:gridCol w:w="109"/>
        <w:gridCol w:w="109"/>
        <w:gridCol w:w="109"/>
        <w:gridCol w:w="109"/>
        <w:gridCol w:w="246"/>
        <w:gridCol w:w="831"/>
        <w:gridCol w:w="139"/>
        <w:gridCol w:w="109"/>
        <w:gridCol w:w="109"/>
        <w:gridCol w:w="109"/>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in lieu of employee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(32,430)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in lieu of employee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(24,014)</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384" w:type="dxa"/>
        <w:jc w:val="center"/>
        <w:tblInd w:w="0" w:type="dxa"/>
        <w:tblLayout w:type="fixed"/>
        <w:tblCellMar>
          <w:top w:w="28" w:type="dxa"/>
          <w:left w:w="28" w:type="dxa"/>
          <w:bottom w:w="28" w:type="dxa"/>
          <w:right w:w="28" w:type="dxa"/>
        </w:tblCellMar>
      </w:tblPr>
      <w:tblGrid>
        <w:gridCol w:w="2431"/>
        <w:gridCol w:w="2137"/>
        <w:gridCol w:w="2152"/>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mark-to-market (gain) loss on derivative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(recovery),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surrender value of life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in lieu of employee tax withholding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633,561 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POWELL INDUSTRIES, INC. AND SUBSIDIARIES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4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 Overview and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Powell and our wholly-owned subsidiaries. All intercompany accounts and transactions have been eliminated in consolidation.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should be read in conjunction with the audited consolidated financial statements and notes thereto of Powell and its subsidiaries included in Powell’s Annual Report on Form 10-K for the year ended September 30, 2025, which was filed with the Securities and Exchange Commission (SEC) on November 19,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References to Fiscal 2026 and Fiscal 2025 used throughout this report shall mean the current fiscal year ending September 30, 2026 and the prior fiscal year ended September 30, 2025, respectively.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intangible assets and goodwill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Split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31, 2026, the Company’s Board of Directors adopted an amendment to the Company’s Amended and Restated Certificate of Incorporation to proportionately increase the number of shares of the Company’s authorized common stock from 30,000,000 to 90,000,000 in connection with a forward stock split.</w:t>
      </w:r>
    </w:p>
    <w:p>
      <w:pPr>
        <w:pStyle w:val="TextBody"/>
        <w:bidi w:val="0"/>
        <w:spacing w:lineRule="auto" w:line="288" w:before="120" w:after="283"/>
        <w:jc w:val="both"/>
        <w:rPr/>
      </w:pPr>
      <w:r>
        <w:rPr>
          <w:rFonts w:ascii="Times New Roman;serif" w:hAnsi="Times New Roman;serif"/>
          <w:b w:val="false"/>
          <w:color w:val="000000"/>
          <w:sz w:val="20"/>
        </w:rPr>
        <w:t xml:space="preserve">On April 2, 2026, the Company effected a three-for-one forward split of its common stock and </w:t>
      </w:r>
      <w:r>
        <w:rPr>
          <w:rFonts w:ascii="Times New Roman;serif" w:hAnsi="Times New Roman;serif"/>
          <w:b w:val="false"/>
          <w:color w:val="333D42"/>
          <w:sz w:val="20"/>
        </w:rPr>
        <w:t xml:space="preserve">proportionately </w:t>
      </w:r>
      <w:r>
        <w:rPr>
          <w:rFonts w:ascii="Times New Roman;serif" w:hAnsi="Times New Roman;serif"/>
          <w:b w:val="false"/>
          <w:color w:val="000000"/>
          <w:sz w:val="20"/>
        </w:rPr>
        <w:t>increased the number of shares of authorized common stock from 30,000,000 to 90,000,000 (the Stock Split). Each shareholder of record as of the close of trading on March 20, 2026 (the Record Date) received, after the close of trading on April 2, 2026, two additional shares for every one share held on the Record Date. The shares of common stock retain a par value of $0.01 per share. Accordingly, an amount equal to the par value of the increased shares due to the Stock Split was reclassified from additional paid-in capital to common stock in the third fiscal quarter of 2026. Trading began on a split-adjusted basis at market open on April 6,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 and per share amounts included in the accompanying consolidated financial statements and applicable disclosures throughout this Quarterly Report on Form 10-Q have been retroactively adjusted to reflect the Stock Split.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Accounting Standards Updates Issued but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were permitted. We are currently evaluating the impacts of the new standard.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Reporting Comprehensive Income – Expense Disaggregation Disclosures</w:t>
      </w:r>
      <w:r>
        <w:rPr>
          <w:rFonts w:ascii="Times New Roman;serif" w:hAnsi="Times New Roman;serif"/>
          <w:b w:val="false"/>
          <w:color w:val="000000"/>
          <w:sz w:val="20"/>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basic and diluted weighted average shares used in the computation of earnings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34"/>
        <w:gridCol w:w="1529"/>
        <w:gridCol w:w="154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and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Detail of Selected Balance Sheet Accounts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inventories are summarized below (in thousands):</w:t>
      </w:r>
    </w:p>
    <w:tbl>
      <w:tblPr>
        <w:tblW w:w="6842" w:type="dxa"/>
        <w:jc w:val="left"/>
        <w:tblInd w:w="0" w:type="dxa"/>
        <w:tblLayout w:type="fixed"/>
        <w:tblCellMar>
          <w:top w:w="28" w:type="dxa"/>
          <w:left w:w="28" w:type="dxa"/>
          <w:bottom w:w="28" w:type="dxa"/>
          <w:right w:w="28" w:type="dxa"/>
        </w:tblCellMar>
      </w:tblPr>
      <w:tblGrid>
        <w:gridCol w:w="1369"/>
        <w:gridCol w:w="1202"/>
        <w:gridCol w:w="1208"/>
        <w:gridCol w:w="211"/>
        <w:gridCol w:w="826"/>
        <w:gridCol w:w="109"/>
        <w:gridCol w:w="109"/>
        <w:gridCol w:w="109"/>
        <w:gridCol w:w="109"/>
        <w:gridCol w:w="309"/>
        <w:gridCol w:w="1056"/>
        <w:gridCol w:w="225"/>
      </w:tblGrid>
      <w:tr>
        <w:trP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parts and sub-assemblies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90,743 </w:t>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84,719 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summarized below (in thousands):</w:t>
      </w:r>
    </w:p>
    <w:tbl>
      <w:tblPr>
        <w:tblW w:w="6903" w:type="dxa"/>
        <w:jc w:val="left"/>
        <w:tblInd w:w="0" w:type="dxa"/>
        <w:tblLayout w:type="fixed"/>
        <w:tblCellMar>
          <w:top w:w="28" w:type="dxa"/>
          <w:left w:w="28" w:type="dxa"/>
          <w:bottom w:w="28" w:type="dxa"/>
          <w:right w:w="28" w:type="dxa"/>
        </w:tblCellMar>
      </w:tblPr>
      <w:tblGrid>
        <w:gridCol w:w="1233"/>
        <w:gridCol w:w="1080"/>
        <w:gridCol w:w="1091"/>
        <w:gridCol w:w="211"/>
        <w:gridCol w:w="826"/>
        <w:gridCol w:w="109"/>
        <w:gridCol w:w="109"/>
        <w:gridCol w:w="109"/>
        <w:gridCol w:w="109"/>
        <w:gridCol w:w="284"/>
        <w:gridCol w:w="1114"/>
        <w:gridCol w:w="147"/>
        <w:gridCol w:w="109"/>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24,436 </w:t>
            </w:r>
          </w:p>
        </w:tc>
        <w:tc>
          <w:tcPr>
            <w:tcW w:w="1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99,840 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262,897 </w:t>
            </w:r>
          </w:p>
        </w:tc>
        <w:tc>
          <w:tcPr>
            <w:tcW w:w="1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118,634 </w:t>
            </w:r>
          </w:p>
        </w:tc>
        <w:tc>
          <w:tcPr>
            <w:tcW w:w="10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111,049 </w:t>
            </w:r>
          </w:p>
        </w:tc>
        <w:tc>
          <w:tcPr>
            <w:tcW w:w="147"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assets under finance lease as of June 30, 2026 or September 30, 2025. </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i/>
          <w:color w:val="000000"/>
          <w:sz w:val="20"/>
        </w:rPr>
      </w:pPr>
      <w:r>
        <w:rPr>
          <w:rFonts w:ascii="Times New Roman;serif" w:hAnsi="Times New Roman;serif"/>
          <w:b/>
          <w:i/>
          <w:color w:val="000000"/>
          <w:sz w:val="20"/>
        </w:rPr>
        <w:t>Accrued Product Warranty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Activity in our product warranty accrual consisted of the following (in thousands):</w:t>
      </w:r>
    </w:p>
    <w:tbl>
      <w:tblPr>
        <w:tblW w:w="8391" w:type="dxa"/>
        <w:jc w:val="left"/>
        <w:tblInd w:w="0" w:type="dxa"/>
        <w:tblLayout w:type="fixed"/>
        <w:tblCellMar>
          <w:top w:w="28" w:type="dxa"/>
          <w:left w:w="28" w:type="dxa"/>
          <w:bottom w:w="28" w:type="dxa"/>
          <w:right w:w="28" w:type="dxa"/>
        </w:tblCellMar>
      </w:tblPr>
      <w:tblGrid>
        <w:gridCol w:w="1304"/>
        <w:gridCol w:w="1146"/>
        <w:gridCol w:w="1150"/>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to warranty expense</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warranty charges</w:t>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foreign currency translation</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3"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10"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10"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color w:val="000000"/>
        </w:rPr>
      </w:pPr>
      <w:r>
        <w:rPr>
          <w:color w:val="000000"/>
        </w:rPr>
        <w:t>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60"/>
        <w:jc w:val="both"/>
        <w:rPr/>
      </w:pPr>
      <w:r>
        <w:rPr>
          <w:rFonts w:ascii="Times New Roman;serif" w:hAnsi="Times New Roman;serif"/>
          <w:b w:val="false"/>
          <w:color w:val="000000"/>
          <w:sz w:val="20"/>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serif" w:hAnsi="Times New Roman;serif"/>
          <w:b w:val="false"/>
          <w:color w:val="000000"/>
          <w:sz w:val="13"/>
        </w:rPr>
        <w:t>®</w:t>
      </w:r>
      <w:r>
        <w:rPr>
          <w:rFonts w:ascii="Times New Roman;serif" w:hAnsi="Times New Roman;serif"/>
          <w:b w:val="false"/>
          <w:color w:val="000000"/>
          <w:sz w:val="20"/>
        </w:rPr>
        <w:t xml:space="preserve">), custom-engineered modules or electrical houses (E-Houses). Some contracts may also include the installation and the commissioning of these enclosures.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these contracts is generally recognized over time utilizing the cost-to-cost method. Under the cost-to-cost method, the extent of progress towards completion is measured based on the ratio of costs incurred to date to the total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 </w:t>
      </w:r>
    </w:p>
    <w:p>
      <w:pPr>
        <w:pStyle w:val="TextBody"/>
        <w:bidi w:val="0"/>
        <w:spacing w:lineRule="auto" w:line="288" w:before="180" w:after="283"/>
        <w:jc w:val="both"/>
        <w:rPr/>
      </w:pPr>
      <w:r>
        <w:rPr>
          <w:rFonts w:ascii="Times New Roman;serif" w:hAnsi="Times New Roman;serif"/>
          <w:b w:val="false"/>
          <w:color w:val="000000"/>
          <w:sz w:val="20"/>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97% and 96% of revenues for the three and nine months ended June 30, 2026, respectively, and approximately 95% and 96% of revenues for the three and nine months ended June 30, 2025, respectively</w:t>
      </w:r>
      <w:r>
        <w:rPr>
          <w:rFonts w:ascii="Arial;sans-serif" w:hAnsi="Arial;sans-serif"/>
          <w:b w:val="false"/>
          <w:color w:val="000000"/>
          <w:sz w:val="16"/>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3% and 4% of revenues for the three and nine months ended June 30, 2026, respectively, and approximately 5% and 4% of revenues for the three and nine months ended June 30, 2025,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 xml:space="preserve">Performance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 </w:t>
      </w:r>
    </w:p>
    <w:p>
      <w:pPr>
        <w:pStyle w:val="TextBody"/>
        <w:bidi w:val="0"/>
        <w:spacing w:lineRule="auto" w:line="288" w:before="120" w:after="283"/>
        <w:jc w:val="both"/>
        <w:rPr/>
      </w:pPr>
      <w:r>
        <w:rPr>
          <w:rFonts w:ascii="Times New Roman;serif" w:hAnsi="Times New Roman;serif"/>
          <w:b w:val="false"/>
          <w:color w:val="000000"/>
          <w:sz w:val="20"/>
        </w:rPr>
        <w:t>Remaining unsatisfied performance obligations, which we refer to as backlog, represent the estimated transaction price for goods and services for which we have a material right, but work has not yet been performed. As of June 30, 2026, we had backlog of $2.4 billion, of which approximately $1.3 billion is expected to be recognized as revenue within the next twelve months.</w:t>
      </w:r>
      <w:r>
        <w:rPr>
          <w:color w:val="000000"/>
        </w:rPr>
        <w:t xml:space="preserve"> </w:t>
      </w:r>
      <w:r>
        <w:rPr>
          <w:rFonts w:ascii="Times New Roman;serif" w:hAnsi="Times New Roman;serif"/>
          <w:b w:val="false"/>
          <w:color w:val="000000"/>
          <w:sz w:val="20"/>
        </w:rPr>
        <w:t xml:space="preserve">Backlog may not be indicative of future operating results as orders may be cancelled or modified by our customers. Our backlog does not include service and maintenance-type contracts for which we have the right to invoice as services are performed. </w:t>
      </w:r>
    </w:p>
    <w:p>
      <w:pPr>
        <w:pStyle w:val="TextBody"/>
        <w:bidi w:val="0"/>
        <w:spacing w:lineRule="auto" w:line="288" w:before="240" w:after="160"/>
        <w:jc w:val="left"/>
        <w:rPr>
          <w:rFonts w:ascii="Times New Roman;serif" w:hAnsi="Times New Roman;serif"/>
          <w:b/>
          <w:i/>
          <w:color w:val="000000"/>
          <w:sz w:val="20"/>
        </w:rPr>
      </w:pPr>
      <w:r>
        <w:rPr>
          <w:rFonts w:ascii="Times New Roman;serif" w:hAnsi="Times New Roman;serif"/>
          <w:b/>
          <w:i/>
          <w:color w:val="000000"/>
          <w:sz w:val="20"/>
        </w:rPr>
        <w:t>Contract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reduced profits. Whenever revisions of estimated contract costs and contract values indicate that the contract costs will exceed estimated revenues, thus creating a loss, a provision for the total estimated loss is recorded in that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June 30, 2026 and 2025, our operating results were positively impacted by $12.8 million and $15.1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nine months ended June 30, 2026 and 2025.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Modifications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affects accounts receivable, contract assets and contract liabilities in our Condensed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 </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 assets and liabilities are reported in a net position on a contract-by-contract basis at the end of each reporting period and are generally classified as current. </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and liabilities as of June 30, 2026 and September 30, 2025 are summarized below (in thousands): </w:t>
      </w:r>
    </w:p>
    <w:tbl>
      <w:tblPr>
        <w:tblW w:w="4953" w:type="dxa"/>
        <w:jc w:val="center"/>
        <w:tblInd w:w="0" w:type="dxa"/>
        <w:tblLayout w:type="fixed"/>
        <w:tblCellMar>
          <w:top w:w="28" w:type="dxa"/>
          <w:left w:w="28" w:type="dxa"/>
          <w:bottom w:w="28" w:type="dxa"/>
          <w:right w:w="28" w:type="dxa"/>
        </w:tblCellMar>
      </w:tblPr>
      <w:tblGrid>
        <w:gridCol w:w="657"/>
        <w:gridCol w:w="577"/>
        <w:gridCol w:w="581"/>
        <w:gridCol w:w="211"/>
        <w:gridCol w:w="901"/>
        <w:gridCol w:w="109"/>
        <w:gridCol w:w="109"/>
        <w:gridCol w:w="109"/>
        <w:gridCol w:w="109"/>
        <w:gridCol w:w="265"/>
        <w:gridCol w:w="1132"/>
        <w:gridCol w:w="193"/>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136,679 </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(161,270)</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Our net contract billing position remained a net liability at both June 30, 2026 and September 30, 2025, primarily due to strong bookings and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2026, we recognized revenue of $243.7 million that was related to contract liabilities outstanding at September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our invoice process is typically dependent on the completion of certain milestones and contract terms and is subject to agreement by our customer. Payment is typically expected within 30 days of invoice. Any uncollected invoiced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June 30, 2026 and September 30, 2025, we had retention amounts of $6.0 million and $8.1 million, respectively. Of the retained amount at June 30, 2026, $5.8 million is expected to be collected in the next twelve months and is recorded in accounts receivable. The remaining $0.2 million is recorded in other assets.</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disaggregated revenue by geographic destination and market sector for the three and nine months ended June 30, 2026 and 2025 (in thousands):</w:t>
      </w:r>
    </w:p>
    <w:tbl>
      <w:tblPr>
        <w:tblW w:w="9404" w:type="dxa"/>
        <w:jc w:val="center"/>
        <w:tblInd w:w="0" w:type="dxa"/>
        <w:tblLayout w:type="fixed"/>
        <w:tblCellMar>
          <w:top w:w="28" w:type="dxa"/>
          <w:left w:w="28" w:type="dxa"/>
          <w:bottom w:w="28" w:type="dxa"/>
          <w:right w:w="28" w:type="dxa"/>
        </w:tblCellMar>
      </w:tblPr>
      <w:tblGrid>
        <w:gridCol w:w="1377"/>
        <w:gridCol w:w="1206"/>
        <w:gridCol w:w="121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and South America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 by geographic destination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730" w:type="dxa"/>
        <w:jc w:val="center"/>
        <w:tblInd w:w="0" w:type="dxa"/>
        <w:tblLayout w:type="fixed"/>
        <w:tblCellMar>
          <w:top w:w="28" w:type="dxa"/>
          <w:left w:w="28" w:type="dxa"/>
          <w:bottom w:w="28" w:type="dxa"/>
          <w:right w:w="28" w:type="dxa"/>
        </w:tblCellMar>
      </w:tblPr>
      <w:tblGrid>
        <w:gridCol w:w="1130"/>
        <w:gridCol w:w="993"/>
        <w:gridCol w:w="9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(excludes petrochemical)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utility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other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rail traction power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 by market sector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 Goodwill and Other Intangible Assets</w:t>
      </w:r>
    </w:p>
    <w:p>
      <w:pPr>
        <w:pStyle w:val="TextBody"/>
        <w:bidi w:val="0"/>
        <w:spacing w:lineRule="auto" w:line="288" w:before="18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intangible assets include goodwill of $6.0 million, which is not being amortized, and other intangible assets of $5.4 million being amortized over their estimated useful lives. No impairment expense has been recorded for the last three fiscal years.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jc w:val="both"/>
        <w:rPr/>
      </w:pPr>
      <w:r>
        <w:rPr>
          <w:rFonts w:ascii="Times New Roman;serif" w:hAnsi="Times New Roman;serif"/>
          <w:b w:val="false"/>
          <w:color w:val="000000"/>
          <w:sz w:val="20"/>
        </w:rPr>
        <w:t>The changes in the carrying amount of goodwill for the nine months ended June 30, 2026</w:t>
      </w:r>
      <w:r>
        <w:rPr>
          <w:color w:val="000000"/>
        </w:rPr>
        <w:t xml:space="preserve"> </w:t>
      </w:r>
      <w:r>
        <w:rPr>
          <w:rFonts w:ascii="Arial;sans-serif" w:hAnsi="Arial;sans-serif"/>
          <w:b w:val="false"/>
          <w:color w:val="000000"/>
          <w:sz w:val="16"/>
        </w:rPr>
        <w:t>for</w:t>
      </w:r>
      <w:r>
        <w:rPr>
          <w:color w:val="000000"/>
        </w:rPr>
        <w:t xml:space="preserve"> </w:t>
      </w:r>
      <w:r>
        <w:rPr>
          <w:rFonts w:ascii="Times New Roman;serif" w:hAnsi="Times New Roman;serif"/>
          <w:b w:val="false"/>
          <w:color w:val="000000"/>
          <w:sz w:val="20"/>
        </w:rPr>
        <w:t>our single reporting segment are as follows (in thousands):</w:t>
      </w:r>
    </w:p>
    <w:tbl>
      <w:tblPr>
        <w:tblW w:w="4668" w:type="dxa"/>
        <w:jc w:val="center"/>
        <w:tblInd w:w="0" w:type="dxa"/>
        <w:tblLayout w:type="fixed"/>
        <w:tblCellMar>
          <w:top w:w="28" w:type="dxa"/>
          <w:left w:w="28" w:type="dxa"/>
          <w:bottom w:w="28" w:type="dxa"/>
          <w:right w:w="28" w:type="dxa"/>
        </w:tblCellMar>
      </w:tblPr>
      <w:tblGrid>
        <w:gridCol w:w="1215"/>
        <w:gridCol w:w="1071"/>
        <w:gridCol w:w="1074"/>
        <w:gridCol w:w="109"/>
        <w:gridCol w:w="109"/>
        <w:gridCol w:w="109"/>
        <w:gridCol w:w="211"/>
        <w:gridCol w:w="61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 balances, subject to amortization, at June 30, 2026 and September 30, 2025 consisted of the following (in thousands):</w:t>
      </w:r>
    </w:p>
    <w:tbl>
      <w:tblPr>
        <w:tblW w:w="9872" w:type="dxa"/>
        <w:jc w:val="left"/>
        <w:tblInd w:w="0" w:type="dxa"/>
        <w:tblLayout w:type="fixed"/>
        <w:tblCellMar>
          <w:top w:w="28" w:type="dxa"/>
          <w:left w:w="28" w:type="dxa"/>
          <w:bottom w:w="28" w:type="dxa"/>
          <w:right w:w="28" w:type="dxa"/>
        </w:tblCellMar>
      </w:tblPr>
      <w:tblGrid>
        <w:gridCol w:w="722"/>
        <w:gridCol w:w="635"/>
        <w:gridCol w:w="637"/>
        <w:gridCol w:w="1298"/>
        <w:gridCol w:w="1298"/>
        <w:gridCol w:w="1303"/>
        <w:gridCol w:w="109"/>
        <w:gridCol w:w="109"/>
        <w:gridCol w:w="109"/>
        <w:gridCol w:w="211"/>
        <w:gridCol w:w="616"/>
        <w:gridCol w:w="109"/>
        <w:gridCol w:w="109"/>
        <w:gridCol w:w="109"/>
        <w:gridCol w:w="109"/>
        <w:gridCol w:w="284"/>
        <w:gridCol w:w="649"/>
        <w:gridCol w:w="148"/>
        <w:gridCol w:w="109"/>
        <w:gridCol w:w="109"/>
        <w:gridCol w:w="109"/>
        <w:gridCol w:w="21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Weighted Average Remaining Useful Lives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Technologies</w:t>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Useful Lives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Technologies</w:t>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additional technology intangible asset of $0.5 million associated with an intellectual property acquired in December 2023 which has not yet been subject to amortization.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future amortization expense of intangible assets is as follows (in thousands):</w:t>
      </w:r>
    </w:p>
    <w:tbl>
      <w:tblPr>
        <w:tblW w:w="2908" w:type="dxa"/>
        <w:jc w:val="left"/>
        <w:tblInd w:w="0" w:type="dxa"/>
        <w:tblLayout w:type="fixed"/>
        <w:tblCellMar>
          <w:top w:w="28" w:type="dxa"/>
          <w:left w:w="28" w:type="dxa"/>
          <w:bottom w:w="28" w:type="dxa"/>
          <w:right w:w="28" w:type="dxa"/>
        </w:tblCellMar>
      </w:tblPr>
      <w:tblGrid>
        <w:gridCol w:w="608"/>
        <w:gridCol w:w="534"/>
        <w:gridCol w:w="538"/>
        <w:gridCol w:w="211"/>
        <w:gridCol w:w="616"/>
        <w:gridCol w:w="401"/>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 Long-Term 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 Revolver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amounts borrowed under the U.S. Revolver, and letters of credit outstanding were $103.9 million. There was $46.1 million available for the issuance of letters of credit and borrowings under the U.S. Revolver as of June 30,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of the financial covenants of the U.S. Revolver.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Letters of Credit, Bank Guarantees and Bonds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$103.9 million as of June 30, 2026. We also had surety bonds totaling $492.4 million that were outstanding, with additional bonding capacity of $707.6 million available, at June 30, 2026. We have strong surety relationships; however, a change in market conditions or the sureties’ assessment of our financial position could cause the sureties to require cash collateralization for undischarged liabilities under the bonds.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$19.9 million facility agreement (Facility Agreement) between Powell (UK) Limited and a large international bank that provides Powell (UK) Limited the ability to enter into bank guarantees as well as forward exchange contracts and currency options. At June 30, 2026, we had outstanding guarantees totaling $5.7 million, with an additional capacity of $14.2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2026, we were in compliance with all of the financial covenants of the Facility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or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Liquidated Damages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our customer contracts have schedule and performance obligation clauses that, if we fail to meet them, could require us to pay liquidated damages. Each individual contract defines the conditions under which the customer may make a claim against us. As of June 30, 2026, certain contracts had a probable exposure to liquidated damages claims of $6.3 million, which could possibly increase to $9.3 million under certain circumstances. Based on our actual or projected failure to meet these various contractual commitments, $5.1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our Annual Report on Form 10-K for the fiscal year ended September 30, 2025 for a full description of our existing stock-based compensation plans.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revenue growth, earnings and safety performance of the Company following the grant date. At June 30, 2026, there were 166,118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RSU activity (number of shares) for the nine months ended June 30, 2026 is summarized below:</w:t>
      </w:r>
    </w:p>
    <w:tbl>
      <w:tblPr>
        <w:tblW w:w="5572" w:type="dxa"/>
        <w:jc w:val="left"/>
        <w:tblInd w:w="0" w:type="dxa"/>
        <w:tblLayout w:type="fixed"/>
        <w:tblCellMar>
          <w:top w:w="28" w:type="dxa"/>
          <w:left w:w="28" w:type="dxa"/>
          <w:bottom w:w="28" w:type="dxa"/>
          <w:right w:w="28" w:type="dxa"/>
        </w:tblCellMar>
      </w:tblPr>
      <w:tblGrid>
        <w:gridCol w:w="1081"/>
        <w:gridCol w:w="949"/>
        <w:gridCol w:w="954"/>
        <w:gridCol w:w="449"/>
        <w:gridCol w:w="451"/>
        <w:gridCol w:w="296"/>
        <w:gridCol w:w="109"/>
        <w:gridCol w:w="109"/>
        <w:gridCol w:w="109"/>
        <w:gridCol w:w="229"/>
        <w:gridCol w:w="669"/>
        <w:gridCol w:w="167"/>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Value</w:t>
              <w:br/>
              <w:t>Per Share</w:t>
            </w:r>
          </w:p>
        </w:tc>
      </w:tr>
      <w:tr>
        <w:trPr/>
        <w:tc>
          <w:tcPr>
            <w:tcW w:w="29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350,658 </w:t>
            </w:r>
          </w:p>
        </w:tc>
        <w:tc>
          <w:tcPr>
            <w:tcW w:w="2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6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(245,130)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00"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166,118 </w:t>
            </w:r>
          </w:p>
        </w:tc>
        <w:tc>
          <w:tcPr>
            <w:tcW w:w="2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and 2025, we recorded compensation expense of $3.7 million and $3.1 million, respectively, related to the RSUs.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year, every non-employee director receives restricted shares of the Company’s common stock with a grant-date value of $0.1 million.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2026, 4,200 shares of restricted stock were issued to our non-employee directors at a price of $184.83 per share. During the nine months ended June 30, 2026 and 2025, we recorded compensation expense of $0.6 million and $0.5 million, respectively, related to restricted stock.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are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(unadjusted)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data and require the reporting entity to develop its own assumptions.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assets and liabilities that were accounted for at fair value on a recurring basis as of June 30, 2026 (in thousands):</w:t>
      </w:r>
    </w:p>
    <w:p>
      <w:pPr>
        <w:pStyle w:val="TextBody"/>
        <w:bidi w:val="0"/>
        <w:spacing w:lineRule="auto" w:line="288" w:before="4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89"/>
        <w:gridCol w:w="1351"/>
        <w:gridCol w:w="1362"/>
        <w:gridCol w:w="255"/>
        <w:gridCol w:w="1002"/>
        <w:gridCol w:w="132"/>
        <w:gridCol w:w="109"/>
        <w:gridCol w:w="109"/>
        <w:gridCol w:w="109"/>
        <w:gridCol w:w="360"/>
        <w:gridCol w:w="694"/>
        <w:gridCol w:w="187"/>
        <w:gridCol w:w="109"/>
        <w:gridCol w:w="109"/>
        <w:gridCol w:w="109"/>
        <w:gridCol w:w="318"/>
        <w:gridCol w:w="612"/>
        <w:gridCol w:w="166"/>
        <w:gridCol w:w="109"/>
        <w:gridCol w:w="109"/>
        <w:gridCol w:w="109"/>
        <w:gridCol w:w="211"/>
        <w:gridCol w:w="826"/>
        <w:gridCol w:w="159"/>
      </w:tblGrid>
      <w:tr>
        <w:trPr/>
        <w:tc>
          <w:tcPr>
            <w:tcW w:w="158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w:t>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br/>
              <w:t>June 30,</w:t>
              <w:br/>
              <w:t>2026</w:t>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future payments related to the acquisition of Remsdaq</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assets and liabilities that were accounted for at fair value on a recurring basis as of September 30, 2025 (in thousands):</w:t>
      </w:r>
    </w:p>
    <w:tbl>
      <w:tblPr>
        <w:tblW w:w="10205" w:type="dxa"/>
        <w:jc w:val="left"/>
        <w:tblInd w:w="0" w:type="dxa"/>
        <w:tblLayout w:type="fixed"/>
        <w:tblCellMar>
          <w:top w:w="28" w:type="dxa"/>
          <w:left w:w="28" w:type="dxa"/>
          <w:bottom w:w="28" w:type="dxa"/>
          <w:right w:w="28" w:type="dxa"/>
        </w:tblCellMar>
      </w:tblPr>
      <w:tblGrid>
        <w:gridCol w:w="1589"/>
        <w:gridCol w:w="1351"/>
        <w:gridCol w:w="1362"/>
        <w:gridCol w:w="255"/>
        <w:gridCol w:w="1002"/>
        <w:gridCol w:w="132"/>
        <w:gridCol w:w="109"/>
        <w:gridCol w:w="109"/>
        <w:gridCol w:w="109"/>
        <w:gridCol w:w="360"/>
        <w:gridCol w:w="694"/>
        <w:gridCol w:w="187"/>
        <w:gridCol w:w="109"/>
        <w:gridCol w:w="109"/>
        <w:gridCol w:w="109"/>
        <w:gridCol w:w="318"/>
        <w:gridCol w:w="612"/>
        <w:gridCol w:w="166"/>
        <w:gridCol w:w="109"/>
        <w:gridCol w:w="109"/>
        <w:gridCol w:w="109"/>
        <w:gridCol w:w="211"/>
        <w:gridCol w:w="826"/>
        <w:gridCol w:w="159"/>
      </w:tblGrid>
      <w:tr>
        <w:trPr/>
        <w:tc>
          <w:tcPr>
            <w:tcW w:w="158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September 30, 2025</w:t>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br/>
              <w:t>September 30,</w:t>
              <w:br/>
              <w:t>2025</w:t>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future payments related to the acquisition of Remsdaq</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pStyle w:val="TextBody"/>
        <w:bidi w:val="0"/>
        <w:spacing w:lineRule="auto" w:line="288" w:before="120" w:after="283"/>
        <w:jc w:val="both"/>
        <w:rPr/>
      </w:pP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 xml:space="preserve">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 </w:t>
      </w:r>
    </w:p>
    <w:p>
      <w:pPr>
        <w:pStyle w:val="TextBody"/>
        <w:bidi w:val="0"/>
        <w:spacing w:lineRule="auto" w:line="288" w:before="240" w:after="283"/>
        <w:jc w:val="both"/>
        <w:rPr/>
      </w:pPr>
      <w:r>
        <w:rPr>
          <w:rFonts w:ascii="Times New Roman;serif" w:hAnsi="Times New Roman;serif"/>
          <w:b w:val="false"/>
          <w:i/>
          <w:color w:val="000000"/>
          <w:sz w:val="20"/>
        </w:rPr>
        <w:t xml:space="preserve">Short-term investments </w:t>
      </w:r>
      <w:r>
        <w:rPr>
          <w:color w:val="000000"/>
        </w:rPr>
        <w:t xml:space="preserve">– </w:t>
      </w:r>
      <w:r>
        <w:rPr>
          <w:rFonts w:ascii="Times New Roman;serif" w:hAnsi="Times New Roman;serif"/>
          <w:b w:val="false"/>
          <w:color w:val="000000"/>
          <w:sz w:val="20"/>
        </w:rPr>
        <w:t>Short-term investments include time deposits with original maturities of three months or more.</w:t>
      </w:r>
    </w:p>
    <w:p>
      <w:pPr>
        <w:pStyle w:val="TextBody"/>
        <w:bidi w:val="0"/>
        <w:spacing w:lineRule="auto" w:line="288" w:before="240" w:after="283"/>
        <w:jc w:val="both"/>
        <w:rPr/>
      </w:pPr>
      <w:r>
        <w:rPr>
          <w:rFonts w:ascii="Times New Roman;serif" w:hAnsi="Times New Roman;serif"/>
          <w:b w:val="false"/>
          <w:i/>
          <w:color w:val="000000"/>
          <w:sz w:val="20"/>
        </w:rPr>
        <w:t xml:space="preserve">Rabbi trust assets and deferred compensation </w:t>
      </w:r>
      <w:r>
        <w:rPr>
          <w:color w:val="000000"/>
        </w:rPr>
        <w:t xml:space="preserve">– </w:t>
      </w:r>
      <w:r>
        <w:rPr>
          <w:rFonts w:ascii="Times New Roman;serif" w:hAnsi="Times New Roman;serif"/>
          <w:b w:val="false"/>
          <w:color w:val="000000"/>
          <w:sz w:val="20"/>
        </w:rPr>
        <w:t>We hold investments in an irrevocable rabbi trust for our deferred compensation plan. The assets are 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pStyle w:val="TextBody"/>
        <w:bidi w:val="0"/>
        <w:spacing w:lineRule="auto" w:line="288" w:before="240" w:after="283"/>
        <w:jc w:val="both"/>
        <w:rPr/>
      </w:pPr>
      <w:r>
        <w:rPr>
          <w:rFonts w:ascii="Times New Roman;serif" w:hAnsi="Times New Roman;serif"/>
          <w:b w:val="false"/>
          <w:i/>
          <w:color w:val="000000"/>
          <w:sz w:val="20"/>
        </w:rPr>
        <w:t xml:space="preserve">Contingent future payments related to the acquisition of Remsdaq </w:t>
      </w:r>
      <w:r>
        <w:rPr>
          <w:color w:val="000000"/>
        </w:rPr>
        <w:t xml:space="preserve">– </w:t>
      </w:r>
      <w:r>
        <w:rPr>
          <w:rFonts w:ascii="Times New Roman;serif" w:hAnsi="Times New Roman;serif"/>
          <w:b w:val="false"/>
          <w:color w:val="000000"/>
          <w:sz w:val="20"/>
        </w:rPr>
        <w:t>The contingent future payments were calculated using a probability outcome model based on internally developed assumptions; accordingly, they are categorized as Level 3 in the fair value measurement hierarchy.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levels within the fair value measurement hierarchy during the quarter ended June 30,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leases consist primarily of office, warehouse and manufacturing space, as well as construction equipment. All of our future lease obligations are related to non-cancelable operating leases. The following table provides a summary of lease cost components for the three and nine months ended June 30, 2026 and 2025, respectively (in thousands):</w:t>
      </w:r>
    </w:p>
    <w:p>
      <w:pPr>
        <w:pStyle w:val="TextBody"/>
        <w:bidi w:val="0"/>
        <w:spacing w:before="0" w:after="0"/>
        <w:jc w:val="left"/>
        <w:rPr/>
      </w:pPr>
      <w:r>
        <w:rPr/>
      </w:r>
    </w:p>
    <w:tbl>
      <w:tblPr>
        <w:tblW w:w="7081" w:type="dxa"/>
        <w:jc w:val="center"/>
        <w:tblInd w:w="0" w:type="dxa"/>
        <w:tblLayout w:type="fixed"/>
        <w:tblCellMar>
          <w:top w:w="28" w:type="dxa"/>
          <w:left w:w="28" w:type="dxa"/>
          <w:bottom w:w="28" w:type="dxa"/>
          <w:right w:w="28" w:type="dxa"/>
        </w:tblCellMar>
      </w:tblPr>
      <w:tblGrid>
        <w:gridCol w:w="712"/>
        <w:gridCol w:w="625"/>
        <w:gridCol w:w="628"/>
        <w:gridCol w:w="109"/>
        <w:gridCol w:w="109"/>
        <w:gridCol w:w="109"/>
        <w:gridCol w:w="228"/>
        <w:gridCol w:w="667"/>
        <w:gridCol w:w="118"/>
        <w:gridCol w:w="118"/>
        <w:gridCol w:w="118"/>
        <w:gridCol w:w="118"/>
        <w:gridCol w:w="228"/>
        <w:gridCol w:w="505"/>
        <w:gridCol w:w="118"/>
        <w:gridCol w:w="109"/>
        <w:gridCol w:w="109"/>
        <w:gridCol w:w="109"/>
        <w:gridCol w:w="211"/>
        <w:gridCol w:w="616"/>
        <w:gridCol w:w="109"/>
        <w:gridCol w:w="109"/>
        <w:gridCol w:w="109"/>
        <w:gridCol w:w="109"/>
        <w:gridCol w:w="211"/>
        <w:gridCol w:w="61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Short-term lease cost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Variable lease cost represents common area maintenance charges.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Short-term lease cost includes leases and rentals with initial terms of one year or less.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June 30, 2026 and September 30, 2025, respectively (in thousands):</w:t>
      </w:r>
    </w:p>
    <w:p>
      <w:pPr>
        <w:pStyle w:val="TextBody"/>
        <w:bidi w:val="0"/>
        <w:spacing w:before="0" w:after="0"/>
        <w:jc w:val="left"/>
        <w:rPr/>
      </w:pPr>
      <w:r>
        <w:rPr/>
      </w:r>
    </w:p>
    <w:tbl>
      <w:tblPr>
        <w:tblW w:w="6817" w:type="dxa"/>
        <w:jc w:val="center"/>
        <w:tblInd w:w="0" w:type="dxa"/>
        <w:tblLayout w:type="fixed"/>
        <w:tblCellMar>
          <w:top w:w="28" w:type="dxa"/>
          <w:left w:w="28" w:type="dxa"/>
          <w:bottom w:w="28" w:type="dxa"/>
          <w:right w:w="28" w:type="dxa"/>
        </w:tblCellMar>
      </w:tblPr>
      <w:tblGrid>
        <w:gridCol w:w="1114"/>
        <w:gridCol w:w="977"/>
        <w:gridCol w:w="984"/>
        <w:gridCol w:w="109"/>
        <w:gridCol w:w="109"/>
        <w:gridCol w:w="109"/>
        <w:gridCol w:w="287"/>
        <w:gridCol w:w="839"/>
        <w:gridCol w:w="148"/>
        <w:gridCol w:w="109"/>
        <w:gridCol w:w="109"/>
        <w:gridCol w:w="109"/>
        <w:gridCol w:w="390"/>
        <w:gridCol w:w="1138"/>
        <w:gridCol w:w="286"/>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Fiscal 2026, we executed two operating leases, one in Canada for additional office and warehouse space and the other adjacent to our Houston manufacturing facility for additional manufacturing and warehouse space. Both leases are expected to commence in Fiscal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maturities of our operating lease liabilities as of June 30, 2026, as well as our executed operating leases with future commencement dates (in thousands):</w:t>
      </w:r>
    </w:p>
    <w:tbl>
      <w:tblPr>
        <w:tblW w:w="10205" w:type="dxa"/>
        <w:jc w:val="center"/>
        <w:tblInd w:w="0" w:type="dxa"/>
        <w:tblLayout w:type="fixed"/>
        <w:tblCellMar>
          <w:top w:w="28" w:type="dxa"/>
          <w:left w:w="28" w:type="dxa"/>
          <w:bottom w:w="28" w:type="dxa"/>
          <w:right w:w="28" w:type="dxa"/>
        </w:tblCellMar>
      </w:tblPr>
      <w:tblGrid>
        <w:gridCol w:w="1301"/>
        <w:gridCol w:w="1143"/>
        <w:gridCol w:w="1150"/>
        <w:gridCol w:w="109"/>
        <w:gridCol w:w="109"/>
        <w:gridCol w:w="109"/>
        <w:gridCol w:w="282"/>
        <w:gridCol w:w="824"/>
        <w:gridCol w:w="145"/>
        <w:gridCol w:w="109"/>
        <w:gridCol w:w="109"/>
        <w:gridCol w:w="109"/>
        <w:gridCol w:w="616"/>
        <w:gridCol w:w="1800"/>
        <w:gridCol w:w="322"/>
        <w:gridCol w:w="109"/>
        <w:gridCol w:w="109"/>
        <w:gridCol w:w="109"/>
        <w:gridCol w:w="309"/>
        <w:gridCol w:w="904"/>
        <w:gridCol w:w="160"/>
        <w:gridCol w:w="109"/>
        <w:gridCol w:w="15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 Signed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Leases Not Yet Commenced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 in Effect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discount rate as of June 30, 2026 and 2025 were 7.67% and 6.60%, respectively. The weighted average remaining lease term was 3.03 years and 2.19 years, respectively, at June 30, 2026 and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business as one reportable operating segment and our revenues are primarily generated from the development, design, manufacturing and servicing of custom-engineered equipment and systems for the distribution, control and monitoring of electrical energy.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The CODM manages and allocates resources on a total consolidated basis by assessing performance of revenues and earnings before interest and taxes (“EBIT”) using actual-to-actual, actual-to-plan and actual-to-forecast variance analysis. The measure of segment profit and loss regularly provided to the CODM that is most consistent with GAAP is consolidated net income, as presented in our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The CODM does not manage cost components by product, customer type or service type, nor does the CODM regularly receive disaggregated information at this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30, 2026 and 2025, the summary of segment net income, including segment expenses, for our single reportable segment were as follows (in thousands):</w:t>
      </w:r>
    </w:p>
    <w:p>
      <w:pPr>
        <w:pStyle w:val="TextBody"/>
        <w:bidi w:val="0"/>
        <w:spacing w:before="0" w:after="0"/>
        <w:jc w:val="both"/>
        <w:rPr/>
      </w:pPr>
      <w:r>
        <w:rPr/>
      </w:r>
    </w:p>
    <w:tbl>
      <w:tblPr>
        <w:tblW w:w="9217" w:type="dxa"/>
        <w:jc w:val="left"/>
        <w:tblInd w:w="0" w:type="dxa"/>
        <w:tblLayout w:type="fixed"/>
        <w:tblCellMar>
          <w:top w:w="28" w:type="dxa"/>
          <w:left w:w="28" w:type="dxa"/>
          <w:bottom w:w="28" w:type="dxa"/>
          <w:right w:w="28" w:type="dxa"/>
        </w:tblCellMar>
      </w:tblPr>
      <w:tblGrid>
        <w:gridCol w:w="1120"/>
        <w:gridCol w:w="982"/>
        <w:gridCol w:w="98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671"/>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46,717 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currency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651,720 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 EBIT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154,615 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230,855 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Revenues by country or geographic region represent sales to unaffiliated customers as determined by the ultimate destination of our products and services, summarized for the three and nine months ended June 30, 2026 and 2025 (in thousands):</w:t>
      </w:r>
    </w:p>
    <w:tbl>
      <w:tblPr>
        <w:tblW w:w="8639" w:type="dxa"/>
        <w:jc w:val="center"/>
        <w:tblInd w:w="0" w:type="dxa"/>
        <w:tblLayout w:type="fixed"/>
        <w:tblCellMar>
          <w:top w:w="28" w:type="dxa"/>
          <w:left w:w="28" w:type="dxa"/>
          <w:bottom w:w="28" w:type="dxa"/>
          <w:right w:w="28" w:type="dxa"/>
        </w:tblCellMar>
      </w:tblPr>
      <w:tblGrid>
        <w:gridCol w:w="1099"/>
        <w:gridCol w:w="963"/>
        <w:gridCol w:w="96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East and Africa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 Central and South America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Long-lived assets by country consist of property, plant and equipment, net of accumulated depreciation and are determined based on the location of the tangible assets, summarized below (in thousands):</w:t>
      </w:r>
    </w:p>
    <w:tbl>
      <w:tblPr>
        <w:tblW w:w="4667" w:type="dxa"/>
        <w:jc w:val="left"/>
        <w:tblInd w:w="0" w:type="dxa"/>
        <w:tblLayout w:type="fixed"/>
        <w:tblCellMar>
          <w:top w:w="28" w:type="dxa"/>
          <w:left w:w="28" w:type="dxa"/>
          <w:bottom w:w="28" w:type="dxa"/>
          <w:right w:w="28" w:type="dxa"/>
        </w:tblCellMar>
      </w:tblPr>
      <w:tblGrid>
        <w:gridCol w:w="581"/>
        <w:gridCol w:w="511"/>
        <w:gridCol w:w="513"/>
        <w:gridCol w:w="211"/>
        <w:gridCol w:w="826"/>
        <w:gridCol w:w="109"/>
        <w:gridCol w:w="109"/>
        <w:gridCol w:w="109"/>
        <w:gridCol w:w="109"/>
        <w:gridCol w:w="281"/>
        <w:gridCol w:w="1103"/>
        <w:gridCol w:w="20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calculation of the effective tax rate is as follows (in thousands):</w:t>
      </w:r>
    </w:p>
    <w:tbl>
      <w:tblPr>
        <w:tblW w:w="8432" w:type="dxa"/>
        <w:jc w:val="left"/>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income tax provision reflects an effective tax rate on pre-tax income of 25% and 22% for the three and nine months ended June 30, 2026, and June 30, 2025. The effective tax rates for each period were favorably impacted by the estimated Research and Development (R&amp;D) Tax Credit, which was offset by the tax expense related to certain nondeductible items. In addition, discrete items related to the vesting of RSUs recorded in the first quarters of Fiscal 2026 and Fiscal 2025 favorably impacted the effective tax rate for the nine months ended June 30, 2026 and June 30,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Quarterly Dividend Declared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3, 2026, our Board of Directors declared a quarterly cash dividend on our common stock in the amount of $0.09 per share. The dividend is payable on September 16, 2026 to shareholders of record at the close of business on August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all references to “we,” “us,” “our,” “Powell” or “the Company” include Powell Industries, Inc. and its consolidated subsidiaries.</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(including our characterization of new orders as “large” or “mega,” which is used herein to indicate orders ranging from $10 to $50 million or larger than $50 million, respectively), revenues, income, acquisitions, liquidity and capital expenditures, the effect of tariffs, and expectations with respect to, or the impacts of, data center projects becoming a larger component of our backlog and revenues,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including with respect to data centers, the potential effects of ongoing military disputes (including current conflicts in Ukraine and Iran), electronic, cyber or physical security breaches, and other factors detailed herein and in our other SEC filings. Additional important risks, uncertainties and other factors are detailed below.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Factors Related to our Business and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the cyclical nature of the end markets that we serve. This cyclicality has had, and may continue to have, an adverse effect on our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industry is highly competitive.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backlog is subject to unexpected adjustments, cancellations and scope reductions and, therefore, may not be a reliable indicator of our future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place competitive bids and adequately project future costs may result in losses on our fixed-price contracts with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Supplier concentration and limited supplier capacity may adversely impact our business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requires skilled and unskilled labor, and we may be unable to attract and retain qualified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Revenues recognized over time from our fixed-price contracts could result in volatility in our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exposed to risks relating to the use of subcontractors.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Technological innovations may make existing products and production methods obsolete. The development or use of Artificial Intelligence (AI) by our competitors or other third parties may impair our ability to compete effectively and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be successful in our AI initiatives, which could adversely affect our business, reputation,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Unforeseen difficulties with expansions, relocations, or consolidations of existing facilities could adversely affect 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Quality problems with our products could harm our reputation and erode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Many of our contracts contain performance obligations that may subject us to penalties or additional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Growth and product diversification through strategic acquisitions involve a number of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Misconduct by our employees or subcontractors, or a failure to </w:t>
      </w:r>
      <w:r>
        <w:rPr>
          <w:rFonts w:ascii="Times New Roman;serif" w:hAnsi="Times New Roman;serif"/>
          <w:b w:val="false"/>
          <w:color w:val="252525"/>
          <w:sz w:val="20"/>
        </w:rPr>
        <w:t>comply with applicable laws or regulations, could harm our reputation, damage our relationships with customers and subject us to criminal and civil enforcement actions.</w:t>
      </w:r>
    </w:p>
    <w:p>
      <w:pPr>
        <w:pStyle w:val="TextBody"/>
        <w:bidi w:val="0"/>
        <w:spacing w:lineRule="auto" w:line="288" w:before="120" w:after="283"/>
        <w:ind w:left="0" w:right="0" w:hanging="360"/>
        <w:jc w:val="both"/>
        <w:rPr/>
      </w:pPr>
      <w:r>
        <w:rPr>
          <w:color w:val="252525"/>
        </w:rPr>
        <w:t>•</w:t>
      </w:r>
      <w:r>
        <w:rPr>
          <w:rFonts w:ascii="Times New Roman;serif" w:hAnsi="Times New Roman;serif"/>
          <w:b w:val="false"/>
          <w:color w:val="252525"/>
          <w:sz w:val="20"/>
        </w:rPr>
        <w:t>Unsatisfactory safety performance may subject us to penalties, negatively impact customer relationships, result in higher operating costs, and negatively impact employee morale and turnover.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Factors Related to our Financial Condition and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Global economic uncertainty and financial market conditions may impact our customer base, suppliers and backlog.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Fluctuations in the price and supply of materials used to manufacture our products may reduce our profits and could adversely impact our ability to meet commitments to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surety bonds, letters of credit, bank guarantees, or other financial assurances, may be necessary for us to successfully bid on and obtain certain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remain in compliance with covenants or obtain waivers or amendments under our credit agreement could adversely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extend credit to customers in conjunction with our performance under fixed-price contracts which subjects us to potential credit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significant portion of our revenues may be concentrated among a small number of customers and may be subject to the risks of particular industries.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international operations expose us to risks that are different from, or possibly greater than, the risks we are exposed to domestically and may adversely affect 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access credit and capital markets may be limited, which could adversely affect our liquidity, operations, and growth strategy.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Factors Related to our Corporate Structure and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Provisions of our charter documents or Delaware law could delay or prevent a change in control of our company, even if that change would be beneficial to our shareholders.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personal liability of our directors and officers for monetary damages for breach of their fiduciary duty of care is limited by the Delaware General Corporation Law and by our certificate of incorporation.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exclusive-forum provision contained in our bylaws could limit our stockholders’ ability to obtain a favorable judicial forum for disputes with us or our directors, officers or other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stock price could decline or fluctuate significantly due to unforeseen circumstances that may be outside of our control. These fluctuations may cause our stockholders to incur losses.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can be no assurance that we will declare or pay future dividends on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issue preferred stock on terms that could adversely affect the voting power or value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Factors Related to Legal and Regulatory Matters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operations could be adversely impacted by the effects of government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and potential claims, lawsuits and proceedings could ultimately reduce our profitability and liquidity and weaken our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tax laws and regulations may change our effective tax rate and could have a material effect on our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develop, obtain, enforce, and protect intellectual property rights or third-party claims that we are infringing on their intellectual property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developments arising from tariffs and other economic proposals could adversely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Failures or weaknesses in our internal controls over financial reporting could adversely affect our ability to report on our financial condition and results of operations accurately or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carry insurance against many potential liabilities, but our management of risk may leave us exposed to unidentified or unanticipated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Catastrophic events, including natural disasters, health epidemics, acts of war and terrorism, climate change, among others, could disrupt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failure in our business systems or cybersecurity attacks on any of our facilities, or those of third parties, could adversely affect our business, results of operations and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privacy, data protection, and information security may require significant resources and present certain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and compliance with Environmental, Social, and Governance (ESG) initiatives could adversely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departure of key personnel could disrupt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Refer to “Risk Factors” in Part I. Item 1A of our Annual Report on Form 10-K for the year ended September 30, 2025, which was filed with the SEC on November 19, 2025. We can provide no assurance that the forward-looking statements contained in this report will occur as expected, and actual results may differ materially from those included in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w:t>
      </w:r>
      <w:r>
        <w:rPr>
          <w:color w:val="000000"/>
        </w:rPr>
        <w:t xml:space="preserve"> </w:t>
      </w:r>
      <w:r>
        <w:rPr>
          <w:rFonts w:ascii="Times New Roman;serif" w:hAnsi="Times New Roman;serif"/>
          <w:b/>
          <w:i/>
          <w:color w:val="000000"/>
          <w:sz w:val="20"/>
        </w:rPr>
        <w:t>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2025, which was filed with the SEC on November 19, 2025 and is available on the SEC’s website at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2026, we reported revenue of $311.7 million, net income of $52.2 million, and generated $100.2 million in cash from operating activities. As of June 30, 2026, we had total assets of $1.4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2026, we effected a three-for-one forward split of our common stock and proportionately increased the number of authorized common stock from 30,000,000 to 90,000,000 (the Stock Split). Each shareholder of record as of the close of trading on March 20, 2026 (the Record Date) received, after the close of trading on April 2, 2026, two additional shares for every one share held on the Record Date. Trading began on a split-adjusted basis at market open on April 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Market 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backlog increased to $2.4 billion as of June 30, 2026, with approximately $1.3 billion expected to be recognized as revenue within the next twelve months. During the first nine months of Fiscal 2026, commercial activity remained favorable across most of our end markets, with particularly strong demand in the commercial and other industrial, oil and gas (excluding petrochemical), and electric utility markets.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diversification of our business over the past several years, including expansion into secular growth markets such as electric utility and data centers, has reduced the cyclicality of our business. This diversification allows us to see beyond the current cycle and invest alongside our customers with greater visibility. Customer relationships in these markets are increasingly strategic and consultative, with opportunities ranging from discrete project engagements to broader, infrastructure planning arrangements.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fiscal quarter, we achieved total bookings of $934 million, including three mega orders, a data center project valued at over $400 million, which was disclosed as a subsequent event in the second fiscal quarter, a Liquefied Natural Gas (LNG) project valued at approximately $60 million, and a petrochemical project valued at approximately $75 million. For the first nine months of Fiscal 2026, bookings totaled $1.9 billion, including seven mega orders across diverse end markets, demonstrating continued customer investment and strong market activity. We remain encouraged by the outlook for both the data center and electric utility end markets and the durability of the current investment cycles. Notwithstanding this momentum, we continue to monitor macroeconomic conditions and geopolitical developments that could affect customer spending behavior or the timing of project awards. While current demand indicators remain positive, these external factors could influence future levels of market activity. </w:t>
      </w:r>
    </w:p>
    <w:p>
      <w:pPr>
        <w:pStyle w:val="TextBody"/>
        <w:bidi w:val="0"/>
        <w:spacing w:lineRule="auto" w:line="288" w:before="120" w:after="283"/>
        <w:jc w:val="both"/>
        <w:rPr/>
      </w:pPr>
      <w:r>
        <w:rPr>
          <w:rFonts w:ascii="Times New Roman;serif" w:hAnsi="Times New Roman;serif"/>
          <w:b w:val="false"/>
          <w:i/>
          <w:color w:val="000000"/>
          <w:sz w:val="20"/>
        </w:rPr>
        <w:t>Oil and gas and petrochemical markets.</w:t>
      </w:r>
      <w:r>
        <w:rPr>
          <w:color w:val="000000"/>
        </w:rPr>
        <w:t xml:space="preserve"> </w:t>
      </w:r>
      <w:r>
        <w:rPr>
          <w:rFonts w:ascii="Times New Roman;serif" w:hAnsi="Times New Roman;serif"/>
          <w:b w:val="false"/>
          <w:color w:val="000000"/>
          <w:sz w:val="20"/>
        </w:rPr>
        <w:t>North American oil and gas end markets continue to exhibit strong commercial activity levels in response to rising global demand for LNG and gas-to</w:t>
        <w:noBreakHyphen/>
        <w:t>chemical processes that leverage low</w:t>
        <w:noBreakHyphen/>
        <w:t>cost natural gas feedstocks. We believe the fundamentals of the U.S. natural gas market, through abundant supply and competitive cost, continue to support investments in LNG facilities and related gas processing infrastructure. These dynamics contributed to sustained order activity, including a mega LNG project award of approximately $60 million during the third fiscal quarter. Commercial activity in the petrochemical market has remained subdued over the past several quarters. However, we are cautiously optimistic that the petrochemical market may be entering the early stages of a cyclical recovery following an extended period of reduced investment activity. Reflecting this potential improvement, we secured a mega petrochemical order during the third fiscal quarter with a contract value of approximately $75 million. Beyond traditional crude oil refining and other oil and gas downstream operations, we have broadened our end markets into hydrogen production, carbon capture as well as alternative fuels, such as biofuels and sustainable aviation fuel, aligned with growing demand for cleaner energy solutions.</w:t>
      </w:r>
    </w:p>
    <w:p>
      <w:pPr>
        <w:pStyle w:val="TextBody"/>
        <w:bidi w:val="0"/>
        <w:spacing w:lineRule="auto" w:line="288" w:before="120" w:after="283"/>
        <w:jc w:val="both"/>
        <w:rPr/>
      </w:pPr>
      <w:r>
        <w:rPr>
          <w:rFonts w:ascii="Times New Roman;serif" w:hAnsi="Times New Roman;serif"/>
          <w:b w:val="false"/>
          <w:i/>
          <w:color w:val="000000"/>
          <w:sz w:val="20"/>
        </w:rPr>
        <w:t>Electric utility market.</w:t>
      </w:r>
      <w:r>
        <w:rPr>
          <w:color w:val="000000"/>
        </w:rPr>
        <w:t xml:space="preserve"> </w:t>
      </w:r>
      <w:r>
        <w:rPr>
          <w:rFonts w:ascii="Times New Roman;serif" w:hAnsi="Times New Roman;serif"/>
          <w:b w:val="false"/>
          <w:color w:val="000000"/>
          <w:sz w:val="20"/>
        </w:rPr>
        <w:t xml:space="preserve">Aligned with our strategy of end-market diversification, we continue to focus on growth in electrical distribution substations while also addressing a resurgence of power generation investment in this market. During the first nine months of Fiscal 2026, we secured total bookings of $313 million, reflecting continued customer investment in grid modernization, transmission and distribution infrastructure, and generation capacity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i/>
          <w:color w:val="000000"/>
          <w:sz w:val="20"/>
        </w:rPr>
        <w:t>Commercial and other industrial markets.</w:t>
      </w:r>
      <w:r>
        <w:rPr>
          <w:color w:val="000000"/>
        </w:rPr>
        <w:t xml:space="preserve"> </w:t>
      </w:r>
      <w:r>
        <w:rPr>
          <w:rFonts w:ascii="Times New Roman;serif" w:hAnsi="Times New Roman;serif"/>
          <w:b w:val="false"/>
          <w:color w:val="000000"/>
          <w:sz w:val="20"/>
        </w:rPr>
        <w:t>We continue to experience strong growth across commercial and industrial end-markets, primarily driven by the rapid expansion of data centers to meet increasing demand for cloud computing and artificial intelligence applications. During the first nine months of Fiscal 2026, we were awarded approximately $800 million in data center infrastructure projects, including a mega order valued at over $400 million secured during the third fiscal quarter and two additional mega orders secured in the first half of Fiscal 2026, each exceeding $75 million in contract value. Commercial activity in this market sector reflects the continued investment in data center infrastructure, and we are also observing increased activity across other industrial end markets.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 As data center projects become a larger component of our backlog and revenues: (i) our product mix may shift, as such projects will likely require less custom engineered-to-order equipment and systems than other end markets; (ii) we have, and will, become subject to additional risks related to that end market, including fluctuations in demand for data centers and developments in legislative or regulatory initiatives with respect thereto; and (iii) our operating results may be impacted by the aforementioned factors and risks, among others related to the data center end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remain focused on the variables that impact our markets as well as cost management, labor availability and supply chain challenges.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inflation, which can cause increases in our costs of labor, indirect expenses and raw materials, primarily copper, aluminum and steel. Fixed-price contracts can limit our ability to pass these increases to our customers, thus negatively impacting our earnings and operations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nine months of Fiscal 2026, we continued experiencing high volatility in commodity prices, and ongoing supply chain delays for specific engineered components remained a persistent challenge for us. Moreover, ongoing and recently proposed changes to U.S. global trade policy (including legal challenges thereto), along with potential international retaliatory measures, and concerns over inflation, recession and slowing growth have continued to cause high volatility in global markets and uncertainty around short- and long-term economic impacts in the United States and other markets we serve.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Quarter Ended June 30, 2026 Compared to the Quarter Ended June 30, 2025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and Gross Profit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by 9%, or $25.5 million, to $311.7 million in the third quarter of Fiscal 2026. Domestic revenue increased by 12%, or $26.1 million, to $250.6 million in the third quarter of Fiscal 2026. International revenue decreased slightly by 1%, or $0.6 million, to $61.1 million in the third quarter of Fiscal 2026. International revenue includes both revenue generated at our international facilities and export project revenue produced at our domestic facilities.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2026, revenue growth was led by strength in our commercial and other industrial, electric utility, and oil and gas (excluding petrochemical) markets. Revenue from the commercial and other industrial market increased 54%, or $26.8 million, to $76.3 million; while revenue from the electric utility market grew by 18%, or $13.7 million, to $88.6 million. Revenue from the oil and gas market (excluding petrochemical) increased 1%, or $0.8 million, to $106.3 million. These increases were primarily driven by our strategic initiative to expand into higher-growth electric utility and commercial and other industrial markets, supported by strong backlog and robust booking activity in these end markets. Partially offsetting these increases, revenue from the petrochemical market declined by 49%, or $17.9 million, to $18.5 million, and revenue from the light rail traction power market decreased 7%, or $0.6 million, to $8.0 million. These declines were primarily driven by lower backlog across these end markets, particularly within the petrochemical market. Revenue from all other markets combined increased 23%, or $2.6 million, to $14.1 million in the third quarter of Fiscal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8%, or $7.4 million, to $95.3 million for the third quarter of Fiscal 2026. Gross profit as a percentage of revenue remained flat at 31% compared to the third quarter of Fiscal 2025. The increase in gross profit was primarily attributable to higher revenue.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6%, or $1.6 million, to $26.7 million in the third quarter of Fiscal 2026, primarily due to higher compensation expenses, including the impact of the Remsdaq Limited acquisition completed in August 2025. As a percentage of revenue, selling, general and administrative expenses remained flat at 9% during the third quarter of Fiscal 2026 compared to the third quarter of Fiscal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recorded an income tax provision of $17.0 million in the third quarter of Fiscal 2026, compared to an income tax provision of $15.9 million in the third quarter of Fiscal 2025. The effective tax rate was 25% in both periods. For each of the three months ended June 30, 2026 and 2025, the effective tax rates were favorably impacted by the estimated Research and Development (R&amp;D) Tax Credit, which was offset by the tax expense related to certain nondeductible items. For additional information regarding our income taxes, see Note L. Income Taxes of Notes to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2026, we recorded net income of $52.2 million, or $1.42 per diluted share, compared to net income of $48.2 million, or $1.32 per diluted share, in the third quarter of Fiscal 2025. The increase in net income was primarily driven by higher gross profit, partially offset by higher selling, general and administrative expenses and research and development expenses, including the impact of the Remsdaq Limited acquisition completed in August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order backlog, which represents our remaining unsatisfied performance obligations, reflects the estimated transaction price for goods and services for which we have a material right but for which work has not yet been performed. Order backlog at June 30, 2026 totaled $2.4 billion, representing a 35% increase from $1.8 billion at March 31, 2026. This increase was primarily driven by growth in the commercial and other industrial market. As of June 30, 2026, the commercial and other industrial market represented 40% of total backlog, while the oil and gas market (excluding petrochemical) and the electric utility market each accounted for 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Bookings, net of cancellations and scope reductions, increased 158% in the third quarter of Fiscal 2026 to $934.2 million, compared to $362.1 million in the third quarter of Fiscal 2025. This increase was primarily driven by stronger booking activity within the commercial and other industrial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Nine Months Ended June 30, 2026 Compared to the Nine Months Ended June 30, 2025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and Gross Profit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7%, or $53.2 million, to $859.5 million in the nine months ended June 30, 2026. Domestic revenue increased by 4%, or $27.6 million, to $677.8 million, while international revenue increased 16%, or $25.6 million, to $181.8 million. The increase in international revenue was primarily driven by increased activity in the Asia/Pacific region, as well as the Middle East and Africa and Europe regions, partially offset by decreased activity in Canada. International revenue includes both revenue generated at our international facilities and export project revenue produced at our domestic facilities.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growth during the nine months ended June 30, 2026 was led by strength in the commercial and other industrial, electric utility and oil and gas (excluding petrochemical) markets. Revenue from the commercial and other industrial market increased 28%, or $37.2 million, to $171.4 million, while revenue from the electric utility market increased 21%, or $41.9 million, to $238.4 million. Revenue from the oil and gas market (excluding petrochemical) increased 5%, or $14.6 million, to $316.9 million. These increases were primarily driven by our strategic initiative to expand our business into the commercial and other industrial and electric utility markets, as well as strong market activities in these end markets. Partially offsetting these increases, revenue from the petrochemical market decreased 39%, or $44.4 million, to $68.8 million, and revenue from the light rail traction power market decreased 4%, or $1.2 million, to $25.6 million in the first nine months of Fiscal 2026. These declines were primarily attributable to a reduction in backlog within the petrochemical market following the completion of a large petrochemical order secured in Fiscal 2023, as well as lower backlog levels in these markets. Revenue from all other markets combined increased 15%, or $5.1 million, to $38.5 million in the nine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10%, or $23.8 million, to $254.7 million for the nine months ended June 30, 2026. Gross profit as a percentage of revenue increased to 30% in the first nine months of Fiscal 2026, as compared to 29% in the nine months ended June 30, 2025. The increase in gross profit was primarily driven by higher revenues, as well as improved gross profit margin resulting from favorable volume leverage and strong project execution in a stable pricing environment.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14%, or $9.3 million, to $77.7 million in the nine months ended June 30, 2026, primarily due to higher compensation expenses, including the impact of the Remsdaq Limited acquisition completed in August 2025, and increased spending on infrastructure. As a percentage of revenue, selling, general and administrative expenses increased to 9% during the first nine months of Fiscal 2026, compared to 8% during the first nine months of Fiscal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recorded an income tax provision of $38.5 million in the nine months ended June 30, 2026, compared to an income tax provision of $36.7 million in the nine months ended June 30, 2025. The effective tax rate was 22% in both periods. For each of the nine months ended June 30, 2026 and 2025, the effective tax rates were favorably impacted by discrete items related to the vesting of RSUs and the estimated R&amp;D Tax Credit, which was offset by the tax expense related to certain nondeductible items. For additional information regarding our income taxes, see Note L. Income Taxes of Notes to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nine months ended June 30, 2026, we recorded net income of $139.4 million, or $3.81 per diluted share, compared to net income of $129.3 million, or $3.54 per diluted share, in the nine months ended June 30, 2025. The increase in net income was primarily driven by higher gross profit, partially offset by higher selling, general and administrative expenses and research and development expenses, including the impact of the Remsdaq Limited acquisition completed in August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Order backlog, which represents our remaining unsatisfied performance obligations, reflects the estimated transaction price for goods and services for which we have a material right but for which work has not yet been performed. Order backlog at June 30, 2026 totaled $2.4 billion, representing a 73% increase from $1.4 billion at September 30, 2025. This increase was mainly driven by growth in the commercial and other industrial, electric utility and oil and gas (excluding petrochemical) markets. As of June 30, 2026, the commercial and other industrial market represented 40% of total backlog, while the oil and gas market (excluding petrochemical) and the electric utility market each accounted for 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Bookings, net of cancellations and scope reductions, increased 112% to $1.9 billion during the nine months ended June 30, 2026, compared to $879.7 million during the nine months ended June 30, 2025. This increase was primarily driven by stronger booking activity in the commercial and other industrial market, a recovery of the petrochemical market, and continued growth in the oil and gas (excluding petrochemical) and electric utility markets.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current assets exceeded current liabilities by 2.0 times.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short-term investments increased to $633.6 million at June 30, 2026, compared to $475.5 million at September 30, 2025. The increase was primarily driven by our strong earnings performance, partially offset by cash payments related to shares withheld in lieu of employee tax withholding, capital expenditures and dividend payments. We invest our cash, cash equivalents and short-term investments in accordance with the Company’s investment policy approved by the Board of Directors. We believe that our cash, cash equivalents and short-term investments, together with available borrowings under our U.S. credit facility, will be sufficient to support our ongoing operating activities, dividend payments and future organic and inorganic business growth, as well as research and development initiatives for the next twelve months and beyond.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we evaluate our capital allocation framework relative to our strategic objectives, we intend to continue deploying capital toward both organic and inorganic initiatives while maintaining a disciplined approach to other capital allocation strategies aimed at enhancing shareholder value. We regularly reassess our capital allocation priorities, which currently include funding working capital requirements, research and development, capital expenditures, and other organic growth opportunities, while also returning capital to shareholders and selectively pursuing strategic inorganic growth opportunities. Our capital allocation decisions are influenced by a number of factors, including market conditions, our financial position and capital requirements, competing uses of cash, and other relevant considerations.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Approximately $125.8 million of our cash, cash equivalents and short-term investments at June 30, 2026 was held outside of the U.S. to support our international operations. We intend to indefinitely reinvest all current and future foreign earnings internationally to ensure adequate liquidity and working capital for our international business. In the event that we elect to repatriate some or all of the foreign earnings that were previously deemed to be indefinitely reinvested outside the U.S., we may incur additional tax expense upon such repatriation under current tax laws.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 Revolver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amounts borrowed under the U.S. Revolver, and letters of credit outstanding were $103.9 million. There was $46.1 million available for the issuance of letters of credit and borrowings under the U.S. Revolver as of June 30, 2026. For further information regarding our debt, see Notes F. Long-Term Debt and G. Commitments and Contingencies of Notes to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activities provided net cash of $195.0 million during the nine months ended June 30, 2026 and provided net cash of $106.9 million during the same period in Fiscal 2025. Cash flow from operations is primarily influenced by project volume and margins, working capital requirements, the timing of milestone payments from customers, and payment terms with suppliers. The increase in operating cash flow was primarily driven by improved earnings and higher milestone payments associated with strong booking activity.</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Investing activities provided $14.5 million of cash during the nine months ended June 30, 2026 and used $4.2 million of cash during the same period in Fiscal 2025. Cash provided by investing activities in the first nine months of Fiscal 2026 was primarily due to maturities of short-term investments, partially offset by capital spending. We continue to progress the expansion of our Jacintoport fabrication yard in Houston, which is planned to be completed by the end of Fiscal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$24.5 million during the nine months ended June 30, 2026 compared to $21.7 million used during the same period in Fiscal 2025. The increase in cash used in financing activities was primarily due to cash payments related to shares withheld in lieu of employee tax withholding, largely driven by the increase of our share price in the first nine months of Fiscal 2026 compared to the same period of Fiscal 2025.</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 There have been no material changes to our critical accounting policies as disclosed in our Annual Report on Form 10-K for the fiscal year ended September 30, 2025, which was filed with the SEC on November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market risks as of and for the three and nine months ended June 30, 2026, as compared to the information previously reported under Part II, Item 7A within our Annual Report on Form 10-K for the fiscal year ended September 30, 2025.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paragraph (d) of Rules 13a-15 or 15d-15 of the Exchange Act that occurred during the third quarter of Fiscal 2026 that have materially affected, or are reasonably likely to materially affect, our internal control over financial reporting.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or results of operations or liquidity.</w:t>
      </w:r>
    </w:p>
    <w:p>
      <w:pPr>
        <w:pStyle w:val="TextBody"/>
        <w:bidi w:val="0"/>
        <w:spacing w:lineRule="auto" w:line="288" w:before="16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the Company’s Annual Report on Form 10-K for the fiscal year ended September 30, 2025.</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Insider Adoption or Termination of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2026, none of our directors or officers adopted or terminated any “Rule 10b5-1 trading arrangement” or “non-Rule 10b5-1 trading arrangement,” as those terms are defined in Regulation S-K, Item 408.</w:t>
      </w:r>
    </w:p>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4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7"/>
        <w:gridCol w:w="238"/>
        <w:gridCol w:w="121"/>
        <w:gridCol w:w="121"/>
        <w:gridCol w:w="122"/>
        <w:gridCol w:w="2886"/>
        <w:gridCol w:w="2580"/>
        <w:gridCol w:w="3631"/>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r>
      <w:tr>
        <w:trPr/>
        <w:tc>
          <w:tcPr>
            <w:tcW w:w="5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Powell Industries, Inc. filed with the Secretary of State of the State of Delaware on February 19, 2025 (filed as Exhibit 3.1 to our Form 8-K filed February 19, 2025, and incorporated herein by reference)</w:t>
              </w:r>
            </w:hyperlink>
            <w:r>
              <w:rPr>
                <w:rFonts w:ascii="Times New Roman;serif" w:hAnsi="Times New Roman;serif"/>
                <w:b w:val="false"/>
                <w:color w:val="000000"/>
                <w:sz w:val="20"/>
              </w:rPr>
              <w: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Second Amended and Restated Bylaws of Powell Industries, Inc. (filed as Exhibit 3.1 to our Form 8-K filed February 24, 2025, and incorporated herein by reference).</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to Amended and Restated Certificate of Incorporation of Powell Industries, Inc. filed with the Secretary of the State of Delaware on March 31, 2026 (filed as Exhibit 3.1 to our Form 8-K filed March 31, 2026, and incorporated herein by reference).</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owlexhibit311q32026.htm">
              <w:r>
                <w:rPr>
                  <w:rStyle w:val="InternetLink"/>
                  <w:rFonts w:ascii="Times New Roman;serif" w:hAnsi="Times New Roman;serif"/>
                  <w:b w:val="false"/>
                  <w:color w:val="0000FF"/>
                  <w:sz w:val="20"/>
                  <w:u w:val="single"/>
                </w:rPr>
                <w:t>Certification of Chief Executive Officer pursuant to Rule 13a-14(a)/15d-14(a).</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owlexhibit312q32026.htm">
              <w:r>
                <w:rPr>
                  <w:rStyle w:val="InternetLink"/>
                  <w:rFonts w:ascii="Times New Roman;serif" w:hAnsi="Times New Roman;serif"/>
                  <w:b w:val="false"/>
                  <w:color w:val="0000FF"/>
                  <w:sz w:val="20"/>
                  <w:u w:val="single"/>
                </w:rPr>
                <w:t>Certification of Chief Financial Officer pursuant to Rule 13a-14(a)/15d-14(a).</w:t>
              </w:r>
            </w:hyperlink>
            <w:r>
              <w:rPr>
                <w:color w:val="000000"/>
              </w:rPr>
              <w:t xml:space="preserve"> </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owlexhibit321q32026.htm">
              <w:r>
                <w:rPr>
                  <w:rStyle w:val="InternetLink"/>
                  <w:rFonts w:ascii="Times New Roman;serif" w:hAnsi="Times New Roman;serif"/>
                  <w:b w:val="false"/>
                  <w:color w:val="0000FF"/>
                  <w:sz w:val="20"/>
                  <w:u w:val="single"/>
                </w:rPr>
                <w:t>Certification of Chief Executive Officer Pursuant to Section 18 U.S.C. Section 1350, as Adopted Pursuant to Section 906 of the Sarbanes-Oxley Act of 2002.</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owlexhibit322q32026.htm">
              <w:r>
                <w:rPr>
                  <w:rStyle w:val="InternetLink"/>
                  <w:rFonts w:ascii="Times New Roman;serif" w:hAnsi="Times New Roman;serif"/>
                  <w:b w:val="false"/>
                  <w:color w:val="0000FF"/>
                  <w:sz w:val="20"/>
                  <w:u w:val="single"/>
                </w:rPr>
                <w:t>Certification of Chief Financial Officer Pursuant to Section 18 U.S.C. Section 1350, as Adopted Pursuant to Section 906 of the Sarbanes-Oxley Act of 2002.</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2026,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 (included as Exhibit 101).</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40" w:after="283"/>
        <w:jc w:val="left"/>
        <w:rPr>
          <w:color w:val="000000"/>
        </w:rPr>
      </w:pPr>
      <w:r>
        <w:rPr>
          <w:color w:val="000000"/>
        </w:rPr>
        <w:t> </w:t>
      </w:r>
    </w:p>
    <w:tbl>
      <w:tblPr>
        <w:tblW w:w="7577" w:type="dxa"/>
        <w:jc w:val="left"/>
        <w:tblInd w:w="0" w:type="dxa"/>
        <w:tblLayout w:type="fixed"/>
        <w:tblCellMar>
          <w:top w:w="28" w:type="dxa"/>
          <w:left w:w="28" w:type="dxa"/>
          <w:bottom w:w="28" w:type="dxa"/>
          <w:right w:w="28" w:type="dxa"/>
        </w:tblCellMar>
      </w:tblPr>
      <w:tblGrid>
        <w:gridCol w:w="667"/>
        <w:gridCol w:w="587"/>
        <w:gridCol w:w="590"/>
        <w:gridCol w:w="396"/>
        <w:gridCol w:w="396"/>
        <w:gridCol w:w="396"/>
        <w:gridCol w:w="1324"/>
        <w:gridCol w:w="1324"/>
        <w:gridCol w:w="18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POWELL INDUSTRIES,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Brett A. Cope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Cope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Metcalf</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Metcalf</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Principal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Brett A. Cope,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Powell Industries,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551" w:type="dxa"/>
        <w:jc w:val="center"/>
        <w:tblInd w:w="0" w:type="dxa"/>
        <w:tblLayout w:type="fixed"/>
        <w:tblCellMar>
          <w:top w:w="28" w:type="dxa"/>
          <w:left w:w="28" w:type="dxa"/>
          <w:bottom w:w="28" w:type="dxa"/>
          <w:right w:w="28" w:type="dxa"/>
        </w:tblCellMar>
      </w:tblPr>
      <w:tblGrid>
        <w:gridCol w:w="124"/>
        <w:gridCol w:w="109"/>
        <w:gridCol w:w="109"/>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Brett A. Cope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A. Cope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W. Metcalf,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Powell Industries,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86" w:type="dxa"/>
        <w:jc w:val="center"/>
        <w:tblInd w:w="0" w:type="dxa"/>
        <w:tblLayout w:type="fixed"/>
        <w:tblCellMar>
          <w:top w:w="28" w:type="dxa"/>
          <w:left w:w="28" w:type="dxa"/>
          <w:bottom w:w="28" w:type="dxa"/>
          <w:right w:w="28" w:type="dxa"/>
        </w:tblCellMar>
      </w:tblPr>
      <w:tblGrid>
        <w:gridCol w:w="124"/>
        <w:gridCol w:w="109"/>
        <w:gridCol w:w="109"/>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W. Metcalf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W. Metcalf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and Principal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(the “Report”) on Form 10-Q of Powell Industries, Inc. (the “Company”) for the quarter ended June 30, 2026, as filed with the Securities and Exchange Commission on the date hereof, I, Brett A. Cope,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represents,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551" w:type="dxa"/>
        <w:jc w:val="center"/>
        <w:tblInd w:w="0" w:type="dxa"/>
        <w:tblLayout w:type="fixed"/>
        <w:tblCellMar>
          <w:top w:w="28" w:type="dxa"/>
          <w:left w:w="28" w:type="dxa"/>
          <w:bottom w:w="28" w:type="dxa"/>
          <w:right w:w="28" w:type="dxa"/>
        </w:tblCellMar>
      </w:tblPr>
      <w:tblGrid>
        <w:gridCol w:w="124"/>
        <w:gridCol w:w="109"/>
        <w:gridCol w:w="109"/>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Brett A. Cope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Brett A. Cope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 connection with this Quarterly Report (the “Report”) on Form 10-Q of Powell Industries, Inc. (the “Company”) for the quarter ended </w:t>
      </w:r>
      <w:r>
        <w:rPr>
          <w:rFonts w:ascii="Times New Roman;serif" w:hAnsi="Times New Roman;serif"/>
          <w:b w:val="false"/>
          <w:color w:val="000000"/>
          <w:sz w:val="18"/>
        </w:rPr>
        <w:t>June 30, 2026</w:t>
      </w:r>
      <w:r>
        <w:rPr>
          <w:rFonts w:ascii="Times New Roman;serif" w:hAnsi="Times New Roman;serif"/>
          <w:b w:val="false"/>
          <w:color w:val="000000"/>
          <w:sz w:val="20"/>
        </w:rPr>
        <w:t>, as filed with the Securities and Exchange Commission on the date hereof, I, Michael W. Metcalf, Executive Vice President and Chief Financial and Principal Accounting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represents, in all material respects, the financial condition and results of operations of the Company.</w:t>
      </w:r>
    </w:p>
    <w:p>
      <w:pPr>
        <w:pStyle w:val="TextBody"/>
        <w:bidi w:val="0"/>
        <w:spacing w:before="0" w:after="0"/>
        <w:jc w:val="left"/>
        <w:rPr/>
      </w:pPr>
      <w:r>
        <w:rPr/>
      </w:r>
    </w:p>
    <w:tbl>
      <w:tblPr>
        <w:tblW w:w="4886" w:type="dxa"/>
        <w:jc w:val="left"/>
        <w:tblInd w:w="0" w:type="dxa"/>
        <w:tblLayout w:type="fixed"/>
        <w:tblCellMar>
          <w:top w:w="28" w:type="dxa"/>
          <w:left w:w="28" w:type="dxa"/>
          <w:bottom w:w="28" w:type="dxa"/>
          <w:right w:w="28" w:type="dxa"/>
        </w:tblCellMar>
      </w:tblPr>
      <w:tblGrid>
        <w:gridCol w:w="124"/>
        <w:gridCol w:w="109"/>
        <w:gridCol w:w="109"/>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W. Metcalf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W. Metcalf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and Principal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18"/>
        </w:rPr>
        <w:t>August 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0420/000008042025000034/ex31-amendedandrestatedcer.htm" TargetMode="External"/><Relationship Id="rId3" Type="http://schemas.openxmlformats.org/officeDocument/2006/relationships/hyperlink" Target="https://www.sec.gov/Archives/edgar/data/80420/000008042025000044/ex31-secondamendedandresta.htm" TargetMode="External"/><Relationship Id="rId4" Type="http://schemas.openxmlformats.org/officeDocument/2006/relationships/hyperlink" Target="https://www.sec.gov/Archives/edgar/data/80420/000008042026000054/ex31-certificateofamendmen.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16165</Words>
  <Characters>91365</Characters>
  <CharactersWithSpaces>106623</CharactersWithSpaces>
  <Paragraphs>2078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