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328295</wp:posOffset>
            </wp:positionH>
            <wp:positionV relativeFrom="page">
              <wp:posOffset>414655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389255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64135</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760" w:type="dxa"/>
            <w:vAlign w:val="bottom"/>
            <w:gridSpan w:val="3"/>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60" w:type="dxa"/>
            <w:vAlign w:val="bottom"/>
          </w:tcPr>
          <w:p>
            <w:pPr>
              <w:jc w:val="center"/>
              <w:ind w:right="1378"/>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189"/>
        </w:trPr>
        <w:tc>
          <w:tcPr>
            <w:tcW w:w="20" w:type="dxa"/>
            <w:vAlign w:val="bottom"/>
          </w:tcPr>
          <w:p>
            <w:pPr>
              <w:spacing w:after="0"/>
              <w:rPr>
                <w:sz w:val="16"/>
                <w:szCs w:val="16"/>
                <w:color w:val="auto"/>
              </w:rPr>
            </w:pPr>
          </w:p>
        </w:tc>
        <w:tc>
          <w:tcPr>
            <w:tcW w:w="4760" w:type="dxa"/>
            <w:vAlign w:val="bottom"/>
            <w:gridSpan w:val="3"/>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60" w:type="dxa"/>
            <w:vAlign w:val="bottom"/>
          </w:tcPr>
          <w:p>
            <w:pPr>
              <w:jc w:val="center"/>
              <w:ind w:right="139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0"/>
        </w:trPr>
        <w:tc>
          <w:tcPr>
            <w:tcW w:w="20" w:type="dxa"/>
            <w:vAlign w:val="bottom"/>
          </w:tcPr>
          <w:p>
            <w:pPr>
              <w:spacing w:after="0"/>
              <w:rPr>
                <w:sz w:val="15"/>
                <w:szCs w:val="15"/>
                <w:color w:val="auto"/>
              </w:rPr>
            </w:pPr>
          </w:p>
        </w:tc>
        <w:tc>
          <w:tcPr>
            <w:tcW w:w="4760" w:type="dxa"/>
            <w:vAlign w:val="bottom"/>
            <w:gridSpan w:val="3"/>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960" w:type="dxa"/>
            <w:vAlign w:val="bottom"/>
          </w:tcPr>
          <w:p>
            <w:pPr>
              <w:jc w:val="center"/>
              <w:ind w:right="139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0"/>
        </w:trPr>
        <w:tc>
          <w:tcPr>
            <w:tcW w:w="20" w:type="dxa"/>
            <w:vAlign w:val="bottom"/>
          </w:tcPr>
          <w:p>
            <w:pPr>
              <w:spacing w:after="0"/>
              <w:rPr>
                <w:sz w:val="19"/>
                <w:szCs w:val="19"/>
                <w:color w:val="auto"/>
              </w:rPr>
            </w:pPr>
          </w:p>
        </w:tc>
        <w:tc>
          <w:tcPr>
            <w:tcW w:w="4760" w:type="dxa"/>
            <w:vAlign w:val="bottom"/>
            <w:gridSpan w:val="3"/>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60" w:type="dxa"/>
            <w:vAlign w:val="bottom"/>
            <w:gridSpan w:val="3"/>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760" w:type="dxa"/>
            <w:vAlign w:val="bottom"/>
            <w:gridSpan w:val="3"/>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60" w:type="dxa"/>
            <w:vAlign w:val="bottom"/>
          </w:tcPr>
          <w:p>
            <w:pPr>
              <w:jc w:val="center"/>
              <w:ind w:right="1378"/>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20" w:type="dxa"/>
            <w:vAlign w:val="bottom"/>
          </w:tcPr>
          <w:p>
            <w:pPr>
              <w:spacing w:after="0"/>
              <w:rPr>
                <w:sz w:val="16"/>
                <w:szCs w:val="16"/>
                <w:color w:val="auto"/>
              </w:rPr>
            </w:pPr>
          </w:p>
        </w:tc>
        <w:tc>
          <w:tcPr>
            <w:tcW w:w="476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960" w:type="dxa"/>
            <w:vAlign w:val="bottom"/>
          </w:tcPr>
          <w:p>
            <w:pPr>
              <w:jc w:val="center"/>
              <w:ind w:right="137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20" w:type="dxa"/>
            <w:vAlign w:val="bottom"/>
          </w:tcPr>
          <w:p>
            <w:pPr>
              <w:spacing w:after="0"/>
              <w:rPr>
                <w:sz w:val="24"/>
                <w:szCs w:val="24"/>
                <w:color w:val="auto"/>
              </w:rPr>
            </w:pPr>
          </w:p>
        </w:tc>
        <w:tc>
          <w:tcPr>
            <w:tcW w:w="1120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r>
      <w:tr>
        <w:trPr>
          <w:trHeight w:val="238"/>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(713) 944-6900</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r>
      <w:tr>
        <w:trPr>
          <w:trHeight w:val="331"/>
        </w:trPr>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7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Trading Symbol</w:t>
            </w:r>
          </w:p>
        </w:tc>
        <w:tc>
          <w:tcPr>
            <w:tcW w:w="3960" w:type="dxa"/>
            <w:vAlign w:val="bottom"/>
          </w:tcPr>
          <w:p>
            <w:pPr>
              <w:jc w:val="center"/>
              <w:ind w:right="418"/>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960" w:type="dxa"/>
            <w:vAlign w:val="bottom"/>
            <w:tcBorders>
              <w:top w:val="single" w:sz="8" w:color="auto"/>
            </w:tcBorders>
          </w:tcPr>
          <w:p>
            <w:pPr>
              <w:jc w:val="center"/>
              <w:ind w:right="418"/>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4"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4"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57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9"/>
        </w:trPr>
        <w:tc>
          <w:tcPr>
            <w:tcW w:w="572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4"/>
          <w:szCs w:val="24"/>
          <w:color w:val="auto"/>
        </w:rPr>
      </w:pPr>
    </w:p>
    <w:p>
      <w:pPr>
        <w:ind w:firstLine="48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24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February 1, 2021, there were 11,674,873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78105</wp:posOffset>
            </wp:positionV>
            <wp:extent cx="6900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5"/>
        </w:trPr>
        <w:tc>
          <w:tcPr>
            <w:tcW w:w="10480" w:type="dxa"/>
            <w:vAlign w:val="bottom"/>
            <w:gridSpan w:val="2"/>
          </w:tcPr>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Part I — Financial Information</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2">
              <w:r>
                <w:rPr>
                  <w:rFonts w:ascii="Times New Roman" w:cs="Times New Roman" w:eastAsia="Times New Roman" w:hAnsi="Times New Roman"/>
                  <w:sz w:val="18"/>
                  <w:szCs w:val="18"/>
                  <w:color w:val="auto"/>
                </w:rPr>
                <w:t>3</w:t>
              </w:r>
            </w:hyperlink>
          </w:p>
        </w:tc>
      </w:tr>
      <w:tr>
        <w:trPr>
          <w:trHeight w:val="229"/>
        </w:trPr>
        <w:tc>
          <w:tcPr>
            <w:tcW w:w="1048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 1. Condensed Consolidated Financial Statements</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29"/>
        </w:trPr>
        <w:tc>
          <w:tcPr>
            <w:tcW w:w="10480" w:type="dxa"/>
            <w:vAlign w:val="bottom"/>
            <w:gridSpan w:val="2"/>
          </w:tcPr>
          <w:p>
            <w:pPr>
              <w:ind w:left="3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Balance Sheets</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30"/>
        </w:trPr>
        <w:tc>
          <w:tcPr>
            <w:tcW w:w="10480" w:type="dxa"/>
            <w:vAlign w:val="bottom"/>
            <w:gridSpan w:val="2"/>
          </w:tcPr>
          <w:p>
            <w:pPr>
              <w:ind w:left="3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Statements of Operations</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4</w:t>
              </w:r>
            </w:hyperlink>
          </w:p>
        </w:tc>
      </w:tr>
      <w:tr>
        <w:trPr>
          <w:trHeight w:val="229"/>
        </w:trPr>
        <w:tc>
          <w:tcPr>
            <w:tcW w:w="10480" w:type="dxa"/>
            <w:vAlign w:val="bottom"/>
            <w:gridSpan w:val="2"/>
          </w:tcPr>
          <w:p>
            <w:pPr>
              <w:ind w:left="3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Condensed Consolidated Statements of Comprehensive Income</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5</w:t>
              </w:r>
            </w:hyperlink>
          </w:p>
        </w:tc>
      </w:tr>
      <w:tr>
        <w:trPr>
          <w:trHeight w:val="229"/>
        </w:trPr>
        <w:tc>
          <w:tcPr>
            <w:tcW w:w="10480" w:type="dxa"/>
            <w:vAlign w:val="bottom"/>
            <w:gridSpan w:val="2"/>
          </w:tcPr>
          <w:p>
            <w:pPr>
              <w:ind w:left="3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Statements of Stockholders' Equity</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6</w:t>
              </w:r>
            </w:hyperlink>
          </w:p>
        </w:tc>
      </w:tr>
      <w:tr>
        <w:trPr>
          <w:trHeight w:val="230"/>
        </w:trPr>
        <w:tc>
          <w:tcPr>
            <w:tcW w:w="10480" w:type="dxa"/>
            <w:vAlign w:val="bottom"/>
            <w:gridSpan w:val="2"/>
          </w:tcPr>
          <w:p>
            <w:pPr>
              <w:ind w:left="34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Condensed Consolidated Statements of Cash Flows</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7</w:t>
              </w:r>
            </w:hyperlink>
          </w:p>
        </w:tc>
      </w:tr>
      <w:tr>
        <w:trPr>
          <w:trHeight w:val="229"/>
        </w:trPr>
        <w:tc>
          <w:tcPr>
            <w:tcW w:w="10480" w:type="dxa"/>
            <w:vAlign w:val="bottom"/>
            <w:gridSpan w:val="2"/>
          </w:tcPr>
          <w:p>
            <w:pPr>
              <w:ind w:left="34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Notes to Condensed Consolidated Financial Statements</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8</w:t>
              </w:r>
            </w:hyperlink>
          </w:p>
        </w:tc>
      </w:tr>
      <w:tr>
        <w:trPr>
          <w:trHeight w:val="230"/>
        </w:trPr>
        <w:tc>
          <w:tcPr>
            <w:tcW w:w="1048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Item 2. Management’s Discussion and Analysis of Financial Condition and Results of Operations</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20">
              <w:r>
                <w:rPr>
                  <w:rFonts w:ascii="Times New Roman" w:cs="Times New Roman" w:eastAsia="Times New Roman" w:hAnsi="Times New Roman"/>
                  <w:sz w:val="18"/>
                  <w:szCs w:val="18"/>
                  <w:color w:val="auto"/>
                </w:rPr>
                <w:t>21</w:t>
              </w:r>
            </w:hyperlink>
          </w:p>
        </w:tc>
      </w:tr>
      <w:tr>
        <w:trPr>
          <w:trHeight w:val="229"/>
        </w:trPr>
        <w:tc>
          <w:tcPr>
            <w:tcW w:w="660" w:type="dxa"/>
            <w:vAlign w:val="bottom"/>
          </w:tcPr>
          <w:p>
            <w:pPr>
              <w:ind w:left="12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Item 3.</w:t>
              </w:r>
            </w:hyperlink>
          </w:p>
        </w:tc>
        <w:tc>
          <w:tcPr>
            <w:tcW w:w="9820" w:type="dxa"/>
            <w:vAlign w:val="bottom"/>
          </w:tcPr>
          <w:p>
            <w:pPr>
              <w:ind w:left="2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Quantitative and Qualitative Disclosures About Market Risk</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24</w:t>
              </w:r>
            </w:hyperlink>
          </w:p>
        </w:tc>
      </w:tr>
      <w:tr>
        <w:trPr>
          <w:trHeight w:val="234"/>
        </w:trPr>
        <w:tc>
          <w:tcPr>
            <w:tcW w:w="660" w:type="dxa"/>
            <w:vAlign w:val="bottom"/>
          </w:tcPr>
          <w:p>
            <w:pPr>
              <w:ind w:left="12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Item 4.</w:t>
              </w:r>
            </w:hyperlink>
          </w:p>
        </w:tc>
        <w:tc>
          <w:tcPr>
            <w:tcW w:w="9820" w:type="dxa"/>
            <w:vAlign w:val="bottom"/>
          </w:tcPr>
          <w:p>
            <w:pPr>
              <w:ind w:left="20"/>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Controls and Procedures</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25</w:t>
              </w:r>
            </w:hyperlink>
          </w:p>
        </w:tc>
      </w:tr>
      <w:tr>
        <w:trPr>
          <w:trHeight w:val="387"/>
        </w:trPr>
        <w:tc>
          <w:tcPr>
            <w:tcW w:w="10480" w:type="dxa"/>
            <w:vAlign w:val="bottom"/>
            <w:gridSpan w:val="2"/>
          </w:tcPr>
          <w:p>
            <w:pPr>
              <w:spacing w:after="0"/>
              <w:rPr>
                <w:rFonts w:ascii="Times New Roman" w:cs="Times New Roman" w:eastAsia="Times New Roman" w:hAnsi="Times New Roman"/>
                <w:sz w:val="18"/>
                <w:szCs w:val="18"/>
                <w:b w:val="1"/>
                <w:bCs w:val="1"/>
                <w:u w:val="single" w:color="auto"/>
                <w:color w:val="0000FF"/>
              </w:rPr>
            </w:pPr>
            <w:hyperlink w:anchor="page26">
              <w:r>
                <w:rPr>
                  <w:rFonts w:ascii="Times New Roman" w:cs="Times New Roman" w:eastAsia="Times New Roman" w:hAnsi="Times New Roman"/>
                  <w:sz w:val="18"/>
                  <w:szCs w:val="18"/>
                  <w:b w:val="1"/>
                  <w:bCs w:val="1"/>
                  <w:u w:val="single" w:color="auto"/>
                  <w:color w:val="0000FF"/>
                </w:rPr>
                <w:t>Part II — Other Information</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27</w:t>
              </w:r>
            </w:hyperlink>
          </w:p>
        </w:tc>
      </w:tr>
      <w:tr>
        <w:trPr>
          <w:trHeight w:val="229"/>
        </w:trPr>
        <w:tc>
          <w:tcPr>
            <w:tcW w:w="660" w:type="dxa"/>
            <w:vAlign w:val="bottom"/>
          </w:tcPr>
          <w:p>
            <w:pPr>
              <w:ind w:left="12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Item 1.</w:t>
              </w:r>
            </w:hyperlink>
          </w:p>
        </w:tc>
        <w:tc>
          <w:tcPr>
            <w:tcW w:w="9820" w:type="dxa"/>
            <w:vAlign w:val="bottom"/>
          </w:tcPr>
          <w:p>
            <w:pPr>
              <w:ind w:left="2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Legal Proceedings</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r>
      <w:tr>
        <w:trPr>
          <w:trHeight w:val="230"/>
        </w:trPr>
        <w:tc>
          <w:tcPr>
            <w:tcW w:w="1048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Item 1A. Risk Factors</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27</w:t>
              </w:r>
            </w:hyperlink>
          </w:p>
        </w:tc>
      </w:tr>
      <w:tr>
        <w:trPr>
          <w:trHeight w:val="229"/>
        </w:trPr>
        <w:tc>
          <w:tcPr>
            <w:tcW w:w="660" w:type="dxa"/>
            <w:vAlign w:val="bottom"/>
          </w:tcPr>
          <w:p>
            <w:pPr>
              <w:ind w:left="12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Item 6.</w:t>
              </w:r>
            </w:hyperlink>
          </w:p>
        </w:tc>
        <w:tc>
          <w:tcPr>
            <w:tcW w:w="9820" w:type="dxa"/>
            <w:vAlign w:val="bottom"/>
          </w:tcPr>
          <w:p>
            <w:pPr>
              <w:ind w:left="2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Exhibits</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28</w:t>
              </w:r>
            </w:hyperlink>
          </w:p>
        </w:tc>
      </w:tr>
      <w:tr>
        <w:trPr>
          <w:trHeight w:val="234"/>
        </w:trPr>
        <w:tc>
          <w:tcPr>
            <w:tcW w:w="10480" w:type="dxa"/>
            <w:vAlign w:val="bottom"/>
            <w:gridSpan w:val="2"/>
          </w:tcPr>
          <w:p>
            <w:pPr>
              <w:ind w:left="12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Signatures</w:t>
              </w:r>
            </w:hyperlink>
          </w:p>
        </w:tc>
        <w:tc>
          <w:tcPr>
            <w:tcW w:w="72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Condensed Consolidated 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14"/>
        </w:trPr>
        <w:tc>
          <w:tcPr>
            <w:tcW w:w="7640" w:type="dxa"/>
            <w:vAlign w:val="bottom"/>
            <w:tcBorders>
              <w:top w:val="single" w:sz="8" w:color="CCEEFF"/>
            </w:tcBorders>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160,216</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doubtful accounts of $493 and $510</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69,957</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50,995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28,968</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335,658</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114,372</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12,226</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448,310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472,278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79,445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9,350</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152,947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140,465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165,652</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F)</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par value $0.01; 30,000,000 shares authorized; 12,480,891 and 12,422,411 shares issued,</w:t>
            </w: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61,998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294,016</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(24,513)</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307,845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306,626</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448,310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472,278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74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106,575</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88,304</w:t>
            </w: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112,324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18,271</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0" w:type="dxa"/>
            <w:vAlign w:val="bottom"/>
          </w:tcPr>
          <w:p>
            <w:pPr>
              <w:spacing w:after="0"/>
              <w:rPr>
                <w:sz w:val="1"/>
                <w:szCs w:val="1"/>
                <w:color w:val="auto"/>
              </w:rPr>
            </w:pPr>
          </w:p>
        </w:tc>
      </w:tr>
      <w:tr>
        <w:trPr>
          <w:trHeight w:val="256"/>
        </w:trPr>
        <w:tc>
          <w:tcPr>
            <w:tcW w:w="67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57"/>
        </w:trPr>
        <w:tc>
          <w:tcPr>
            <w:tcW w:w="67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tcBorders>
              <w:bottom w:val="single" w:sz="8" w:color="auto"/>
            </w:tcBorders>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Pr>
          <w:p>
            <w:pPr>
              <w:spacing w:after="0"/>
              <w:rPr>
                <w:sz w:val="19"/>
                <w:szCs w:val="19"/>
                <w:color w:val="auto"/>
              </w:rPr>
            </w:pPr>
          </w:p>
        </w:tc>
        <w:tc>
          <w:tcPr>
            <w:tcW w:w="138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tcBorders>
              <w:bottom w:val="single" w:sz="8" w:color="auto"/>
            </w:tcBorders>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ind w:right="1175"/>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17"/>
                <w:szCs w:val="17"/>
                <w:color w:val="auto"/>
              </w:rPr>
            </w:pPr>
          </w:p>
        </w:tc>
        <w:tc>
          <w:tcPr>
            <w:tcW w:w="1380" w:type="dxa"/>
            <w:vAlign w:val="bottom"/>
            <w:tcBorders>
              <w:bottom w:val="single" w:sz="8" w:color="auto"/>
            </w:tcBorders>
          </w:tcPr>
          <w:p>
            <w:pPr>
              <w:jc w:val="right"/>
              <w:ind w:right="119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1380" w:type="dxa"/>
            <w:vAlign w:val="bottom"/>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(Unaudited) (In thousands)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82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20" w:type="dxa"/>
            <w:vAlign w:val="bottom"/>
            <w:tcBorders>
              <w:bottom w:val="single" w:sz="8" w:color="auto"/>
            </w:tcBorders>
          </w:tcPr>
          <w:p>
            <w:pPr>
              <w:spacing w:after="0"/>
              <w:rPr>
                <w:sz w:val="16"/>
                <w:szCs w:val="16"/>
                <w:color w:val="auto"/>
              </w:rPr>
            </w:pPr>
          </w:p>
        </w:tc>
      </w:tr>
      <w:tr>
        <w:trPr>
          <w:trHeight w:val="209"/>
        </w:trPr>
        <w:tc>
          <w:tcPr>
            <w:tcW w:w="67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8"/>
                <w:szCs w:val="18"/>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60" w:type="dxa"/>
            <w:vAlign w:val="bottom"/>
            <w:tcBorders>
              <w:bottom w:val="single" w:sz="8" w:color="auto"/>
            </w:tcBorders>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150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60" w:type="dxa"/>
            <w:vAlign w:val="bottom"/>
          </w:tcPr>
          <w:p>
            <w:pPr>
              <w:spacing w:after="0"/>
              <w:rPr>
                <w:sz w:val="21"/>
                <w:szCs w:val="21"/>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55"/>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2020</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12,422</w:t>
            </w:r>
          </w:p>
        </w:tc>
        <w:tc>
          <w:tcPr>
            <w:tcW w:w="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61,998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294,016</w:t>
            </w:r>
          </w:p>
        </w:tc>
        <w:tc>
          <w:tcPr>
            <w:tcW w:w="14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(24,513)</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306,626</w:t>
            </w:r>
          </w:p>
        </w:tc>
        <w:tc>
          <w:tcPr>
            <w:tcW w:w="0" w:type="dxa"/>
            <w:vAlign w:val="bottom"/>
          </w:tcPr>
          <w:p>
            <w:pPr>
              <w:spacing w:after="0"/>
              <w:rPr>
                <w:sz w:val="1"/>
                <w:szCs w:val="1"/>
                <w:color w:val="auto"/>
              </w:rPr>
            </w:pPr>
          </w:p>
        </w:tc>
      </w:tr>
      <w:tr>
        <w:trPr>
          <w:trHeight w:val="211"/>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94"/>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4,349</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94"/>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0" w:type="dxa"/>
            <w:vAlign w:val="bottom"/>
          </w:tcPr>
          <w:p>
            <w:pPr>
              <w:spacing w:after="0"/>
              <w:rPr>
                <w:sz w:val="1"/>
                <w:szCs w:val="1"/>
                <w:color w:val="auto"/>
              </w:rPr>
            </w:pPr>
          </w:p>
        </w:tc>
      </w:tr>
      <w:tr>
        <w:trPr>
          <w:trHeight w:val="213"/>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62,259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290,624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307,845</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150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60" w:type="dxa"/>
            <w:vAlign w:val="bottom"/>
          </w:tcPr>
          <w:p>
            <w:pPr>
              <w:spacing w:after="0"/>
              <w:rPr>
                <w:sz w:val="21"/>
                <w:szCs w:val="21"/>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55"/>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2019</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12,373</w:t>
            </w:r>
          </w:p>
        </w:tc>
        <w:tc>
          <w:tcPr>
            <w:tcW w:w="1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59,153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289,422</w:t>
            </w:r>
          </w:p>
        </w:tc>
        <w:tc>
          <w:tcPr>
            <w:tcW w:w="14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(24,547)</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299,153</w:t>
            </w:r>
          </w:p>
        </w:tc>
        <w:tc>
          <w:tcPr>
            <w:tcW w:w="0" w:type="dxa"/>
            <w:vAlign w:val="bottom"/>
          </w:tcPr>
          <w:p>
            <w:pPr>
              <w:spacing w:after="0"/>
              <w:rPr>
                <w:sz w:val="1"/>
                <w:szCs w:val="1"/>
                <w:color w:val="auto"/>
              </w:rPr>
            </w:pPr>
          </w:p>
        </w:tc>
      </w:tr>
      <w:tr>
        <w:trPr>
          <w:trHeight w:val="211"/>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2,775</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2,775</w:t>
            </w:r>
          </w:p>
        </w:tc>
        <w:tc>
          <w:tcPr>
            <w:tcW w:w="0" w:type="dxa"/>
            <w:vAlign w:val="bottom"/>
          </w:tcPr>
          <w:p>
            <w:pPr>
              <w:spacing w:after="0"/>
              <w:rPr>
                <w:sz w:val="1"/>
                <w:szCs w:val="1"/>
                <w:color w:val="auto"/>
              </w:rPr>
            </w:pPr>
          </w:p>
        </w:tc>
      </w:tr>
      <w:tr>
        <w:trPr>
          <w:trHeight w:val="194"/>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2,387</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982</w:t>
            </w:r>
          </w:p>
        </w:tc>
        <w:tc>
          <w:tcPr>
            <w:tcW w:w="0" w:type="dxa"/>
            <w:vAlign w:val="bottom"/>
          </w:tcPr>
          <w:p>
            <w:pPr>
              <w:spacing w:after="0"/>
              <w:rPr>
                <w:sz w:val="1"/>
                <w:szCs w:val="1"/>
                <w:color w:val="auto"/>
              </w:rPr>
            </w:pPr>
          </w:p>
        </w:tc>
      </w:tr>
      <w:tr>
        <w:trPr>
          <w:trHeight w:val="194"/>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0" w:type="dxa"/>
            <w:vAlign w:val="bottom"/>
          </w:tcPr>
          <w:p>
            <w:pPr>
              <w:spacing w:after="0"/>
              <w:rPr>
                <w:sz w:val="1"/>
                <w:szCs w:val="1"/>
                <w:color w:val="auto"/>
              </w:rPr>
            </w:pPr>
          </w:p>
        </w:tc>
      </w:tr>
      <w:tr>
        <w:trPr>
          <w:trHeight w:val="213"/>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2019</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59,524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289,184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301,673</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80"/>
          </w:cols>
          <w:pgMar w:left="1360" w:top="887" w:right="1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16"/>
                <w:szCs w:val="16"/>
                <w:color w:val="auto"/>
              </w:rPr>
            </w:pPr>
          </w:p>
        </w:tc>
        <w:tc>
          <w:tcPr>
            <w:tcW w:w="354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80" w:type="dxa"/>
            <w:vAlign w:val="bottom"/>
            <w:tcBorders>
              <w:bottom w:val="single" w:sz="8" w:color="auto"/>
            </w:tcBorders>
          </w:tcPr>
          <w:p>
            <w:pPr>
              <w:spacing w:after="0"/>
              <w:rPr>
                <w:sz w:val="16"/>
                <w:szCs w:val="16"/>
                <w:color w:val="auto"/>
              </w:rPr>
            </w:pPr>
          </w:p>
        </w:tc>
      </w:tr>
      <w:tr>
        <w:trPr>
          <w:trHeight w:val="209"/>
        </w:trPr>
        <w:tc>
          <w:tcPr>
            <w:tcW w:w="68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bottom w:val="single" w:sz="8" w:color="auto"/>
            </w:tcBorders>
          </w:tcPr>
          <w:p>
            <w:pPr>
              <w:spacing w:after="0"/>
              <w:rPr>
                <w:sz w:val="18"/>
                <w:szCs w:val="18"/>
                <w:color w:val="auto"/>
              </w:rPr>
            </w:pPr>
          </w:p>
        </w:tc>
      </w:tr>
      <w:tr>
        <w:trPr>
          <w:trHeight w:val="22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176"/>
        </w:trPr>
        <w:tc>
          <w:tcPr>
            <w:tcW w:w="68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w:t>
            </w:r>
          </w:p>
        </w:tc>
        <w:tc>
          <w:tcPr>
            <w:tcW w:w="1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Bad debt expense (recovery)</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w:t>
            </w:r>
          </w:p>
        </w:tc>
      </w:tr>
      <w:tr>
        <w:trPr>
          <w:trHeight w:val="229"/>
        </w:trPr>
        <w:tc>
          <w:tcPr>
            <w:tcW w:w="6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 net</w:t>
            </w:r>
          </w:p>
        </w:tc>
        <w:tc>
          <w:tcPr>
            <w:tcW w:w="1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industrial development revenue bonds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30"/>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160,216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118,639</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30"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markets, including onshore and offshore oil and gas production, petrochemical, liquefied natural gas (LNG) terminals, pipeline, terminal, mining and metals, light rail traction power, electric utility, pulp and paper and other heavy industrial markets.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 and Oil and Gas Commodity Market Volatility on Powell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the first fiscal quarter of 2021, the COVID-19 pandemic continues to significantly impact global economic conditions. This pandemic has negatively impacted energy demand, which in turn has resulted in considerable volatility across global oil and gas commodity markets. As a result, some of our industrial customers are deferring or suspending their planned capital expenditures. Certain of our customers have asked that we delay or cancel our manufacturing on their projects as their operations have been negatively impacted by this pandemic and the reduced oil and gas demand. We continue to work with and review the contracts with our key suppliers who have been impacted by this pandemic to ensure that we are able to meet our customer commitments.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consequences of a prolonged economic decline could include, but are not limited to, a continued reduction in commercial and industrial activity. Accordingly, the Company cannot reasonably estimate the duration or severity of this pandemic, or the extent to which the disruption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2020, which was filed with the Securities and Exchange Commission (SEC) on December 9,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Fiscal 2021 and Fiscal 2020 used throughout this report shall mean our fiscal years ended September 30, 2021 and 2020,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 new topic on measurement of credit losses. The topic introduces an impairment model known as the current expected credit loss (CECL) model that is based on an expected loss methodology rather than an incurred loss methodology for financial instruments. Under the new topic, an entity recognizes as an allowance its estimate of expected credit losses with the intention of improving financial reporting by requiring timelier recognition of such losses. We adopted this topic on October 1, 2020 and such adoption did not have a material impact on our consolidated financial statements.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7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60" w:type="dxa"/>
            <w:vAlign w:val="bottom"/>
            <w:tcBorders>
              <w:bottom w:val="single" w:sz="8" w:color="auto"/>
            </w:tcBorders>
          </w:tcPr>
          <w:p>
            <w:pPr>
              <w:spacing w:after="0"/>
              <w:rPr>
                <w:sz w:val="16"/>
                <w:szCs w:val="16"/>
                <w:color w:val="auto"/>
              </w:rPr>
            </w:pPr>
          </w:p>
        </w:tc>
      </w:tr>
      <w:tr>
        <w:trPr>
          <w:trHeight w:val="209"/>
        </w:trPr>
        <w:tc>
          <w:tcPr>
            <w:tcW w:w="67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18"/>
                <w:szCs w:val="18"/>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tcBorders>
              <w:bottom w:val="single" w:sz="8" w:color="auto"/>
            </w:tcBorders>
          </w:tcPr>
          <w:p>
            <w:pPr>
              <w:jc w:val="right"/>
              <w:ind w:right="123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Pr>
          <w:p>
            <w:pPr>
              <w:spacing w:after="0"/>
              <w:rPr>
                <w:sz w:val="19"/>
                <w:szCs w:val="19"/>
                <w:color w:val="auto"/>
              </w:rPr>
            </w:pPr>
          </w:p>
        </w:tc>
        <w:tc>
          <w:tcPr>
            <w:tcW w:w="1420" w:type="dxa"/>
            <w:vAlign w:val="bottom"/>
            <w:tcBorders>
              <w:bottom w:val="single" w:sz="8" w:color="auto"/>
            </w:tcBorders>
          </w:tcPr>
          <w:p>
            <w:pPr>
              <w:jc w:val="right"/>
              <w:ind w:right="12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4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60" w:type="dxa"/>
            <w:vAlign w:val="bottom"/>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11,665</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1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tcBorders>
              <w:bottom w:val="single" w:sz="8" w:color="auto"/>
            </w:tcBorders>
          </w:tcPr>
          <w:p>
            <w:pPr>
              <w:jc w:val="right"/>
              <w:ind w:right="123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19"/>
                <w:szCs w:val="19"/>
                <w:color w:val="auto"/>
              </w:rPr>
            </w:pPr>
          </w:p>
        </w:tc>
        <w:tc>
          <w:tcPr>
            <w:tcW w:w="1420" w:type="dxa"/>
            <w:vAlign w:val="bottom"/>
            <w:tcBorders>
              <w:bottom w:val="single" w:sz="8" w:color="auto"/>
            </w:tcBorders>
          </w:tcPr>
          <w:p>
            <w:pPr>
              <w:jc w:val="right"/>
              <w:ind w:right="12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tcBorders>
              <w:bottom w:val="single" w:sz="8" w:color="auto"/>
            </w:tcBorders>
            <w:shd w:val="clear" w:color="auto" w:fill="CCEEFF"/>
          </w:tcPr>
          <w:p>
            <w:pPr>
              <w:jc w:val="right"/>
              <w:ind w:right="123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December 31, 2020, we incurred a net loss and therefore all potential common shares were deemed to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allowance for doubtful accounts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tcBorders>
              <w:bottom w:val="single" w:sz="8" w:color="auto"/>
            </w:tcBorders>
            <w:gridSpan w:val="6"/>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ind w:right="13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 (recovery)</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Uncollectible accounts written off, net of recoveries</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4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13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4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59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960" w:type="dxa"/>
            <w:vAlign w:val="bottom"/>
            <w:tcBorders>
              <w:bottom w:val="single" w:sz="8" w:color="CFF0FC"/>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 net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28,261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29,019</w:t>
            </w:r>
          </w:p>
        </w:tc>
        <w:tc>
          <w:tcPr>
            <w:tcW w:w="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7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9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w w:val="99"/>
              </w:rPr>
              <w:t>Activity in our product warranty accrual consisted of the following (in thousands):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Borders>
              <w:bottom w:val="single" w:sz="8" w:color="auto"/>
            </w:tcBorders>
            <w:gridSpan w:val="6"/>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2,771</w:t>
            </w:r>
          </w:p>
        </w:tc>
        <w:tc>
          <w:tcPr>
            <w:tcW w:w="1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ind w:right="13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4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4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ind w:right="14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2,675</w:t>
            </w:r>
          </w:p>
        </w:tc>
        <w:tc>
          <w:tcPr>
            <w:tcW w:w="1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133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Revenue from these contracts is generally recognized over time utilizing the cost-to-cost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contracts to provide value-added services such as field service inspection, installation, commissioning, modification and repair,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92% of total revenues for the three months ended December 31, 2020 and 95% of total revenues for the three months ended December 31, 2019.</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8% of total revenues for the three months ended December 31, 2020 and 5% of total revenues for the three months ended December 31, 2019.</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generally include a standard assurance warranty that typically ends 18 months after shipment.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December 31, 2020, we had backlog of $464.9 million, of which approximately $306.8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Whenever revisions of estimated contract costs and contract values indicate that the contract costs will exceed estimated revenues, thus creating a loss, a provision for the total estimated loss is recorded in that period.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2020 and 2019, our operating results were positively impacted by $5.5 million and $4.3 million, respectively, as a result of changes in contract estimates related to projects in progress at the beginning of the respective period. These changes in estimates resulted primarily from favorable project execution and negotiations of variable consideration, discussed below, as well as revenue and reduced costs recognized from project cancellations and other changes in facts and circumstances during these periods.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 The timing of contract billing milestones related to our Fiscal 2020 contract award for a large industrial project contributed significantly to our net contract liability at September 30, 2020 and December 31, 2020.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December 31, 2020 and September 30, 2020 are summarized below (in thousands):</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28"/>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rPr>
              <w:t>47,886</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rPr>
              <w:t>50,995</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95"/>
              <w:spacing w:after="0"/>
              <w:rPr>
                <w:sz w:val="20"/>
                <w:szCs w:val="20"/>
                <w:color w:val="auto"/>
              </w:rPr>
            </w:pPr>
            <w:r>
              <w:rPr>
                <w:rFonts w:ascii="Times New Roman" w:cs="Times New Roman" w:eastAsia="Times New Roman" w:hAnsi="Times New Roman"/>
                <w:sz w:val="18"/>
                <w:szCs w:val="18"/>
                <w:color w:val="auto"/>
              </w:rPr>
              <w:t>(70,939)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715"/>
              <w:spacing w:after="0"/>
              <w:rPr>
                <w:sz w:val="20"/>
                <w:szCs w:val="20"/>
                <w:color w:val="auto"/>
              </w:rPr>
            </w:pPr>
            <w:r>
              <w:rPr>
                <w:rFonts w:ascii="Times New Roman" w:cs="Times New Roman" w:eastAsia="Times New Roman" w:hAnsi="Times New Roman"/>
                <w:sz w:val="18"/>
                <w:szCs w:val="18"/>
                <w:color w:val="auto"/>
              </w:rPr>
              <w:t>(79,445)</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rPr>
              <w:t>(23,053)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rPr>
              <w:t>(28,450)</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net contract liability at December 31, 2020 from September 30, 2020 was primarily due to the timing of contract billing milestones and new orders. To determine the amount of revenue recognized during the period from contract liabilities, we first allocate revenue to the individual contract liability balance outstanding at the beginning of the period until the revenue exceeds that balance. During the three months ended December 31, 2020, we recognized revenue of approximately $36.4 million that was related to contract liabilities outstanding at September 30, 2020.</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contain retention provisions that become due upon completion of contractual requirements. As of December 31, 2020 and September 30, 2020, accounts receivable included retention amounts of $7.8 million and $6.9 million, respectively. Of the retained amount at December 31, 2020, $6.1 million is expected to be collected in the next twelve months and is recorded in accounts receivable. The remaining $1.7 million is recorded in other assets.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months ended December 31, 2020 and 2019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88"/>
        </w:trPr>
        <w:tc>
          <w:tcPr>
            <w:tcW w:w="67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7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106,575</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134,150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3"/>
        </w:trPr>
        <w:tc>
          <w:tcPr>
            <w:tcW w:w="67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88"/>
        </w:trPr>
        <w:tc>
          <w:tcPr>
            <w:tcW w:w="67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Traction power</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7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106,575</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134,150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 Long-Term Debt</w:t>
            </w: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67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28"/>
        </w:trPr>
        <w:tc>
          <w:tcPr>
            <w:tcW w:w="67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7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center"/>
              <w:ind w:left="1113"/>
              <w:spacing w:after="0"/>
              <w:rPr>
                <w:sz w:val="20"/>
                <w:szCs w:val="20"/>
                <w:color w:val="auto"/>
              </w:rPr>
            </w:pPr>
            <w:r>
              <w:rPr>
                <w:rFonts w:ascii="Times New Roman" w:cs="Times New Roman" w:eastAsia="Times New Roman" w:hAnsi="Times New Roman"/>
                <w:sz w:val="18"/>
                <w:szCs w:val="18"/>
                <w:color w:val="auto"/>
                <w:w w:val="96"/>
              </w:rPr>
              <w:t>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7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1073"/>
              <w:spacing w:after="0"/>
              <w:rPr>
                <w:sz w:val="20"/>
                <w:szCs w:val="20"/>
                <w:color w:val="auto"/>
              </w:rPr>
            </w:pPr>
            <w:r>
              <w:rPr>
                <w:rFonts w:ascii="Times New Roman" w:cs="Times New Roman" w:eastAsia="Times New Roman" w:hAnsi="Times New Roman"/>
                <w:sz w:val="18"/>
                <w:szCs w:val="18"/>
                <w:color w:val="auto"/>
                <w:w w:val="97"/>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7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center"/>
              <w:ind w:left="1113"/>
              <w:spacing w:after="0"/>
              <w:rPr>
                <w:sz w:val="20"/>
                <w:szCs w:val="20"/>
                <w:color w:val="auto"/>
              </w:rPr>
            </w:pPr>
            <w:r>
              <w:rPr>
                <w:rFonts w:ascii="Times New Roman" w:cs="Times New Roman" w:eastAsia="Times New Roman" w:hAnsi="Times New Roman"/>
                <w:sz w:val="18"/>
                <w:szCs w:val="18"/>
                <w:color w:val="auto"/>
                <w:w w:val="96"/>
              </w:rPr>
              <w:t>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6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credit agreement with Bank of America, N.A. (the "U.S. Revolver") which is a $75.0 million revolving credit facility that is available for both borrowings and letters of credit and expires September 2024. As of December 31, 2020, there were no amounts borrowed under this facility and letters of credit outstanding were $38.9 million. There was $36.1 million available for the issuance of letters of credit and borrowings under the U.S. Revolver as of December 31, 2020.</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maintain certain financial covenants, the most significant of which are a consolidated leverage ratio less than 3.0 to 1.0 and a consolidated interest coverage ratio of greater than 3.0 to 1.0. The consolidated leverage ratio is our most restrictive covenant and a decrease in our earnings before interest, taxes, depreciation and amortization (EBITDA) could restrict our ability to issue letters of credit under the U.S. Revolver. Additionally, we must maintain a consolidated cash balance of $30 million at all times. The U.S. Revolver also contains a "material adverse effect" clause which is a material change in our operations, business, properties, liabilities or condition (financial or otherwise) or a material impairment of our ability to perform our obligations under our credit agreements. As of December 31, 2020, we were in compliance with all of the financial covenants of the U.S. Revolver.</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London Interbank Offered Rate (LIBOR) plus 1.00%. The applicable rate is generally a range from (0.25)% to 1.75% depending on the type of loan and the Company's consolidated leverage ratio.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Development Revenue Bonds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borrowed $8.0 million in October 2001 through a loan agreement funded with proceeds from tax-exempt industrial development revenue bonds (Bonds) for the completion of our Northlake, Illinois facility. The Bonds are subject to various covenants, for which we were in compliance at December 31, 2020. The Bonds mature in 2021 and bear interest at a floating rate determined weekly by the Bonds’ remarketing agent. This interest rate was 0.24% as of December 31, 2020.</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$38.9 million as of December 31, 2020. We also had surety bonds totaling $185.0 million that were outstanding, with additional bonding capacity of $565.0 million available, at December 31, 2020.</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$9.6 million facility agreement (Facility Agreement) between Powell (UK) Limited and a large international bank that provides Powell (UK) Limited the ability to enter into bank guarantees as well as forward exchange contracts and currency options. At December 31, 2020, we had outstanding guarantees totaling $7.6 million and amounts available under this Facility Agreement were $2.0 million.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December 31, 2020,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2020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December 31, 2020, there were 202,836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Total RSU activity (number of shares) for the three months ended December 31, 2020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5"/>
        </w:trPr>
        <w:tc>
          <w:tcPr>
            <w:tcW w:w="826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35"/>
        </w:trPr>
        <w:tc>
          <w:tcPr>
            <w:tcW w:w="826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89"/>
        </w:trPr>
        <w:tc>
          <w:tcPr>
            <w:tcW w:w="8260" w:type="dxa"/>
            <w:vAlign w:val="bottom"/>
            <w:tcBorders>
              <w:bottom w:val="single" w:sz="8" w:color="CFF0FC"/>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154,034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35.37</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r>
      <w:tr>
        <w:trPr>
          <w:trHeight w:val="229"/>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29"/>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202,836</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2020 and 2019, we recorded compensation expense of $0.8 million and $0.9 million, respectively, related to the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non-employee director receives 2,400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During the three months ended December 31, 2020 and 2019, there were no restricted shares granted. During both the three months ended December 31, 2020 and 2019, we recorded compensation expense of $0.1 million related to restricted stock.</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December 31, 2020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2020</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760" w:type="dxa"/>
            <w:vAlign w:val="bottom"/>
            <w:gridSpan w:val="3"/>
          </w:tcPr>
          <w:p>
            <w:pPr>
              <w:jc w:val="center"/>
              <w:ind w:right="48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6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1"/>
                <w:szCs w:val="11"/>
                <w:color w:val="auto"/>
              </w:rPr>
            </w:pPr>
          </w:p>
        </w:tc>
        <w:tc>
          <w:tcPr>
            <w:tcW w:w="1760" w:type="dxa"/>
            <w:vAlign w:val="bottom"/>
            <w:gridSpan w:val="3"/>
          </w:tcPr>
          <w:p>
            <w:pPr>
              <w:jc w:val="center"/>
              <w:ind w:right="4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1"/>
                <w:szCs w:val="11"/>
                <w:color w:val="auto"/>
              </w:rPr>
            </w:pPr>
          </w:p>
        </w:tc>
        <w:tc>
          <w:tcPr>
            <w:tcW w:w="1760" w:type="dxa"/>
            <w:vAlign w:val="bottom"/>
            <w:gridSpan w:val="3"/>
          </w:tcPr>
          <w:p>
            <w:pPr>
              <w:jc w:val="center"/>
              <w:ind w:right="48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7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134,016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2020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2020</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leases consist primarily of office and manufacturing space, construction equipment and office equipment. All of our future lease obligations are related to non-cancelable operating leases. The most significant portion of our lease portfolio relates to leases of office and manufacturing facilities in Canada which we no longer occupy. We currently sublease the majority of these Canadian facilities. The following table provides a summary of lease cost components for the three months ended December 31, 2020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4"/>
          </w:tcPr>
          <w:p>
            <w:pPr>
              <w:jc w:val="right"/>
              <w:ind w:right="1133"/>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540" w:type="dxa"/>
            <w:vAlign w:val="bottom"/>
          </w:tcPr>
          <w:p>
            <w:pPr>
              <w:spacing w:after="0"/>
              <w:rPr>
                <w:sz w:val="18"/>
                <w:szCs w:val="18"/>
                <w:color w:val="auto"/>
              </w:rPr>
            </w:pPr>
          </w:p>
        </w:tc>
        <w:tc>
          <w:tcPr>
            <w:tcW w:w="1660" w:type="dxa"/>
            <w:vAlign w:val="bottom"/>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center"/>
              <w:ind w:left="1155"/>
              <w:spacing w:after="0"/>
              <w:rPr>
                <w:sz w:val="20"/>
                <w:szCs w:val="20"/>
                <w:color w:val="auto"/>
              </w:rPr>
            </w:pPr>
            <w:r>
              <w:rPr>
                <w:rFonts w:ascii="Times New Roman" w:cs="Times New Roman" w:eastAsia="Times New Roman" w:hAnsi="Times New Roman"/>
                <w:sz w:val="18"/>
                <w:szCs w:val="18"/>
                <w:color w:val="auto"/>
                <w:w w:val="96"/>
              </w:rPr>
              <w:t>608</w:t>
            </w:r>
          </w:p>
        </w:tc>
        <w:tc>
          <w:tcPr>
            <w:tcW w:w="2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30"/>
        </w:trPr>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Less: sublease income</w:t>
            </w:r>
          </w:p>
        </w:tc>
        <w:tc>
          <w:tcPr>
            <w:tcW w:w="540" w:type="dxa"/>
            <w:vAlign w:val="bottom"/>
          </w:tcPr>
          <w:p>
            <w:pPr>
              <w:spacing w:after="0"/>
              <w:rPr>
                <w:sz w:val="19"/>
                <w:szCs w:val="19"/>
                <w:color w:val="auto"/>
              </w:rPr>
            </w:pPr>
          </w:p>
        </w:tc>
        <w:tc>
          <w:tcPr>
            <w:tcW w:w="1660" w:type="dxa"/>
            <w:vAlign w:val="bottom"/>
          </w:tcPr>
          <w:p>
            <w:pPr>
              <w:jc w:val="center"/>
              <w:ind w:left="1135"/>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6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1155"/>
              <w:spacing w:after="0"/>
              <w:rPr>
                <w:sz w:val="20"/>
                <w:szCs w:val="20"/>
                <w:color w:val="auto"/>
              </w:rPr>
            </w:pPr>
            <w:r>
              <w:rPr>
                <w:rFonts w:ascii="Times New Roman" w:cs="Times New Roman" w:eastAsia="Times New Roman" w:hAnsi="Times New Roman"/>
                <w:sz w:val="18"/>
                <w:szCs w:val="18"/>
                <w:color w:val="auto"/>
                <w:w w:val="96"/>
              </w:rPr>
              <w:t>108</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66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1155"/>
              <w:spacing w:after="0"/>
              <w:rPr>
                <w:sz w:val="20"/>
                <w:szCs w:val="20"/>
                <w:color w:val="auto"/>
              </w:rPr>
            </w:pPr>
            <w:r>
              <w:rPr>
                <w:rFonts w:ascii="Times New Roman" w:cs="Times New Roman" w:eastAsia="Times New Roman" w:hAnsi="Times New Roman"/>
                <w:sz w:val="18"/>
                <w:szCs w:val="18"/>
                <w:color w:val="auto"/>
                <w:w w:val="96"/>
              </w:rPr>
              <w:t>169</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8"/>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center"/>
              <w:ind w:left="1155"/>
              <w:spacing w:after="0"/>
              <w:rPr>
                <w:sz w:val="20"/>
                <w:szCs w:val="20"/>
                <w:color w:val="auto"/>
              </w:rPr>
            </w:pPr>
            <w:r>
              <w:rPr>
                <w:rFonts w:ascii="Times New Roman" w:cs="Times New Roman" w:eastAsia="Times New Roman" w:hAnsi="Times New Roman"/>
                <w:sz w:val="18"/>
                <w:szCs w:val="18"/>
                <w:color w:val="auto"/>
                <w:w w:val="96"/>
              </w:rPr>
              <w:t>705</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Our operating lease assets have been reduced by a lease accrual of $0.5 million related to certain unused facility leases in Canada. The following table provides a summary of the operating lease assets and operating lease liabilities included in our Condensed Consolidated Balance Sheets as of December 31, 2020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Pr>
          <w:p>
            <w:pPr>
              <w:spacing w:after="0"/>
              <w:rPr>
                <w:sz w:val="20"/>
                <w:szCs w:val="20"/>
                <w:color w:val="auto"/>
              </w:rPr>
            </w:pP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0" w:type="dxa"/>
            <w:vAlign w:val="bottom"/>
          </w:tcPr>
          <w:p>
            <w:pPr>
              <w:spacing w:after="0"/>
              <w:rPr>
                <w:sz w:val="19"/>
                <w:szCs w:val="19"/>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December 31, 2020 (in thousands):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2021</w:t>
            </w:r>
          </w:p>
        </w:tc>
        <w:tc>
          <w:tcPr>
            <w:tcW w:w="24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as of December 31, 2020 was 4.17%. The weighted average remaining lease term was 2.3 years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80" w:type="dxa"/>
            <w:vAlign w:val="bottom"/>
            <w:tcBorders>
              <w:bottom w:val="single" w:sz="8" w:color="auto"/>
            </w:tcBorders>
          </w:tcPr>
          <w:p>
            <w:pPr>
              <w:spacing w:after="0"/>
              <w:rPr>
                <w:sz w:val="16"/>
                <w:szCs w:val="16"/>
                <w:color w:val="auto"/>
              </w:rPr>
            </w:pPr>
          </w:p>
        </w:tc>
      </w:tr>
      <w:tr>
        <w:trPr>
          <w:trHeight w:val="210"/>
        </w:trPr>
        <w:tc>
          <w:tcPr>
            <w:tcW w:w="65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w w:val="92"/>
              </w:rPr>
              <w:t>2019</w:t>
            </w: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30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3,333</w:t>
            </w:r>
          </w:p>
        </w:tc>
      </w:tr>
      <w:tr>
        <w:trPr>
          <w:trHeight w:val="216"/>
        </w:trPr>
        <w:tc>
          <w:tcPr>
            <w:tcW w:w="6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558</w:t>
            </w:r>
          </w:p>
        </w:tc>
      </w:tr>
      <w:tr>
        <w:trPr>
          <w:trHeight w:val="162"/>
        </w:trPr>
        <w:tc>
          <w:tcPr>
            <w:tcW w:w="65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tcBorders>
              <w:bottom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2,775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income (loss) of negative 41% for the first quarter of Fiscal 2021 compared to 17% in the first quarter of Fiscal 2020. For the three months ended December 31, 2020, the income tax provision was negatively impacted by losses recognized in various foreign jurisdictions that were reserved with a valuation allowance as well as discrete items in the amount of $0.1 million primarily related to the vesting of restricted stock units. The income tax provision was partially offset by the estimated Research and Development Tax Credit and the projected utilization of net operating loss carryforwards in Canada that were fully reserved with a valuation allowance for the three months ended December 31, 2020 and 2019. There were no material discrete items recognized in the first quarter of Fiscal 2020.</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 2021, our Board of Directors declared a quarterly cash dividend on our common stock in the amount of $0.26 per share. The dividend is payable on March 17, 2021 to shareholders of record at the close of business on February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may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has had, and may continue to have, an adverse effect on our future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competitors may make existing products and production methods obsolete.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involves a number of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 on some of our projects.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3" w:lineRule="exact"/>
        <w:rPr>
          <w:rFonts w:ascii="Times New Roman" w:cs="Times New Roman" w:eastAsia="Times New Roman" w:hAnsi="Times New Roman"/>
          <w:sz w:val="18"/>
          <w:szCs w:val="18"/>
          <w:color w:val="252525"/>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Catastrophic events, including natural disasters, health epidemics (including the COVID-19 pandemic), acts of war and terrorism, among others, could disrupt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 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business systems or cyber security attacks on any of our facilities, or those of third parties, could adversely affect our business and our internal controls.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Common Stock</w:t>
      </w:r>
    </w:p>
    <w:p>
      <w:pPr>
        <w:spacing w:after="0" w:line="121" w:lineRule="exact"/>
        <w:rPr>
          <w:sz w:val="20"/>
          <w:szCs w:val="20"/>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environmental laws could adversely impact our financial results.</w:t>
      </w:r>
    </w:p>
    <w:p>
      <w:pPr>
        <w:spacing w:after="0" w:line="117"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recent U.S. Government proposals concerning tariffs and other economic proposals could adversely impact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b w:val="1"/>
          <w:bCs w:val="1"/>
          <w:i w:val="1"/>
          <w:iCs w:val="1"/>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 items we have outlined above are important factors that could cause estimates included in our financial statements and those expressed in a forward-looking statement made in this report or elsewhere by us or on our behalf to differ materially from actual results and those expressed in a forward-looking statement made in this report or elsewhere by us or on our behalf. We have discussed these factors in more detail in our Annual Report on Form 10-K for the year ended September 30, 2020.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2020, which was filed with the Securities and Exchange Commission (SEC) on December 9, 2020 and is available on the SEC’s website at www.sec.gov.</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markets, including onshore and offshore oil and gas production, petrochemical, liquefied natural gas (LNG) terminals, pipeline, terminal, mining and metals, light rail traction power, electric utility, pulp and paper and other heavy industrial markets. Revenues and costs are primarily related to custom engineered-to-order equipment and systems and are accounted for under percentage-of-completion accounting, which precludes us from providing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price and volume information. Our backlog includes various projects that typically take a number of months to produce.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late Fiscal 2018, the combination of a growing global economy, abundant sources of favorably priced natural gas feedstock, and an energy industry focus on transition to natural gas and cleaner-burning fuels drove an increase in capital investment opportunities, specifically across the oil, gas and petrochemical sectors. Some of these opportunities were for natural gas related projects targeting global demand for cleaner-burning fuels. Additionally, projects within the domestic petrochemical sector have benefited from the low feedstock prices of natural gas. Specific to natural gas, the business was awarded a substantial contract in the second quarter of Fiscal 2020 that will support the integrated electrical distribution requirements for a large domestic industrial complex and should be substantially completed in Fiscal 2022. However, we began to experience reduced commercial activity in Fiscal 2020 driven in large part by the uncertainties across our industrial end markets in the U.S. resulting from the COVID-19 pandemic. Considering the long cycle nature of our business, we anticipate that these cyclical conditions will persist through Fiscal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 and Oil and Gas Commodity Market Volatility on Powell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the first fiscal quarter of 2021, the COVID-19 pandemic continues to significantly impact global economic conditions. This pandemic has negatively impacted energy demand, which in turn has resulted in considerable volatility across global oil and gas commodity markets. The demand for our products and services as well as our operations have been negatively impacted by COVID-19, resulting from the associated reduction in oil and gas demand and volatility in commodity prices noted above. As a result, some of our industrial customers are deferring or suspending their planned capital expenditures. Certain of our customers have asked that we delay or cancel our manufacturing on their projects as their operations have been negatively impacted by this pandemic and the reduced oil and gas demand which has resulted in recognition of cancellation fees based on contract terms and the extent of our progress on the projects. We continue to work with and review the contracts with our key suppliers who have been impacted by this pandemic to ensure that we are able to meet our customer commitments.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lower demand across select end markets, we have taken and will continue to take various actions to reduce costs. During Fiscal 2020, we reduced our global workforce and instituted a temporary furlough program for our salaried workforce in North America. We have also reduced our capital and discretionary spending in response to current business conditions and will continue to monitor the economic conditions during the remainder of Fiscal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further under the heading "Outlook" below, it is difficult to predict the economic impact that this pandemic, as well as reduced oil and gas demand and commodity price volatility, may have on our business, results of operations and cash flows going forward.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December 31, 2020 Compared to the Quarter Ended December 31, 2019 (Unaudited)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decreased by 21%, or $27.6 million, to $106.6 million in the first quarter of Fiscal 2021, due to a decrease in orders as well as project delays and cancellations of potential projects associated with the global economic impact resulting from the COVID-19 pandemic and associated reduction in demand across the oil and gas end markets. These cyclical market conditions, which began in the second half of Fiscal 2020, led to a reduction in project bookings which has negatively impacted, and will continue to negatively impact, our revenues in Fiscal 2021. Domestic revenues decreased by 25%, or $26.4 million, to $79.7 million in the first quarter of Fiscal 2021. Domestic revenues were favorably impacted by our progress on our large domestic industrial project awarded in Fiscal 2020, which accounted for approximately 13% of our consolidated revenues for the first quarter of Fiscal 2021. International revenues decreased by 4%, or $1.1 million, to $26.9 million in the first quarter of Fiscal 2021 as a result of lower commercial activity across our international operations. Our international revenues include both revenues generated from our international facilities as well as revenues from export projects generated at our domestic facilities.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our oil and gas end markets decreased by 33%, or $20.0 million, to $40.0 million in the first quarter of Fiscal 2021, while petrochemical revenue decreased by 70%, or $21.3 million, to $9.2 million in the first quarter of Fiscal 2021, in each case primarily due to the uncertainty across our end markets. Revenue from utility markets increased by 22%, or $5.2 million, to $28.2 million, and traction market revenue increased by 60%, or $5.0 million, to $13.4 million in the first quarter of Fiscal 2021, as the mix of our projects shifts across our global operating facilities. Revenue from all other markets combined increased by $3.5 million to $15.9 million in the first quarter of Fiscal 2021.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reduction in revenue led to a reduction in gross profit of 16%, or $3.6 million, as compared to the first quarter of Fiscal 2020. However, gross profit of $18.3 million for the first quarter of Fiscal 2021 benefited from favorable close out gains on certain projects resulting from cost and productivity efficiencies and to a lesser extent from cancellation fees from certain contracts in our North American manufacturing facilities. As a result, gross profit as a percentage of revenues increased to 17% in the first quarter of Fiscal 2021, compared to 16% in the first quarter of Fiscal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2%, or $0.4 million, to $16.9 million in the first quarter of Fiscal 2021, primarily due to decreased personnel costs as a result of workforce reductions in Fiscal 2020 and lower travel-related costs resulting from the COVID-19 pandemic. Selling, general and administrative expenses, as a percentage of revenues, was 16% during the first quarter of Fiscal 2021 compared to 13% during the first quarter of Fiscal 2020, primarily due to the decrease in revenues.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an income tax provision of $0.1 million in the first quarter of Fiscal 2021, compared to an income tax provision of $0.6 million in the first quarter of Fiscal 2020. The effective tax rate for the first quarter of Fiscal 2021 was negative 41%, compared to an effective tax rate of 17% in the first quarter of Fiscal 2020. For the three months ended December 31, 2020, the income tax provision was negatively impacted by losses recognized in various foreign jurisdictions that were reserved with a valuation allowance as well as discrete items primarily related to the vesting of restricted stock units. The income tax provision was favorably impacted by the estimated Research and Development Tax Credit and the projected utilization of net operating loss carryforwards in Canada that were fully reserved with a valuation allowance in the first quarter of Fiscal 2021 and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2021, we recorded a net loss of $0.4 million, or $0.03 per diluted share, compared to net income of $2.8 million, or $0.24 per diluted share, in the first quarter of Fiscal 2020, primarily due to a decline in revenues and gross profit resulting from lower orders caused by the economic impact resulting from the COVID-19 pandemic and the associated reduction in global demand across the oil and gas end markets.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order backlog at December 31, 2020 was $464.9 million, a decrease of 2% from $476.8 million at September 30, 2020 and a 9% increase over the $425.9 million backlog at December 31, 2019. Bookings, net of cancellations and scope reductions, decreased by 34% in the first quarter of Fiscal 2021 to $91.1 million, compared to $137.4 million in the first quarter of Fiscal 2020, primarily due to decreased global demand across our core oil and gas markets.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noted in "Overview" above, the markets in which we participate are capital-intensive and cyclical in nature. A significant portion of our revenues has historically been from the oil, gas and petrochemical markets. Oil and gas commodity price levels have been unstable over the last several years, and our customers have in certain cases, delayed some of their major capital investment projects. Beginning in late Fiscal 2018 through the first quarter of Fiscal 2020, our customers' decisions to invest in projects in our key oil and gas and petrochemical markets were influenced to some extent by relative stabilization of commodity prices and the increased global demand for cleaner-burning fuels during that period of time. We believe that this change in market sentiment during that period of time had a favorable impact on our orders and backlog entering Fiscal 2020. However, the recent declines in oil prices and the global economic impacts from COVID-19 have had, and may continue to have, a negative impact on our business going forward, as discussed in more detail below. Specific to the energy industry focus on transition to natural gas and cleaner-burning fuels, the business was awarded a substantial contract in Fiscal 2020 that will support the integrated electrical distribution requirements for a large domestic industrial complex and should be substantially completed in Fiscal 2022.</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which may negatively impact our ability to cover our fixed costs. The strong commercial activity and subsequent orders in Fiscal 2018 and 2019 led to solid revenue and operating results for Fiscal 2020. We began to experience lower commercial activity in Fiscal 2020 driven in large part from the uncertainty resulting from the COVID-19 pandemic, as discussed in "Overview" above. Considering the long cycle nature of our business, we anticipate these cyclical conditions will persist through Fiscal 2021. We will continue to monitor the variables that impact our markets while adjusting to the global conditions in order to maintain a competitive cost and technological advantage in the markets that we serve.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consequences of a prolonged economic decline could include, but are not limited to, a continued reduction in commercial and industrial activity. Accordingly, the Company cannot reasonably estimate the duration or severity of this pandemic, or the extent to which the disruption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current assets exceeded current liabilities by 2.4 times, and our debt to total capitalization was 0.13%.</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cash equivalents and short-term investments decreased to $149.7 million at December 31, 2020, compared to $178.9 million at September 30, 2020. This decrease in cash was primarily driven by a decrease in accounts receivable collections and the timing of contract billing milestones as well as the payment of Fiscal 2020 variable incentive compensation. We believe that our strong working capital position, available borrowings under our credit facility and available cash should be sufficient to finance future operating activities, capital improvements, research and development initiatives and debt repayments for the foreseeable future.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We have a credit agreement with Bank of America, N.A. (the "U.S. Revolver") which is a $75.0 million revolving credit facility available for both borrowings and letters of credit and expires September 2024. As of December 31, 2020, there were no amounts borrowed under this facility, and letters of credit outstanding were $38.9 million. As of December 31, 2020, $36.1 million was available for the issuance of letters of credit and borrowing under the U.S. Revolver. Total long-term debt, including current maturities, totaled $0.4 million at December 31, 2020 related to outstanding industrial development revenue bonds. We are required to maintain certain financial covenants, the most significant of which are a consolidated leverage ratio of less than 3.0 to 1.0 and a consolidated interest coverage ratio of greater than 3.0 to 1.0. The consolidated leverage ratio is our most restrictive covenant and a decrease in our earnings before interest, taxes, depreciation and amortization (EBITDA) could restrict our ability to issue letters of credit under the U.S. Revolver. For further information regarding our debt, see Notes E and F of Notes to Condensed Consolidated Financial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$26.6 million of our cash and cash equivalents at December 31, 2020 was held outside of the U.S.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used $25.2 million during the three months ended December 31, 2020 and provided $2.1 million during the same period in Fiscal 2020. Cash flow from operations is primarily influenced by project volume, the timing of milestone payments from our customers and the payment terms with our suppliers. This decrease in operating cash flow was primarily due to a decrease in accounts receivable collections and the timing of contract billing milestones.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provided $3.0 million during the three months ended December 31, 2020 compared to $3.7 million provided during the same period in Fiscal 2020. The decrease in cash provided by investing activities in the first three months of Fiscal 2020 was primarily due to short-term investment activity offset by a decrease in capital expenditures.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$4.1 million during the three months ended December 31, 2020 and $4.0 million during the same period in Fiscal 2020, which primarily consisted of approximately $3.0 million of dividends paid in each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A of Notes to Condensed Consolidated Financial Statements included in this report for information on new accounting standards.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disclosed in our Annual Report on Form 10-K for the fiscal year ended September 30, 2020, which was filed with the SEC on December 9,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markets, including onshore and offshore oil and gas production, pipeline, refining and liquefied natural gas terminals, as well as petrochemical, electric utility and light traction power. Occasionally, our customers may include an engineering, procurement and construction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foreign operations that expose us to foreign currency exchange rate risk in the British Pound Sterling, the Canadian Dollar and to a lesser extent the Mexican Peso and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the three months ended December 31, 2020, our realized foreign exchange gain was less than $0.1 million and is included in selling, general and administrative expenses in the Condensed Consolidated Statements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$20.2 million as of December 31, 2020, a decrease of $4.3 million compared to September 30, 2020. This decrease in comprehensive loss was primarily a result of fluctuations in the currency exchange rates for the Canadian Dollar and British Pound Sterling as we remeasured the foreign operations of those divisions.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2020, which was filed with the SEC on December 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23"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3">
        <w:r>
          <w:rPr>
            <w:rFonts w:ascii="Times New Roman" w:cs="Times New Roman" w:eastAsia="Times New Roman" w:hAnsi="Times New Roman"/>
            <w:sz w:val="18"/>
            <w:szCs w:val="18"/>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spacing w:after="0"/>
        <w:rPr>
          <w:rFonts w:ascii="Times New Roman" w:cs="Times New Roman" w:eastAsia="Times New Roman" w:hAnsi="Times New Roman"/>
          <w:sz w:val="18"/>
          <w:szCs w:val="18"/>
          <w:u w:val="single" w:color="auto"/>
          <w:color w:val="0000FF"/>
        </w:rPr>
      </w:pPr>
      <w:hyperlink r:id="rId43">
        <w:r>
          <w:rPr>
            <w:rFonts w:ascii="Times New Roman" w:cs="Times New Roman" w:eastAsia="Times New Roman" w:hAnsi="Times New Roman"/>
            <w:sz w:val="18"/>
            <w:szCs w:val="18"/>
            <w:u w:val="single" w:color="auto"/>
            <w:color w:val="0000FF"/>
          </w:rPr>
          <w:t>2004 (filed as Exhibit 3.1 to our Form 8-A/A filed November 1, 2004, and incorporated herein by reference)</w:t>
        </w:r>
        <w:r>
          <w:rPr>
            <w:rFonts w:ascii="Times New Roman" w:cs="Times New Roman" w:eastAsia="Times New Roman" w:hAnsi="Times New Roman"/>
            <w:sz w:val="18"/>
            <w:szCs w:val="18"/>
            <w:u w:val="single" w:color="auto"/>
            <w:color w:val="000000"/>
          </w:rPr>
          <w:t>.</w:t>
        </w:r>
      </w:hyperlink>
    </w:p>
    <w:p>
      <w:pPr>
        <w:spacing w:after="0" w:line="165" w:lineRule="exact"/>
        <w:rPr>
          <w:sz w:val="20"/>
          <w:szCs w:val="20"/>
          <w:color w:val="auto"/>
        </w:rPr>
      </w:pPr>
    </w:p>
    <w:p>
      <w:pPr>
        <w:ind w:left="1340" w:hanging="773"/>
        <w:spacing w:after="0" w:line="237"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5">
        <w:r>
          <w:rPr>
            <w:rFonts w:ascii="Times New Roman" w:cs="Times New Roman" w:eastAsia="Times New Roman" w:hAnsi="Times New Roman"/>
            <w:sz w:val="18"/>
            <w:szCs w:val="18"/>
            <w:u w:val="single" w:color="auto"/>
            <w:color w:val="0000FF"/>
          </w:rPr>
          <w:t>Amended and Restated Bylaws of Powell Industries, Inc. (filed as Exhibit 3.1 to our Form 8-K filed October 12, 2012, and</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FF"/>
          </w:rPr>
          <w:t>incorporated herein by reference).</w:t>
        </w:r>
      </w:hyperlink>
    </w:p>
    <w:p>
      <w:pPr>
        <w:spacing w:after="0" w:line="158" w:lineRule="exact"/>
        <w:rPr>
          <w:sz w:val="20"/>
          <w:szCs w:val="20"/>
          <w:color w:val="auto"/>
        </w:rPr>
      </w:pPr>
    </w:p>
    <w:p>
      <w:pPr>
        <w:ind w:left="78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*31.1</w:t>
        <w:tab/>
        <w:t>—</w:t>
      </w:r>
      <w:r>
        <w:rPr>
          <w:sz w:val="20"/>
          <w:szCs w:val="20"/>
          <w:color w:val="auto"/>
        </w:rPr>
        <w:tab/>
      </w:r>
      <w:hyperlink w:anchor="page30">
        <w:r>
          <w:rPr>
            <w:rFonts w:ascii="Times New Roman" w:cs="Times New Roman" w:eastAsia="Times New Roman" w:hAnsi="Times New Roman"/>
            <w:sz w:val="17"/>
            <w:szCs w:val="17"/>
            <w:u w:val="single" w:color="auto"/>
            <w:color w:val="0000FF"/>
          </w:rPr>
          <w:t>Certification of Chief Executive Officer pursuant to Rule 13a-14(a)/15d-14(a)</w:t>
        </w:r>
        <w:r>
          <w:rPr>
            <w:rFonts w:ascii="Times New Roman" w:cs="Times New Roman" w:eastAsia="Times New Roman" w:hAnsi="Times New Roman"/>
            <w:sz w:val="17"/>
            <w:szCs w:val="17"/>
            <w:color w:val="0000FF"/>
          </w:rPr>
          <w:t>.</w:t>
        </w:r>
      </w:hyperlink>
    </w:p>
    <w:p>
      <w:pPr>
        <w:spacing w:after="0" w:line="185" w:lineRule="exact"/>
        <w:rPr>
          <w:sz w:val="20"/>
          <w:szCs w:val="20"/>
          <w:color w:val="auto"/>
        </w:rPr>
      </w:pPr>
    </w:p>
    <w:p>
      <w:pPr>
        <w:ind w:left="78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tab/>
        <w:t>—</w:t>
      </w:r>
      <w:r>
        <w:rPr>
          <w:sz w:val="20"/>
          <w:szCs w:val="20"/>
          <w:color w:val="auto"/>
        </w:rPr>
        <w:tab/>
      </w:r>
      <w:hyperlink w:anchor="page31">
        <w:r>
          <w:rPr>
            <w:rFonts w:ascii="Times New Roman" w:cs="Times New Roman" w:eastAsia="Times New Roman" w:hAnsi="Times New Roman"/>
            <w:sz w:val="17"/>
            <w:szCs w:val="17"/>
            <w:u w:val="single" w:color="auto"/>
            <w:color w:val="0000FF"/>
          </w:rPr>
          <w:t>Certification of Chief Financial Officer pursuant to Rule 13a-14(a)/15d-14(a).</w:t>
        </w:r>
      </w:hyperlink>
    </w:p>
    <w:p>
      <w:pPr>
        <w:spacing w:after="0" w:line="185" w:lineRule="exact"/>
        <w:rPr>
          <w:sz w:val="20"/>
          <w:szCs w:val="20"/>
          <w:color w:val="auto"/>
        </w:rPr>
      </w:pPr>
    </w:p>
    <w:p>
      <w:pPr>
        <w:ind w:left="1340" w:hanging="989"/>
        <w:spacing w:after="0" w:line="237"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tab/>
        <w:t xml:space="preserve">— </w:t>
      </w:r>
      <w:hyperlink w:anchor="page32">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hyperlink>
      <w:r>
        <w:rPr>
          <w:rFonts w:ascii="Times New Roman" w:cs="Times New Roman" w:eastAsia="Times New Roman" w:hAnsi="Times New Roman"/>
          <w:sz w:val="18"/>
          <w:szCs w:val="18"/>
          <w:color w:val="auto"/>
        </w:rPr>
        <w:t xml:space="preserve"> </w:t>
      </w:r>
      <w:hyperlink w:anchor="page32">
        <w:r>
          <w:rPr>
            <w:rFonts w:ascii="Times New Roman" w:cs="Times New Roman" w:eastAsia="Times New Roman" w:hAnsi="Times New Roman"/>
            <w:sz w:val="18"/>
            <w:szCs w:val="18"/>
            <w:u w:val="single" w:color="auto"/>
            <w:color w:val="0000FF"/>
          </w:rPr>
          <w:t>Sarbanes-Oxley Act of 2002.</w:t>
        </w:r>
      </w:hyperlink>
    </w:p>
    <w:p>
      <w:pPr>
        <w:spacing w:after="0" w:line="158" w:lineRule="exact"/>
        <w:rPr>
          <w:sz w:val="20"/>
          <w:szCs w:val="20"/>
          <w:color w:val="auto"/>
        </w:rPr>
      </w:pPr>
    </w:p>
    <w:p>
      <w:pPr>
        <w:ind w:left="1340" w:hanging="989"/>
        <w:spacing w:after="0" w:line="237"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**32.2</w:t>
        <w:tab/>
        <w:t xml:space="preserve">— </w:t>
      </w:r>
      <w:hyperlink w:anchor="page33">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hyperlink>
      <w:r>
        <w:rPr>
          <w:rFonts w:ascii="Times New Roman" w:cs="Times New Roman" w:eastAsia="Times New Roman" w:hAnsi="Times New Roman"/>
          <w:sz w:val="18"/>
          <w:szCs w:val="18"/>
          <w:color w:val="auto"/>
        </w:rPr>
        <w:t xml:space="preserve"> </w:t>
      </w:r>
      <w:hyperlink w:anchor="page33">
        <w:r>
          <w:rPr>
            <w:rFonts w:ascii="Times New Roman" w:cs="Times New Roman" w:eastAsia="Times New Roman" w:hAnsi="Times New Roman"/>
            <w:sz w:val="18"/>
            <w:szCs w:val="18"/>
            <w:u w:val="single" w:color="auto"/>
            <w:color w:val="0000FF"/>
          </w:rPr>
          <w:t>Sarbanes-Oxley Act of 2002.</w:t>
        </w:r>
      </w:hyperlink>
    </w:p>
    <w:p>
      <w:pPr>
        <w:spacing w:after="0" w:line="158" w:lineRule="exact"/>
        <w:rPr>
          <w:sz w:val="20"/>
          <w:szCs w:val="20"/>
          <w:color w:val="auto"/>
        </w:rPr>
      </w:pPr>
    </w:p>
    <w:p>
      <w:pPr>
        <w:ind w:left="4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*101.INS</w:t>
        <w:tab/>
        <w:t>—</w:t>
      </w:r>
      <w:r>
        <w:rPr>
          <w:sz w:val="20"/>
          <w:szCs w:val="20"/>
          <w:color w:val="auto"/>
        </w:rPr>
        <w:tab/>
      </w:r>
      <w:r>
        <w:rPr>
          <w:rFonts w:ascii="Times New Roman" w:cs="Times New Roman" w:eastAsia="Times New Roman" w:hAnsi="Times New Roman"/>
          <w:sz w:val="17"/>
          <w:szCs w:val="17"/>
          <w:color w:val="auto"/>
        </w:rPr>
        <w:t>Inline XBRL Instance Document</w:t>
      </w:r>
    </w:p>
    <w:p>
      <w:pPr>
        <w:spacing w:after="0" w:line="185" w:lineRule="exact"/>
        <w:rPr>
          <w:sz w:val="20"/>
          <w:szCs w:val="20"/>
          <w:color w:val="auto"/>
        </w:rPr>
      </w:pPr>
    </w:p>
    <w:p>
      <w:pPr>
        <w:ind w:left="42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*101.SCH</w:t>
        <w:tab/>
        <w:t>—</w:t>
      </w:r>
      <w:r>
        <w:rPr>
          <w:sz w:val="20"/>
          <w:szCs w:val="20"/>
          <w:color w:val="auto"/>
        </w:rPr>
        <w:tab/>
      </w:r>
      <w:r>
        <w:rPr>
          <w:rFonts w:ascii="Times New Roman" w:cs="Times New Roman" w:eastAsia="Times New Roman" w:hAnsi="Times New Roman"/>
          <w:sz w:val="17"/>
          <w:szCs w:val="17"/>
          <w:color w:val="auto"/>
        </w:rPr>
        <w:t>Inline XBRL Taxonomy Extension Schema Document</w:t>
      </w:r>
    </w:p>
    <w:p>
      <w:pPr>
        <w:spacing w:after="0" w:line="185" w:lineRule="exact"/>
        <w:rPr>
          <w:sz w:val="20"/>
          <w:szCs w:val="20"/>
          <w:color w:val="auto"/>
        </w:rPr>
      </w:pPr>
    </w:p>
    <w:p>
      <w:pPr>
        <w:ind w:left="42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*101.CAL</w:t>
        <w:tab/>
        <w:t>—</w:t>
      </w:r>
      <w:r>
        <w:rPr>
          <w:sz w:val="20"/>
          <w:szCs w:val="20"/>
          <w:color w:val="auto"/>
        </w:rPr>
        <w:tab/>
      </w:r>
      <w:r>
        <w:rPr>
          <w:rFonts w:ascii="Times New Roman" w:cs="Times New Roman" w:eastAsia="Times New Roman" w:hAnsi="Times New Roman"/>
          <w:sz w:val="17"/>
          <w:szCs w:val="17"/>
          <w:color w:val="auto"/>
        </w:rPr>
        <w:t>Inline XBRL Taxonomy Extension Calculation Linkbase Document</w:t>
      </w:r>
    </w:p>
    <w:p>
      <w:pPr>
        <w:spacing w:after="0" w:line="185" w:lineRule="exact"/>
        <w:rPr>
          <w:sz w:val="20"/>
          <w:szCs w:val="20"/>
          <w:color w:val="auto"/>
        </w:rPr>
      </w:pPr>
    </w:p>
    <w:p>
      <w:pPr>
        <w:ind w:left="44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*101.DEF</w:t>
        <w:tab/>
        <w:t>—</w:t>
      </w:r>
      <w:r>
        <w:rPr>
          <w:sz w:val="20"/>
          <w:szCs w:val="20"/>
          <w:color w:val="auto"/>
        </w:rPr>
        <w:tab/>
      </w:r>
      <w:r>
        <w:rPr>
          <w:rFonts w:ascii="Times New Roman" w:cs="Times New Roman" w:eastAsia="Times New Roman" w:hAnsi="Times New Roman"/>
          <w:sz w:val="17"/>
          <w:szCs w:val="17"/>
          <w:color w:val="auto"/>
        </w:rPr>
        <w:t>Inline XBRL Taxonomy Extension Definition Linkbase Document</w:t>
      </w:r>
    </w:p>
    <w:p>
      <w:pPr>
        <w:spacing w:after="0" w:line="185" w:lineRule="exact"/>
        <w:rPr>
          <w:sz w:val="20"/>
          <w:szCs w:val="20"/>
          <w:color w:val="auto"/>
        </w:rPr>
      </w:pPr>
    </w:p>
    <w:p>
      <w:pPr>
        <w:ind w:left="42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*101.LAB</w:t>
        <w:tab/>
        <w:t>—</w:t>
      </w:r>
      <w:r>
        <w:rPr>
          <w:sz w:val="20"/>
          <w:szCs w:val="20"/>
          <w:color w:val="auto"/>
        </w:rPr>
        <w:tab/>
      </w:r>
      <w:r>
        <w:rPr>
          <w:rFonts w:ascii="Times New Roman" w:cs="Times New Roman" w:eastAsia="Times New Roman" w:hAnsi="Times New Roman"/>
          <w:sz w:val="17"/>
          <w:szCs w:val="17"/>
          <w:color w:val="auto"/>
        </w:rPr>
        <w:t>Inline XBRL Taxonomy Extension Label Linkbase Document</w:t>
      </w:r>
    </w:p>
    <w:p>
      <w:pPr>
        <w:spacing w:after="0" w:line="185" w:lineRule="exact"/>
        <w:rPr>
          <w:sz w:val="20"/>
          <w:szCs w:val="20"/>
          <w:color w:val="auto"/>
        </w:rPr>
      </w:pPr>
    </w:p>
    <w:p>
      <w:pPr>
        <w:ind w:left="44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*101.PRE</w:t>
        <w:tab/>
        <w:t>—</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225" w:lineRule="exact"/>
        <w:rPr>
          <w:sz w:val="20"/>
          <w:szCs w:val="20"/>
          <w:color w:val="auto"/>
        </w:rPr>
      </w:pPr>
    </w:p>
    <w:p>
      <w:pPr>
        <w:ind w:left="82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*104</w:t>
        <w:tab/>
        <w:t>—</w:t>
      </w:r>
      <w:r>
        <w:rPr>
          <w:sz w:val="20"/>
          <w:szCs w:val="20"/>
          <w:color w:val="auto"/>
        </w:rPr>
        <w:tab/>
      </w:r>
      <w:r>
        <w:rPr>
          <w:rFonts w:ascii="Times New Roman" w:cs="Times New Roman" w:eastAsia="Times New Roman" w:hAnsi="Times New Roman"/>
          <w:sz w:val="17"/>
          <w:szCs w:val="17"/>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0458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38" w:right="3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420" w:type="dxa"/>
            <w:vAlign w:val="bottom"/>
          </w:tcPr>
          <w:p>
            <w:pPr>
              <w:spacing w:after="0"/>
              <w:rPr>
                <w:sz w:val="19"/>
                <w:szCs w:val="19"/>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420" w:type="dxa"/>
            <w:vAlign w:val="bottom"/>
          </w:tcPr>
          <w:p>
            <w:pPr>
              <w:spacing w:after="0"/>
              <w:rPr>
                <w:sz w:val="20"/>
                <w:szCs w:val="20"/>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2021</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2021</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bl>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48"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63"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5" w:lineRule="exact"/>
        <w:rPr>
          <w:rFonts w:ascii="Times New Roman" w:cs="Times New Roman" w:eastAsia="Times New Roman" w:hAnsi="Times New Roman"/>
          <w:sz w:val="16"/>
          <w:szCs w:val="16"/>
          <w:color w:val="auto"/>
        </w:rPr>
      </w:pPr>
    </w:p>
    <w:p>
      <w:pPr>
        <w:ind w:left="1300" w:right="40" w:hanging="320"/>
        <w:spacing w:after="0" w:line="263"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President and Chief Executive Officer</w:t>
      </w: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3, 2021</w:t>
      </w:r>
    </w:p>
    <w:p>
      <w:pPr>
        <w:sectPr>
          <w:pgSz w:w="11900" w:h="16838" w:orient="portrait"/>
          <w:cols w:equalWidth="0" w:num="1">
            <w:col w:w="11240"/>
          </w:cols>
          <w:pgMar w:left="320" w:top="89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48"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63"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5" w:lineRule="exact"/>
        <w:rPr>
          <w:rFonts w:ascii="Times New Roman" w:cs="Times New Roman" w:eastAsia="Times New Roman" w:hAnsi="Times New Roman"/>
          <w:sz w:val="16"/>
          <w:szCs w:val="16"/>
          <w:color w:val="auto"/>
        </w:rPr>
      </w:pPr>
    </w:p>
    <w:p>
      <w:pPr>
        <w:ind w:left="1300" w:right="40" w:hanging="320"/>
        <w:spacing w:after="0" w:line="263"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40"/>
        <w:spacing w:after="0" w:line="211"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3, 2021</w:t>
      </w:r>
    </w:p>
    <w:p>
      <w:pPr>
        <w:sectPr>
          <w:pgSz w:w="11900" w:h="16838" w:orient="portrait"/>
          <w:cols w:equalWidth="0" w:num="1">
            <w:col w:w="11240"/>
          </w:cols>
          <w:pgMar w:left="320" w:top="89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6"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6"/>
          <w:szCs w:val="16"/>
          <w:color w:val="auto"/>
        </w:rPr>
        <w:t>In connection with this Quarterly Report (the “Report”) on Form 10-Q of Powell Industries, Inc. (the “Company”) for the quarter ended December 31, 2020,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4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represents, in all material respects, the financial condition and results of operations of the Company.</w:t>
      </w:r>
    </w:p>
    <w:p>
      <w:pPr>
        <w:spacing w:after="0" w:line="3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3, 2021</w:t>
      </w:r>
    </w:p>
    <w:p>
      <w:pPr>
        <w:sectPr>
          <w:pgSz w:w="11900" w:h="16838" w:orient="portrait"/>
          <w:cols w:equalWidth="0" w:num="1">
            <w:col w:w="11240"/>
          </w:cols>
          <w:pgMar w:left="320" w:top="89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December 31, 2020,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3, 2021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3" Type="http://schemas.openxmlformats.org/officeDocument/2006/relationships/hyperlink" Target="http://www.sec.gov/Archives/edgar/data/80420/000008042004000044/exhibit3_1.htm" TargetMode="External"/><Relationship Id="rId45" Type="http://schemas.openxmlformats.org/officeDocument/2006/relationships/hyperlink" Target="http://www.sec.gov/Archives/edgar/data/80420/000119312512421889/d42437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2021-02-03T13:53:42Z</dcterms:created>
  <dcterms:modified xsi:type="dcterms:W3CDTF">2021-02-03T13:53:42Z</dcterms:modified>
</cp:coreProperties>
</file>