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103.xml.htm"/>
      <w:bookmarkStart w:id="1" w:name="kswkform4_17909731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McKertcher Terry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8550 MOSLEY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POWELL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POWL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President,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(2)(4)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average of the high and low stock price on 09/30/2026.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that have a time-based vesting provision.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average closing stock price from September 1, 2026 - September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reported number of shares have been adjusted to reflect the impact of the issuer's 3-for-1 forward split of its Common Stock effected on April 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W. Metcalf, Power of Attorney for Terry B. McKertcher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5133" TargetMode="External"/><Relationship Id="rId5" Type="http://schemas.openxmlformats.org/officeDocument/2006/relationships/hyperlink" Target="http://www.sec.gov/cgi-bin/browse-edgar?action=getcompany&amp;CIK=000008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645</Words>
  <Characters>3492</Characters>
  <CharactersWithSpaces>4056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