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328295</wp:posOffset>
            </wp:positionH>
            <wp:positionV relativeFrom="page">
              <wp:posOffset>877570</wp:posOffset>
            </wp:positionV>
            <wp:extent cx="69005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page">
              <wp:posOffset>328295</wp:posOffset>
            </wp:positionH>
            <wp:positionV relativeFrom="page">
              <wp:posOffset>852170</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77470</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104775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700" w:right="20" w:hanging="674"/>
        <w:spacing w:after="0" w:line="238" w:lineRule="auto"/>
        <w:tabs>
          <w:tab w:leader="none" w:pos="7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00" w:right="40" w:hanging="674"/>
        <w:spacing w:after="0" w:line="238" w:lineRule="auto"/>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97155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76"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88-0106100</w:t>
            </w:r>
          </w:p>
        </w:tc>
      </w:tr>
      <w:tr>
        <w:trPr>
          <w:trHeight w:val="203"/>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40" w:type="dxa"/>
            <w:vAlign w:val="bottom"/>
            <w:gridSpan w:val="3"/>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3"/>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8550 Mosley Road</w:t>
            </w:r>
          </w:p>
        </w:tc>
        <w:tc>
          <w:tcPr>
            <w:tcW w:w="1280" w:type="dxa"/>
            <w:vAlign w:val="bottom"/>
          </w:tcPr>
          <w:p>
            <w:pPr>
              <w:spacing w:after="0"/>
              <w:rPr>
                <w:sz w:val="20"/>
                <w:szCs w:val="20"/>
                <w:color w:val="auto"/>
              </w:rPr>
            </w:pPr>
          </w:p>
        </w:tc>
      </w:tr>
      <w:tr>
        <w:trPr>
          <w:trHeight w:val="23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rPr>
              <w:t>Houston</w:t>
            </w:r>
          </w:p>
        </w:tc>
        <w:tc>
          <w:tcPr>
            <w:tcW w:w="1280" w:type="dxa"/>
            <w:vAlign w:val="bottom"/>
          </w:tcPr>
          <w:p>
            <w:pPr>
              <w:spacing w:after="0"/>
              <w:rPr>
                <w:sz w:val="19"/>
                <w:szCs w:val="19"/>
                <w:color w:val="auto"/>
              </w:rPr>
            </w:pPr>
          </w:p>
        </w:tc>
      </w:tr>
      <w:tr>
        <w:trPr>
          <w:trHeight w:val="227"/>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3"/>
              </w:rPr>
              <w:t>Texas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190"/>
        </w:trPr>
        <w:tc>
          <w:tcPr>
            <w:tcW w:w="6240" w:type="dxa"/>
            <w:vAlign w:val="bottom"/>
            <w:gridSpan w:val="3"/>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8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6240" w:type="dxa"/>
            <w:vAlign w:val="bottom"/>
            <w:gridSpan w:val="3"/>
          </w:tcPr>
          <w:p>
            <w:pPr>
              <w:jc w:val="center"/>
              <w:ind w:left="1836"/>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80" w:type="dxa"/>
            <w:vAlign w:val="bottom"/>
          </w:tcPr>
          <w:p>
            <w:pPr>
              <w:spacing w:after="0"/>
              <w:rPr>
                <w:sz w:val="24"/>
                <w:szCs w:val="24"/>
                <w:color w:val="auto"/>
              </w:rPr>
            </w:pPr>
          </w:p>
        </w:tc>
      </w:tr>
      <w:tr>
        <w:trPr>
          <w:trHeight w:val="238"/>
        </w:trPr>
        <w:tc>
          <w:tcPr>
            <w:tcW w:w="572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5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Trading Symbol</w:t>
            </w: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POWL</w:t>
            </w:r>
          </w:p>
        </w:tc>
        <w:tc>
          <w:tcPr>
            <w:tcW w:w="32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139"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3"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Large accelerated</w:t>
            </w:r>
          </w:p>
        </w:tc>
        <w:tc>
          <w:tcPr>
            <w:tcW w:w="5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Accelerated</w:t>
            </w:r>
          </w:p>
        </w:tc>
        <w:tc>
          <w:tcPr>
            <w:tcW w:w="56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Non-accelerated</w:t>
            </w:r>
          </w:p>
        </w:tc>
        <w:tc>
          <w:tcPr>
            <w:tcW w:w="60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8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26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2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filer</w:t>
            </w:r>
          </w:p>
        </w:tc>
        <w:tc>
          <w:tcPr>
            <w:tcW w:w="560" w:type="dxa"/>
            <w:vAlign w:val="bottom"/>
            <w:vMerge w:val="continue"/>
          </w:tcPr>
          <w:p>
            <w:pPr>
              <w:spacing w:after="0"/>
              <w:rPr>
                <w:sz w:val="22"/>
                <w:szCs w:val="22"/>
                <w:color w:val="auto"/>
              </w:rPr>
            </w:pPr>
          </w:p>
        </w:tc>
        <w:tc>
          <w:tcPr>
            <w:tcW w:w="16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filer</w:t>
            </w:r>
          </w:p>
        </w:tc>
        <w:tc>
          <w:tcPr>
            <w:tcW w:w="600" w:type="dxa"/>
            <w:vAlign w:val="bottom"/>
            <w:vMerge w:val="continue"/>
          </w:tcPr>
          <w:p>
            <w:pPr>
              <w:spacing w:after="0"/>
              <w:rPr>
                <w:sz w:val="22"/>
                <w:szCs w:val="22"/>
                <w:color w:val="auto"/>
              </w:rPr>
            </w:pP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580" w:type="dxa"/>
            <w:vAlign w:val="bottom"/>
            <w:vMerge w:val="continue"/>
          </w:tcPr>
          <w:p>
            <w:pPr>
              <w:spacing w:after="0"/>
              <w:rPr>
                <w:sz w:val="22"/>
                <w:szCs w:val="22"/>
                <w:color w:val="auto"/>
              </w:rPr>
            </w:pPr>
          </w:p>
        </w:tc>
        <w:tc>
          <w:tcPr>
            <w:tcW w:w="1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company</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left="500" w:right="124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February 3, 2025, there were 12,064,723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103505</wp:posOffset>
            </wp:positionV>
            <wp:extent cx="69005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05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77470</wp:posOffset>
            </wp:positionV>
            <wp:extent cx="69005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0545" cy="8890"/>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sectPr>
      </w:pP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91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4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8040" w:type="dxa"/>
            <w:vAlign w:val="bottom"/>
            <w:gridSpan w:val="10"/>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0000FF"/>
            </w:tcBorders>
            <w:gridSpan w:val="10"/>
            <w:vMerge w:val="continue"/>
          </w:tcPr>
          <w:p>
            <w:pPr>
              <w:spacing w:after="0"/>
              <w:rPr>
                <w:sz w:val="15"/>
                <w:szCs w:val="15"/>
                <w:color w:val="auto"/>
              </w:rPr>
            </w:pPr>
          </w:p>
        </w:tc>
        <w:tc>
          <w:tcPr>
            <w:tcW w:w="8040" w:type="dxa"/>
            <w:vAlign w:val="bottom"/>
            <w:gridSpan w:val="10"/>
            <w:vMerge w:val="continue"/>
          </w:tcPr>
          <w:p>
            <w:pPr>
              <w:spacing w:after="0"/>
              <w:rPr>
                <w:sz w:val="15"/>
                <w:szCs w:val="15"/>
                <w:color w:val="auto"/>
              </w:rPr>
            </w:pPr>
          </w:p>
        </w:tc>
        <w:tc>
          <w:tcPr>
            <w:tcW w:w="600" w:type="dxa"/>
            <w:vAlign w:val="bottom"/>
            <w:gridSpan w:val="2"/>
          </w:tcPr>
          <w:p>
            <w:pPr>
              <w:spacing w:after="0"/>
              <w:rPr>
                <w:sz w:val="15"/>
                <w:szCs w:val="15"/>
                <w:color w:val="auto"/>
              </w:rPr>
            </w:pPr>
          </w:p>
        </w:tc>
        <w:tc>
          <w:tcPr>
            <w:tcW w:w="100" w:type="dxa"/>
            <w:vAlign w:val="bottom"/>
            <w:tcBorders>
              <w:bottom w:val="single" w:sz="8" w:color="0000FF"/>
            </w:tcBorders>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6300" w:type="dxa"/>
            <w:vAlign w:val="bottom"/>
            <w:gridSpan w:val="8"/>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00" w:type="dxa"/>
            <w:vAlign w:val="bottom"/>
            <w:tcBorders>
              <w:top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46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tcBorders>
              <w:top w:val="single" w:sz="8" w:color="0000FF"/>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640" w:type="dxa"/>
            <w:vAlign w:val="bottom"/>
            <w:tcBorders>
              <w:top w:val="single" w:sz="8" w:color="0000FF"/>
            </w:tcBorders>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2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5240" w:type="dxa"/>
            <w:vAlign w:val="bottom"/>
            <w:gridSpan w:val="4"/>
          </w:tcPr>
          <w:p>
            <w:pPr>
              <w:spacing w:after="0"/>
              <w:rPr>
                <w:sz w:val="18"/>
                <w:szCs w:val="18"/>
                <w:color w:val="auto"/>
              </w:rPr>
            </w:pPr>
          </w:p>
        </w:tc>
        <w:tc>
          <w:tcPr>
            <w:tcW w:w="6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0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92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gridSpan w:val="4"/>
          </w:tcPr>
          <w:p>
            <w:pPr>
              <w:spacing w:after="0"/>
              <w:rPr>
                <w:sz w:val="18"/>
                <w:szCs w:val="18"/>
                <w:color w:val="auto"/>
              </w:rPr>
            </w:pPr>
          </w:p>
        </w:tc>
        <w:tc>
          <w:tcPr>
            <w:tcW w:w="33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8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4"/>
          </w:tcPr>
          <w:p>
            <w:pPr>
              <w:spacing w:after="0"/>
              <w:rPr>
                <w:sz w:val="18"/>
                <w:szCs w:val="18"/>
                <w:color w:val="auto"/>
              </w:rPr>
            </w:pPr>
          </w:p>
        </w:tc>
        <w:tc>
          <w:tcPr>
            <w:tcW w:w="5440" w:type="dxa"/>
            <w:vAlign w:val="bottom"/>
            <w:gridSpan w:val="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8240" w:type="dxa"/>
            <w:vAlign w:val="bottom"/>
            <w:gridSpan w:val="1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240" w:type="dxa"/>
            <w:vAlign w:val="bottom"/>
            <w:gridSpan w:val="2"/>
          </w:tcPr>
          <w:p>
            <w:pPr>
              <w:spacing w:after="0"/>
              <w:rPr>
                <w:sz w:val="18"/>
                <w:szCs w:val="18"/>
                <w:color w:val="auto"/>
              </w:rPr>
            </w:pPr>
          </w:p>
        </w:tc>
        <w:tc>
          <w:tcPr>
            <w:tcW w:w="8240" w:type="dxa"/>
            <w:vAlign w:val="bottom"/>
            <w:gridSpan w:val="11"/>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Pr>
          <w:p>
            <w:pPr>
              <w:spacing w:after="0"/>
              <w:rPr>
                <w:sz w:val="18"/>
                <w:szCs w:val="18"/>
                <w:color w:val="auto"/>
              </w:rPr>
            </w:pP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480" w:type="dxa"/>
            <w:vAlign w:val="bottom"/>
            <w:gridSpan w:val="1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20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200" w:type="dxa"/>
            <w:vAlign w:val="bottom"/>
            <w:gridSpan w:val="15"/>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3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5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35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315,331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less allowance for credit losses of $446 and $414, respectively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214,405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Contract assets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102,827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85,873</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761,936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776,481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27,246</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18,313</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912,675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65,007</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73,633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287,763</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product warranty</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8,983</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17,442</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396,669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428,015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07"/>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416,343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445,107</w:t>
            </w:r>
          </w:p>
        </w:tc>
        <w:tc>
          <w:tcPr>
            <w:tcW w:w="0" w:type="dxa"/>
            <w:vAlign w:val="bottom"/>
          </w:tcPr>
          <w:p>
            <w:pPr>
              <w:spacing w:after="0"/>
              <w:rPr>
                <w:sz w:val="1"/>
                <w:szCs w:val="1"/>
                <w:color w:val="auto"/>
              </w:rPr>
            </w:pPr>
          </w:p>
        </w:tc>
      </w:tr>
      <w:tr>
        <w:trPr>
          <w:trHeight w:val="19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$0.01; 5,000,000 shares authorized; none issued</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par value $0.01; 30,000,000 shares authorized;</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Shares issued: 12,870,741 and 12,795,256, respectively</w:t>
            </w: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Shares outstanding: 12,064,723 and 11,989,238, respectively</w:t>
            </w: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70,111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462,194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0" w:type="dxa"/>
            <w:vAlign w:val="bottom"/>
          </w:tcPr>
          <w:p>
            <w:pPr>
              <w:spacing w:after="0"/>
              <w:rPr>
                <w:sz w:val="1"/>
                <w:szCs w:val="1"/>
                <w:color w:val="auto"/>
              </w:rPr>
            </w:pPr>
          </w:p>
        </w:tc>
      </w:tr>
      <w:tr>
        <w:trPr>
          <w:trHeight w:val="213"/>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(24,361)</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496,332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483,073</w:t>
            </w:r>
          </w:p>
        </w:tc>
        <w:tc>
          <w:tcPr>
            <w:tcW w:w="0" w:type="dxa"/>
            <w:vAlign w:val="bottom"/>
          </w:tcPr>
          <w:p>
            <w:pPr>
              <w:spacing w:after="0"/>
              <w:rPr>
                <w:sz w:val="1"/>
                <w:szCs w:val="1"/>
                <w:color w:val="auto"/>
              </w:rPr>
            </w:pPr>
          </w:p>
        </w:tc>
      </w:tr>
      <w:tr>
        <w:trPr>
          <w:trHeight w:val="207"/>
        </w:trPr>
        <w:tc>
          <w:tcPr>
            <w:tcW w:w="76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912,675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928,180</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76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6"/>
                <w:szCs w:val="16"/>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194,017</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145,823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48,194</w:t>
            </w:r>
          </w:p>
        </w:tc>
      </w:tr>
      <w:tr>
        <w:trPr>
          <w:trHeight w:val="257"/>
        </w:trPr>
        <w:tc>
          <w:tcPr>
            <w:tcW w:w="7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25,880</w:t>
            </w:r>
          </w:p>
        </w:tc>
      </w:tr>
      <w:tr>
        <w:trPr>
          <w:trHeight w:val="256"/>
        </w:trPr>
        <w:tc>
          <w:tcPr>
            <w:tcW w:w="7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8"/>
        </w:trPr>
        <w:tc>
          <w:tcPr>
            <w:tcW w:w="7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w:t>
            </w:r>
          </w:p>
        </w:tc>
      </w:tr>
      <w:tr>
        <w:trPr>
          <w:trHeight w:val="23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r>
      <w:tr>
        <w:trPr>
          <w:trHeight w:val="234"/>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per share</w:t>
            </w:r>
          </w:p>
        </w:tc>
        <w:tc>
          <w:tcPr>
            <w:tcW w:w="104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0.2650</w:t>
            </w:r>
          </w:p>
        </w:tc>
        <w:tc>
          <w:tcPr>
            <w:tcW w:w="120" w:type="dxa"/>
            <w:vAlign w:val="bottom"/>
          </w:tcPr>
          <w:p>
            <w:pPr>
              <w:spacing w:after="0"/>
              <w:rPr>
                <w:sz w:val="20"/>
                <w:szCs w:val="20"/>
                <w:color w:val="auto"/>
              </w:rPr>
            </w:pP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0.2625</w:t>
            </w:r>
          </w:p>
        </w:tc>
      </w:tr>
    </w:tbl>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Comprehensive Income (Unaudited) (In thousands)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2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4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6"/>
        </w:trPr>
        <w:tc>
          <w:tcPr>
            <w:tcW w:w="76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6"/>
                <w:szCs w:val="16"/>
                <w:color w:val="auto"/>
              </w:rPr>
            </w:pPr>
          </w:p>
        </w:tc>
      </w:tr>
      <w:tr>
        <w:trPr>
          <w:trHeight w:val="23"/>
        </w:trPr>
        <w:tc>
          <w:tcPr>
            <w:tcW w:w="76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34,763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8"/>
              </w:rPr>
              <w:t>(8,069)</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26,694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27,170</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Statements of Stockholders’ Equity (Unaudited) (In thousands)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2"/>
                <w:szCs w:val="2"/>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462,194</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(24,361)</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483,073</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1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34,763</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0" w:type="dxa"/>
            <w:vAlign w:val="bottom"/>
          </w:tcPr>
          <w:p>
            <w:pPr>
              <w:spacing w:after="0"/>
              <w:rPr>
                <w:sz w:val="1"/>
                <w:szCs w:val="1"/>
                <w:color w:val="auto"/>
              </w:rPr>
            </w:pPr>
          </w:p>
        </w:tc>
      </w:tr>
      <w:tr>
        <w:trPr>
          <w:trHeight w:val="195"/>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0" w:type="dxa"/>
            <w:vAlign w:val="bottom"/>
          </w:tcPr>
          <w:p>
            <w:pPr>
              <w:spacing w:after="0"/>
              <w:rPr>
                <w:sz w:val="1"/>
                <w:szCs w:val="1"/>
                <w:color w:val="auto"/>
              </w:rPr>
            </w:pPr>
          </w:p>
        </w:tc>
      </w:tr>
      <w:tr>
        <w:trPr>
          <w:trHeight w:val="142"/>
        </w:trPr>
        <w:tc>
          <w:tcPr>
            <w:tcW w:w="272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(11,995)</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10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0" w:type="dxa"/>
            <w:vAlign w:val="bottom"/>
          </w:tcPr>
          <w:p>
            <w:pPr>
              <w:spacing w:after="0"/>
              <w:rPr>
                <w:sz w:val="1"/>
                <w:szCs w:val="1"/>
                <w:color w:val="auto"/>
              </w:rPr>
            </w:pPr>
          </w:p>
        </w:tc>
      </w:tr>
      <w:tr>
        <w:trPr>
          <w:trHeight w:val="22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496,332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9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9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200" w:type="dxa"/>
            <w:vAlign w:val="bottom"/>
          </w:tcPr>
          <w:p>
            <w:pPr>
              <w:spacing w:after="0"/>
              <w:rPr>
                <w:sz w:val="2"/>
                <w:szCs w:val="2"/>
                <w:color w:val="auto"/>
              </w:rPr>
            </w:pPr>
          </w:p>
        </w:tc>
        <w:tc>
          <w:tcPr>
            <w:tcW w:w="8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10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September 30, 2023</w:t>
            </w:r>
          </w:p>
        </w:tc>
        <w:tc>
          <w:tcPr>
            <w:tcW w:w="9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12,668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71,526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325,281</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w:t>
            </w: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345,026</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24,085</w:t>
            </w:r>
          </w:p>
        </w:tc>
        <w:tc>
          <w:tcPr>
            <w:tcW w:w="100" w:type="dxa"/>
            <w:vAlign w:val="bottom"/>
          </w:tcPr>
          <w:p>
            <w:pPr>
              <w:spacing w:after="0"/>
              <w:rPr>
                <w:sz w:val="16"/>
                <w:szCs w:val="16"/>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24,085</w:t>
            </w:r>
          </w:p>
        </w:tc>
        <w:tc>
          <w:tcPr>
            <w:tcW w:w="0" w:type="dxa"/>
            <w:vAlign w:val="bottom"/>
          </w:tcPr>
          <w:p>
            <w:pPr>
              <w:spacing w:after="0"/>
              <w:rPr>
                <w:sz w:val="1"/>
                <w:szCs w:val="1"/>
                <w:color w:val="auto"/>
              </w:rPr>
            </w:pPr>
          </w:p>
        </w:tc>
      </w:tr>
      <w:tr>
        <w:trPr>
          <w:trHeight w:val="210"/>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0" w:type="dxa"/>
            <w:vAlign w:val="bottom"/>
          </w:tcPr>
          <w:p>
            <w:pPr>
              <w:spacing w:after="0"/>
              <w:rPr>
                <w:sz w:val="1"/>
                <w:szCs w:val="1"/>
                <w:color w:val="auto"/>
              </w:rPr>
            </w:pPr>
          </w:p>
        </w:tc>
      </w:tr>
      <w:tr>
        <w:trPr>
          <w:trHeight w:val="195"/>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w:t>
            </w:r>
          </w:p>
        </w:tc>
        <w:tc>
          <w:tcPr>
            <w:tcW w:w="0" w:type="dxa"/>
            <w:vAlign w:val="bottom"/>
          </w:tcPr>
          <w:p>
            <w:pPr>
              <w:spacing w:after="0"/>
              <w:rPr>
                <w:sz w:val="1"/>
                <w:szCs w:val="1"/>
                <w:color w:val="auto"/>
              </w:rPr>
            </w:pPr>
          </w:p>
        </w:tc>
      </w:tr>
      <w:tr>
        <w:trPr>
          <w:trHeight w:val="146"/>
        </w:trPr>
        <w:tc>
          <w:tcPr>
            <w:tcW w:w="272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4"/>
                <w:szCs w:val="14"/>
                <w:color w:val="auto"/>
              </w:rPr>
              <w:t>Shares withheld in lieu of employee tax</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w:t>
            </w:r>
          </w:p>
        </w:tc>
        <w:tc>
          <w:tcPr>
            <w:tcW w:w="0" w:type="dxa"/>
            <w:vAlign w:val="bottom"/>
          </w:tcPr>
          <w:p>
            <w:pPr>
              <w:spacing w:after="0"/>
              <w:rPr>
                <w:sz w:val="1"/>
                <w:szCs w:val="1"/>
                <w:color w:val="auto"/>
              </w:rPr>
            </w:pPr>
          </w:p>
        </w:tc>
      </w:tr>
      <w:tr>
        <w:trPr>
          <w:trHeight w:val="198"/>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withholding</w:t>
            </w: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228"/>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December 31, 2023</w:t>
            </w: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68,854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346,162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(24,999)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366,320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5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8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6"/>
        </w:trPr>
        <w:tc>
          <w:tcPr>
            <w:tcW w:w="686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r>
      <w:tr>
        <w:trPr>
          <w:trHeight w:val="23"/>
        </w:trPr>
        <w:tc>
          <w:tcPr>
            <w:tcW w:w="68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00" w:type="dxa"/>
            <w:vAlign w:val="bottom"/>
          </w:tcPr>
          <w:p>
            <w:pPr>
              <w:spacing w:after="0"/>
              <w:rPr>
                <w:sz w:val="19"/>
                <w:szCs w:val="19"/>
                <w:color w:val="auto"/>
              </w:rPr>
            </w:pPr>
          </w:p>
        </w:tc>
        <w:tc>
          <w:tcPr>
            <w:tcW w:w="1320" w:type="dxa"/>
            <w:vAlign w:val="bottom"/>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24,085</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Unrealized mark-to-market loss on derivative contracts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Bad debt recovery,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38,095</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41,711</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w:t>
            </w:r>
          </w:p>
        </w:tc>
      </w:tr>
      <w:tr>
        <w:trPr>
          <w:trHeight w:val="230"/>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29"/>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r>
      <w:tr>
        <w:trPr>
          <w:trHeight w:val="230"/>
        </w:trPr>
        <w:tc>
          <w:tcPr>
            <w:tcW w:w="6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r>
      <w:tr>
        <w:trPr>
          <w:trHeight w:val="229"/>
        </w:trPr>
        <w:tc>
          <w:tcPr>
            <w:tcW w:w="6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83,898</w:t>
            </w: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(19,828)</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30"/>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r>
      <w:tr>
        <w:trPr>
          <w:trHeight w:val="223"/>
        </w:trPr>
        <w:tc>
          <w:tcPr>
            <w:tcW w:w="6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(15,180)</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74,537</w:t>
            </w: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245,875</w:t>
            </w: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325,598</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1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321,400</w:t>
            </w:r>
          </w:p>
        </w:tc>
      </w:tr>
      <w:tr>
        <w:trPr>
          <w:trHeight w:val="20"/>
        </w:trPr>
        <w:tc>
          <w:tcPr>
            <w:tcW w:w="68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Overview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is a Delaware corporation founded by William E. Powell in 1947. We develop, design, manufacture and service custom-engineered equipment and systems that distribute, control and monitor the flow of electrical energy and provide protection to motors, transformers and other electrically powered equipment. Our major subsidiaries, all of which are wholly owned, include Powell Electrical Systems, Inc.; Powell Canada Inc.; Powell (UK) Limited; and Powell Industries International, B.V.</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Powell and our wholly 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should be read in conjunction with the audited consolidated financial statements and notes thereto of Powell and its subsidiaries included in Powell’s Annual Report on Form 10-K for the year ended September 30, 2024, which was filed with the Securities and Exchange Commission (SEC) on November 20,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Fiscal 2025 and Fiscal 2024 used throughout this report shall mean the current fiscal year ending September 30, 2025 and the prior fiscal year ended September 30,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basis for recognition of deferred tax assets requires estimates related to future income and other assumptions regarding timing and future profitability because the ultimate realization of net deferred tax assets is dependent on the generation of future taxable income during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and Disclosure Rules Issued but Not Yet Adopted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that public entities disclose significant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that are regularly provided to the chief operating decision maker (CODM) on an annual and interim basis. It also requires that public entities disclose the title and position of the CODM and an explanation of how the CODM uses the reported measures in assessing segment performance and resource allocation. Additionally, it requires that all existing annual disclosures about segment profit or loss and assets must be provided on an interim basis and clarifies that single reportable segment entities are subject to the disclosure requirement under Topic 280 in its entirety. ASU 2023-07 is effective for fiscal years beginning after December 15, 2023 and interim periods within fiscal years beginning after December 15, 2024. A public entity should apply ASU 2023-07 retrospectively to all prior periods presented in the financial statements. Early adoption is permitted. We are currently evaluating the impacts of the new standard.</w:t>
      </w:r>
    </w:p>
    <w:p>
      <w:pPr>
        <w:spacing w:after="0" w:line="21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enhances the transparency of income tax disclosures. It requires greater disaggregation of information in the tax rate reconciliation and income taxes paid disaggregated by jurisdiction. This ASU is effective for fiscal years beginning after December 15, 2024, and should be applied on a prospective basis. Retrospective application and early adoption are permitted. We are currently evaluating the impacts of the new standard.</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March 2024, the SEC adopted final rules designed to enhance and standardize disclosures related to the risks and impacts of climate-related matters. The final rules require registrants to disclose certain climate-related information in registration statements and annual reports. Such information relates to climate-related risks and risk management processes for, and governance and oversight activities of, such risks. The final rules also include requirements to disclose the financial effects of severe weather events and other natural conditions in the audited financial statements. In addition, larger registrants will be required to disclose information about greenhouse gas emissions, which will be subject to a phased-in assurance requirement. These disclosure requirements were scheduled to be effective for the Company's fiscal year beginning October 1, 2025. However, in April 2024, the SEC voluntarily stayed the final rules as a result of pending legal challenges. We are currently evaluating the impacts of the final rules on our consolidated financial statements and related disclosures.</w:t>
      </w:r>
    </w:p>
    <w:p>
      <w:pPr>
        <w:spacing w:after="0" w:line="2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additional qualitative and quantitative information about specific expense categories in the notes to financial statements for both interim and annual reporting periods. In January 2025, the FASB further clarified the effective date for interim reporting periods. This ASU is effective for fiscal years beginning after December 15, 2026 and interim periods within those fiscal years beginning after December 15, 2027, with early adoption permitted. We are currently evaluating the impacts of the new standard.</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 include the weighted average of additional shares associated with the incremental effect of dilutive restricted stock and restricted stock units.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60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24,085</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11,941</w:t>
            </w:r>
          </w:p>
        </w:tc>
      </w:tr>
      <w:tr>
        <w:trPr>
          <w:trHeight w:val="230"/>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restricted stock and restricted stock units</w:t>
            </w:r>
          </w:p>
        </w:tc>
        <w:tc>
          <w:tcPr>
            <w:tcW w:w="1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12,152</w:t>
            </w:r>
          </w:p>
        </w:tc>
        <w:tc>
          <w:tcPr>
            <w:tcW w:w="1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w:t>
            </w:r>
          </w:p>
        </w:tc>
        <w:tc>
          <w:tcPr>
            <w:tcW w:w="1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Borders>
              <w:bottom w:val="single" w:sz="8" w:color="auto"/>
            </w:tcBorders>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Pr>
          <w:p>
            <w:pPr>
              <w:spacing w:after="0"/>
              <w:rPr>
                <w:sz w:val="19"/>
                <w:szCs w:val="19"/>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49"/>
        </w:trPr>
        <w:tc>
          <w:tcPr>
            <w:tcW w:w="6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tcBorders>
              <w:bottom w:val="single" w:sz="8" w:color="auto"/>
            </w:tcBorders>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 Detail of Selected Balance Sheet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 parts and sub-assemblies</w:t>
            </w:r>
          </w:p>
        </w:tc>
        <w:tc>
          <w:tcPr>
            <w:tcW w:w="44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94,785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inventories</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are summarized below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3"/>
        </w:trPr>
        <w:tc>
          <w:tcPr>
            <w:tcW w:w="596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23,684</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24,110</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124,474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93,923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94,889</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250,725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(148,768)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(148,874)</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101,957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under finance lease as of December 31, 2024 or September 30,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Product Warranty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6"/>
        </w:trPr>
        <w:tc>
          <w:tcPr>
            <w:tcW w:w="60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60" w:type="dxa"/>
            <w:vAlign w:val="bottom"/>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60" w:type="dxa"/>
            <w:vAlign w:val="bottom"/>
            <w:tcBorders>
              <w:bottom w:val="single" w:sz="8" w:color="CFF0FC"/>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60" w:type="dxa"/>
            <w:vAlign w:val="bottom"/>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to warranty expense</w:t>
            </w:r>
          </w:p>
        </w:tc>
        <w:tc>
          <w:tcPr>
            <w:tcW w:w="1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30"/>
        </w:trPr>
        <w:tc>
          <w:tcPr>
            <w:tcW w:w="6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1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0"/>
        </w:trPr>
        <w:tc>
          <w:tcPr>
            <w:tcW w:w="6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1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6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60" w:type="dxa"/>
            <w:vAlign w:val="bottom"/>
            <w:tcBorders>
              <w:bottom w:val="single" w:sz="8" w:color="auto"/>
            </w:tcBorders>
            <w:shd w:val="clear" w:color="auto" w:fill="CFF0FC"/>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0"/>
        </w:trPr>
        <w:tc>
          <w:tcPr>
            <w:tcW w:w="60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4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 (PCRs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custom-engineered modules or electrical houses (E-Houses). Some contracts may also include the installation and the commissioning of these enclosures.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that we have the right to invoice. Our performance obligations are satisfied as the work progresses. Revenues from our custom-engineered products and value-added services transferred to customers over time accounted for approximately 97% and 94% of revenues for the three months ended December 31, 2024 and December 31, 2023, respectively.</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3% and 6% of revenues for the three months ended December 31, 2024 and December 31, 2023,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liability is reduced.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December 31, 2024, we had backlog of $1.3 billion, of which approximately $893 million is expected to be recognized as revenue within the next twelve months. Backlog may not be indicative of future operating results as orders may be cancelled or modified by our customers.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Our backlog does not include service and maintenance-type contracts for which we have the right to invoice as services are performed.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2024 and 2023, our operating results were positively impacted by $2.4 million and $5.4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Gross unfavorable changes in contract estimates were immaterial for both the three months 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Consideration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Modifications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contract assets and contract liabilities in our Condensed Consolidated Balance Sheets.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of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Contract assets and liabilities as of December 31, 2024 and September 30, 2024 are summarized below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7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rPr>
              <w:t>102,827</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(282,595)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9"/>
              </w:rPr>
              <w:t>(287,763)</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9"/>
              </w:rPr>
              <w:t>(184,936)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contract billing position remained a net liability at both December 31, 2024 and September 30, 2024, primarily due to favorable contract billing milestones. We typically allocate a significant percentage of the progress billing to the early stages of the contract. To determine the amount of revenue recognized during the period from contract liabilities, we first allocate revenue to the individual contract liability balance outstanding at the beginning of the period until the revenue exceeds that balance. During the three months ended December 31, 2024, we recognized revenue of $116.9 million that was related to contract liabilities outstanding at September 30, 2024.</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December 31, 2024 and September 30, 2024, we had retention amounts of $7.5 million and $7.1 million, respectively. Of the retained amount at December 31, 2024, $6.7 million is expected to be collected in the next twelve months and is recorded in accounts receivable. The remaining $0.8 million is recorded in other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three months ended December 31, 2024 and 2023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r>
      <w:tr>
        <w:trPr>
          <w:trHeight w:val="23"/>
        </w:trPr>
        <w:tc>
          <w:tcPr>
            <w:tcW w:w="60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6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159,860</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31,694</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Middle East and Africa</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30"/>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Asia/Pacific</w:t>
            </w:r>
          </w:p>
        </w:tc>
        <w:tc>
          <w:tcPr>
            <w:tcW w:w="1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48"/>
        </w:trPr>
        <w:tc>
          <w:tcPr>
            <w:tcW w:w="6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99"/>
        </w:trPr>
        <w:tc>
          <w:tcPr>
            <w:tcW w:w="6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24"/>
                <w:szCs w:val="24"/>
                <w:color w:val="auto"/>
              </w:rPr>
            </w:pPr>
          </w:p>
        </w:tc>
      </w:tr>
      <w:tr>
        <w:trPr>
          <w:trHeight w:val="23"/>
        </w:trPr>
        <w:tc>
          <w:tcPr>
            <w:tcW w:w="60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0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 and gas (excludes petrochemical)</w:t>
            </w:r>
          </w:p>
        </w:tc>
        <w:tc>
          <w:tcPr>
            <w:tcW w:w="146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83,636</w:t>
            </w: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Petrochemical</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33,183</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w:t>
            </w: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 utility</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40,703</w:t>
            </w:r>
          </w:p>
        </w:tc>
      </w:tr>
      <w:tr>
        <w:trPr>
          <w:trHeight w:val="22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other industrial</w:t>
            </w:r>
          </w:p>
        </w:tc>
        <w:tc>
          <w:tcPr>
            <w:tcW w:w="1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44,300</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24,672</w:t>
            </w:r>
          </w:p>
        </w:tc>
      </w:tr>
      <w:tr>
        <w:trPr>
          <w:trHeight w:val="23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 rail traction power</w:t>
            </w:r>
          </w:p>
        </w:tc>
        <w:tc>
          <w:tcPr>
            <w:tcW w:w="1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30"/>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others</w:t>
            </w:r>
          </w:p>
        </w:tc>
        <w:tc>
          <w:tcPr>
            <w:tcW w:w="1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8,801</w:t>
            </w: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12,294</w:t>
            </w:r>
          </w:p>
        </w:tc>
      </w:tr>
      <w:tr>
        <w:trPr>
          <w:trHeight w:val="248"/>
        </w:trPr>
        <w:tc>
          <w:tcPr>
            <w:tcW w:w="6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1460" w:type="dxa"/>
            <w:vAlign w:val="bottom"/>
            <w:tcBorders>
              <w:bottom w:val="single" w:sz="8" w:color="auto"/>
            </w:tcBorders>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241,431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amounts borrowed under the U.S. Revolver, and letters of credit outstanding were $56.1 million. There was $93.9 million available for the issuance of letters of credit and borrowings under the U.S. Revolver as of December 31,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we were in compliance with all of the financial covenants of the U.S. Revolver.</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 Bank Guarantees and Bonds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$56.1 million as of December 31, 2024. We also had surety bonds totaling $432.1 million that were outstanding, with additional bonding capacity of $767.9 million available, at December 31, 2024. We have strong surety relationships; however, a change in market conditions or the sureties' assessment of our financial position could cause the sureties to require cash collateralization for undischarged liabilities under the bonds.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$18.8 million facility agreement (Facility Agreement) between Powell (UK) Limited and a large international bank that provides Powell (UK) Limited the ability to enter into bank guarantees as well as forward exchange contracts and currency options. At December 31, 2024, we had outstanding guarantees totaling $7.7 million, with an additional capacity of $11.1 million available under this Facility Agreement. The Facility Agreement provides for customary events of default and carries cross-default provisions with the U.S. Revolver.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December 31, 2024, we were in compliance with all of the financial covenants of the Facility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for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Liquidated Damages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customer contracts have schedule and performance obligation clauses that, if we fail to meet them, could require us to pay liquidated damages. Each individual contract defines the conditions under which the customer may make a claim against us. As of December 31, 2024, certain contracts had a probable exposure to liquidated damages claims of $2.4 million, which could possibly increase to $3.1 million under certain circumstances. Based on our actual or projected failure to meet these various contractual commitments, $2.0 million has been recorded as a reduction to revenue. We will attempt to obtain change orders, contract extensions or accelerate project completion, which may resolve the potential for any unrecorded liquidated damages claims. Should we fail to achieve relief on some or all of these contractual obligations, we could be required to pay additional liquidated damages, which could negatively impact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2024 for a full description of our existing stock-based compensation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during a specified period prior to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and safety performance of the Company following the grant date. At December 31, 2024, there were 119,216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RSU activity (number of shares) for the three months ended December 31, 2024 is summarized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37"/>
        </w:trPr>
        <w:tc>
          <w:tcPr>
            <w:tcW w:w="8260" w:type="dxa"/>
            <w:vAlign w:val="bottom"/>
          </w:tcPr>
          <w:p>
            <w:pPr>
              <w:spacing w:after="0"/>
              <w:rPr>
                <w:sz w:val="11"/>
                <w:szCs w:val="11"/>
                <w:color w:val="auto"/>
              </w:rPr>
            </w:pP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11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82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Grant Value</w:t>
            </w:r>
          </w:p>
        </w:tc>
      </w:tr>
      <w:tr>
        <w:trPr>
          <w:trHeight w:val="190"/>
        </w:trPr>
        <w:tc>
          <w:tcPr>
            <w:tcW w:w="82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8260" w:type="dxa"/>
            <w:vAlign w:val="bottom"/>
            <w:tcBorders>
              <w:bottom w:val="single" w:sz="8" w:color="CFF0FC"/>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30"/>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182.14</w:t>
            </w:r>
          </w:p>
        </w:tc>
      </w:tr>
      <w:tr>
        <w:trPr>
          <w:trHeight w:val="229"/>
        </w:trPr>
        <w:tc>
          <w:tcPr>
            <w:tcW w:w="82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r>
      <w:tr>
        <w:trPr>
          <w:trHeight w:val="229"/>
        </w:trPr>
        <w:tc>
          <w:tcPr>
            <w:tcW w:w="826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Forfeited/canceled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48"/>
        </w:trPr>
        <w:tc>
          <w:tcPr>
            <w:tcW w:w="8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119,216</w:t>
            </w:r>
          </w:p>
        </w:tc>
        <w:tc>
          <w:tcPr>
            <w:tcW w:w="32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63.72</w:t>
            </w:r>
          </w:p>
        </w:tc>
      </w:tr>
      <w:tr>
        <w:trPr>
          <w:trHeight w:val="20"/>
        </w:trPr>
        <w:tc>
          <w:tcPr>
            <w:tcW w:w="8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and 2023, we recorded compensation expense of $1.3 million and $1.6 million, respectively, related to the RSUs.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non-employee director receives restricted shares of the Company's common stock valued at $0.1 million annually. The number of granted shares is calculated by dividing the $0.1 million by the average of high and low prices of our common stock on the grant date. The shares shall vest on the earlier of the grant anniversary date or the date of the next annual meeting of stockholders, whichever occurs first. During the three months ended December 31, 2024 and 2023, we recorded compensation expense of $0.2 million and less than $0.1 million, respectively, related to restricted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December 31, 2024 (in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1"/>
                <w:szCs w:val="11"/>
                <w:color w:val="auto"/>
              </w:rPr>
            </w:pPr>
          </w:p>
        </w:tc>
        <w:tc>
          <w:tcPr>
            <w:tcW w:w="1760" w:type="dxa"/>
            <w:vAlign w:val="bottom"/>
            <w:gridSpan w:val="3"/>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4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7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760" w:type="dxa"/>
            <w:vAlign w:val="bottom"/>
            <w:gridSpan w:val="3"/>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6"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40" w:type="dxa"/>
            <w:vAlign w:val="bottom"/>
          </w:tcPr>
          <w:p>
            <w:pPr>
              <w:jc w:val="center"/>
              <w:ind w:right="158"/>
              <w:spacing w:after="0" w:line="146"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8"/>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7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325,598</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2024</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680" w:type="dxa"/>
            <w:vAlign w:val="bottom"/>
            <w:gridSpan w:val="3"/>
          </w:tcPr>
          <w:p>
            <w:pPr>
              <w:jc w:val="center"/>
              <w:ind w:right="54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1"/>
                <w:szCs w:val="11"/>
                <w:color w:val="auto"/>
              </w:rPr>
            </w:pPr>
          </w:p>
        </w:tc>
        <w:tc>
          <w:tcPr>
            <w:tcW w:w="1780" w:type="dxa"/>
            <w:vAlign w:val="bottom"/>
            <w:gridSpan w:val="3"/>
          </w:tcPr>
          <w:p>
            <w:pPr>
              <w:jc w:val="center"/>
              <w:ind w:right="4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80" w:type="dxa"/>
            <w:vAlign w:val="bottom"/>
            <w:gridSpan w:val="3"/>
          </w:tcPr>
          <w:p>
            <w:pPr>
              <w:jc w:val="center"/>
              <w:ind w:right="560"/>
              <w:spacing w:after="0" w:line="13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315,331</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43,061</w:t>
            </w: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Rabbi trust assets</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primarily funds held in money market savings instruments, are reported at their current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which approximates fair value due to the short-term nature of these instruments and are included in cash and cash equivalents in our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Rabbi trust assets and deferred compensation </w:t>
      </w:r>
      <w:r>
        <w:rPr>
          <w:rFonts w:ascii="Times New Roman" w:cs="Times New Roman" w:eastAsia="Times New Roman" w:hAnsi="Times New Roman"/>
          <w:sz w:val="18"/>
          <w:szCs w:val="18"/>
          <w:color w:val="auto"/>
        </w:rPr>
        <w:t>– We hold investments in an irrevocable rabbi trust for our deferred compensation plan. The assets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 Leases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leases consist primarily of office and construction equipment. All of our future lease obligations are related to non-cancelable operating leases. The following table provides a summary of lease cost components for the three months ended December 31, 2024 and 2023, respectively (in thousands):</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30"/>
        </w:trPr>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sublease income</w:t>
            </w:r>
          </w:p>
        </w:tc>
        <w:tc>
          <w:tcPr>
            <w:tcW w:w="600" w:type="dxa"/>
            <w:vAlign w:val="bottom"/>
          </w:tcPr>
          <w:p>
            <w:pPr>
              <w:spacing w:after="0"/>
              <w:rPr>
                <w:sz w:val="19"/>
                <w:szCs w:val="19"/>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Short-term lease cost</w:t>
            </w:r>
            <w:r>
              <w:rPr>
                <w:rFonts w:ascii="Times New Roman" w:cs="Times New Roman" w:eastAsia="Times New Roman" w:hAnsi="Times New Roman"/>
                <w:sz w:val="23"/>
                <w:szCs w:val="23"/>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Variable lease cost represents common area maintenance charges related to our Canadian office space lease.</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Short-term lease cost includes leases and rentals with initial terms of one year or less.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December 31, 2024 and September 30, 2024, respectively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r>
      <w:tr>
        <w:trPr>
          <w:trHeight w:val="223"/>
        </w:trPr>
        <w:tc>
          <w:tcPr>
            <w:tcW w:w="64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Pr>
          <w:p>
            <w:pPr>
              <w:spacing w:after="0"/>
              <w:rPr>
                <w:sz w:val="19"/>
                <w:szCs w:val="19"/>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4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8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the maturities of our operating lease liabilities as of December 31, 2024 (in thousands):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r>
      <w:tr>
        <w:trPr>
          <w:trHeight w:val="223"/>
        </w:trPr>
        <w:tc>
          <w:tcPr>
            <w:tcW w:w="40" w:type="dxa"/>
            <w:vAlign w:val="bottom"/>
          </w:tcPr>
          <w:p>
            <w:pPr>
              <w:spacing w:after="0"/>
              <w:rPr>
                <w:sz w:val="19"/>
                <w:szCs w:val="19"/>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24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present value discount (imputed interest)</w:t>
            </w:r>
          </w:p>
        </w:tc>
        <w:tc>
          <w:tcPr>
            <w:tcW w:w="24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discount rate as of December 31, 2024 was 6.13%. The weighted average remaining lease term was 2.46 years at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3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20" w:type="dxa"/>
            <w:vAlign w:val="bottom"/>
          </w:tcPr>
          <w:p>
            <w:pPr>
              <w:spacing w:after="0"/>
              <w:rPr>
                <w:sz w:val="16"/>
                <w:szCs w:val="16"/>
                <w:color w:val="auto"/>
              </w:rPr>
            </w:pPr>
          </w:p>
        </w:tc>
      </w:tr>
      <w:tr>
        <w:trPr>
          <w:trHeight w:val="23"/>
        </w:trPr>
        <w:tc>
          <w:tcPr>
            <w:tcW w:w="58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6"/>
        </w:trPr>
        <w:tc>
          <w:tcPr>
            <w:tcW w:w="58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jc w:val="right"/>
              <w:ind w:right="10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8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2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39,437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29,878</w:t>
            </w:r>
          </w:p>
        </w:tc>
      </w:tr>
      <w:tr>
        <w:trPr>
          <w:trHeight w:val="216"/>
        </w:trPr>
        <w:tc>
          <w:tcPr>
            <w:tcW w:w="5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4,674</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5,793</w:t>
            </w:r>
          </w:p>
        </w:tc>
      </w:tr>
      <w:tr>
        <w:trPr>
          <w:trHeight w:val="162"/>
        </w:trPr>
        <w:tc>
          <w:tcPr>
            <w:tcW w:w="58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34,763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24,085</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bl>
    <w:p>
      <w:pPr>
        <w:spacing w:after="0" w:line="2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income tax provision reflects an effective tax rate on pre-tax income of 12% for the three months ended December 31, 2024 compared to 19% for the three months ended December 31, 2023. The effective tax rates for the first quarter of Fiscal 2025 and Fiscal 2024 were favorably impacted by discrete items related to the vesting of RSUs and the estimated Research and Development (R&amp;D) Tax Credit, which were partially offset by the tax expense related to certain nondeductible items. In addition, the favorable tax impact in the first quarter of Fiscal 2024 was partially offset by an income inclusion related to U.S. global intangible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 Subsequent Events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Dividend Declared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4, 2025, our Board of Directors approved an increase to the quarterly cash dividend on our common stock to $0.2675 per share, equating to an annualized dividend of $1.07 per share from the current amount of $1.06 per share. The dividend is payable on March 19, 2025 to shareholders of record at the close of business on 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all references to “we,” “us,” “our,” “Powell” or “the Company” include Powell Industries, Inc. and its consolidated subsidiaries.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(the Exchange Act). All statements, other than statements of historical fact, included in this report are forward-looking statements. Such forward-looking statements include, but are not limited to, projections and estimates of the timing and success of specific projects and our future backlog, revenues, income, acquisitions, liquidity and capital expenditures, as well as other statements that are not historical facts contained in or incorporated by reference into this report. Statements that contain words such as “believes,” “expects,” “anticipates,” “intends,” “estimates,” “continue,” “should,” “could,” “may,” “plan,” “project,” “predict,” “potential,” “possible,” “would,” “outlook,” “will” or similar expressions are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report. We disclaim any obligation to update or revise these statements unless required by applicable law, whether as a result of new information, future events or otherwise. We caution you not to unduly rely on them. We have based these forward-looking statements on expectations and assumptions of management at the time the statements were made. While our management considers these expectations and assumptions to be reasonable, they are inherently subject to significant business, economic, competitive, regulatory and other risks, contingencies and uncertainties that could cause actual results to differ materially from those included in this report, most of which are difficult to predict and many of which are beyond our control. These risks, contingencies and uncertainties include, but are not limited to, the potential failure to adequately predict costs (including in connection with our fixed-price contracts) and prevent cost overruns, including the impacts of inflation, potentially disruptive or unanticipated changes in suppliers, the availability of cash on hand and other sources of liquidity to fund our operating expenses and capital expenditures, the impacts of future legislative and regulatory initiatives, electronic, cyber or physical security breaches, and other factors detailed herein and in our other SEC filings. Additional important risks, uncertainties and other factors are detailed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Business and Industry</w:t>
      </w:r>
    </w:p>
    <w:p>
      <w:pPr>
        <w:spacing w:after="0" w:line="121" w:lineRule="exact"/>
        <w:rPr>
          <w:sz w:val="20"/>
          <w:szCs w:val="20"/>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the cyclical nature of the end markets that we serve. This cyclicality has had, and may continue to have, an adverse effect on our operating results.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cancellations and scope reductions and, therefore, may not be a reliable indicator of our future earnings.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place competitive bids and adequately project costs may result in losses on our fixed-price contracts with customers.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concentration and limited supplier capacity may adversely impact our business and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and unskilled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recognized over time from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artificial intelligence (AI) initiatives, which could adversely affect our business, reputation, and results of operations.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 a number of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applicable laws or regulations, could harm our reputation, damage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relationships 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4"/>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Financial Condition and Markets</w:t>
      </w:r>
    </w:p>
    <w:p>
      <w:pPr>
        <w:spacing w:after="0" w:line="121" w:lineRule="exact"/>
        <w:rPr>
          <w:sz w:val="20"/>
          <w:szCs w:val="20"/>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under our credit agreement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 credit to customers in conjunction with our performance under fixed-price contracts which subjects us to potential credit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revenues may be concentrated among a small number of customers and may be subject to the risks of particular industries.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our Common Stock</w:t>
      </w:r>
    </w:p>
    <w:p>
      <w:pPr>
        <w:spacing w:after="0" w:line="121" w:lineRule="exact"/>
        <w:rPr>
          <w:sz w:val="20"/>
          <w:szCs w:val="20"/>
          <w:color w:val="auto"/>
        </w:rPr>
      </w:pPr>
    </w:p>
    <w:p>
      <w:pPr>
        <w:ind w:left="620" w:right="20" w:hanging="329"/>
        <w:spacing w:after="0" w:line="282"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which may be outside of our control.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declare or pay future dividends on our common stock.</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preferred stock on terms that could adversely affect the voting power or value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 Related to Legal and Regulatory Matters</w:t>
      </w:r>
    </w:p>
    <w:p>
      <w:pPr>
        <w:spacing w:after="0" w:line="121" w:lineRule="exact"/>
        <w:rPr>
          <w:sz w:val="20"/>
          <w:szCs w:val="20"/>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obtain, enforce, and protect intellectual property rights or third-party claims that we are infringing on their intellectual property could harm our business.</w:t>
      </w:r>
    </w:p>
    <w:p>
      <w:pPr>
        <w:spacing w:after="0" w:line="53"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 change in control of our company, even if that change would be beneficial to our shareholders.</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developments arising from tariffs and other economic proposals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or on a timely basis.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21" w:lineRule="exact"/>
        <w:rPr>
          <w:sz w:val="20"/>
          <w:szCs w:val="20"/>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including natural disasters, health epidemics, acts of war or terrorism, climate change, among others, could disrupt our business.</w:t>
      </w:r>
    </w:p>
    <w:p>
      <w:pPr>
        <w:spacing w:after="0" w:line="53" w:lineRule="exact"/>
        <w:rPr>
          <w:rFonts w:ascii="Times New Roman" w:cs="Times New Roman" w:eastAsia="Times New Roman" w:hAnsi="Times New Roman"/>
          <w:sz w:val="18"/>
          <w:szCs w:val="18"/>
          <w:color w:val="auto"/>
        </w:rPr>
      </w:pPr>
    </w:p>
    <w:p>
      <w:pPr>
        <w:ind w:left="620" w:right="20" w:hanging="329"/>
        <w:spacing w:after="0" w:line="282" w:lineRule="auto"/>
        <w:tabs>
          <w:tab w:leader="none" w:pos="6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cybersecurity attacks on any of our facilities, or those of third parties, could adversely affect our business, results of operations and reputation.</w:t>
      </w:r>
    </w:p>
    <w:p>
      <w:pPr>
        <w:spacing w:after="0" w:line="53"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data protection, and information security may require significant resources and present certain risks.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Social, and Governance (ESG) initiatives could adversely impact our business.</w:t>
      </w:r>
    </w:p>
    <w:p>
      <w:pPr>
        <w:spacing w:after="0" w:line="117" w:lineRule="exact"/>
        <w:rPr>
          <w:rFonts w:ascii="Times New Roman" w:cs="Times New Roman" w:eastAsia="Times New Roman" w:hAnsi="Times New Roman"/>
          <w:sz w:val="18"/>
          <w:szCs w:val="18"/>
          <w:color w:val="auto"/>
        </w:rPr>
      </w:pPr>
    </w:p>
    <w:p>
      <w:pPr>
        <w:ind w:left="620" w:hanging="329"/>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“Risk Factors” in Part I. Item 1A of our Annual Report on Form 10-K for the year ended September 30, 2024, which was filed with the SEC on November 20, 2024. We can provide no assurance that the forward-looking statements contained in this report will occur as expected, and actual results may differ materially from those included in this report.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note that we announce material financial information in SEC filings, press releases and public conference calls. Based on guidance from the SEC, we may use the Investors section of our website to communicate with investors. It is possible that the financial and other information posted there could be deemed to be material information. The information on our website is not part of, and is not incorporated to,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in this Quarterly Report on Form 10-Q and with our Annual Report on Form 10-K for the fiscal year ended September 30, 2024, which was filed with the SEC on November 20, 2024 and is available on the SEC’s website at www.sec.gov.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that distribute, control and monitor the flow of electrical energy and provide protection to motors, transformers and other electrically powered equipment. We are headquartered in Houston, Texas and primarily serve the oil and gas and petrochemical markets, the electric utility market, and commercial and other industrial markets. Beyond these major markets, we also provide products and services to the light rail traction power market and other markets that include universities and government entities. We are continuously developing new channels to electrical markets through original equipment manufacturers and distribution market channels.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2025, we reported revenues of $241.4 million, net income of $34.8 million, and generated $37.1 million in cash from operating activities. As of December 31, 2024, we had total assets of $912.7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backlog remained at $1.3 billion as of December 31, 2024, of which approximately $893 million is expected to be recognized as revenue within the next twelve months. Although current commercial activity remains active in most of the markets that we compete in, we remain attentive to the macro environment and geopolitical events that may have an impact on future market activity.</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Oil and gas and petrochemical markets</w:t>
      </w:r>
      <w:r>
        <w:rPr>
          <w:rFonts w:ascii="Times New Roman" w:cs="Times New Roman" w:eastAsia="Times New Roman" w:hAnsi="Times New Roman"/>
          <w:sz w:val="18"/>
          <w:szCs w:val="18"/>
          <w:color w:val="auto"/>
        </w:rPr>
        <w:t>. The North American market is responding to increased international demand for Liquefied Natural Gas (LNG)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gas-to-chemical processes utilizing low-cost gas feedstocks. We believe the fundamentals of the U.S. natural gas market, through abundant supply and low cost, will continue to support investments in LNG, related gas processing, and petrochemical processes, and as a result, will continue to sustain our order activity associated with such markets, which is evidenced by a large, domestic LNG project award during the current quarter. In addition to the traditional crude oil refining and other oil and gas downstream processes, we have recently expanded our end markets into hydrogen production, carbon capture as well as alternative fuels, such as biofuels and sustainable aviation fuel, in response to the demand for clean energy.</w:t>
      </w:r>
    </w:p>
    <w:p>
      <w:pPr>
        <w:spacing w:after="0" w:line="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Electric utility market</w:t>
      </w:r>
      <w:r>
        <w:rPr>
          <w:rFonts w:ascii="Times New Roman" w:cs="Times New Roman" w:eastAsia="Times New Roman" w:hAnsi="Times New Roman"/>
          <w:sz w:val="18"/>
          <w:szCs w:val="18"/>
          <w:color w:val="auto"/>
        </w:rPr>
        <w:t>. Aligned with our strategy of end-market diversification, we seek to continue our focus and growth in electrical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substations, while also addressing a resurgence of power generation investment in this market.</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and other industrial markets. </w:t>
      </w:r>
      <w:r>
        <w:rPr>
          <w:rFonts w:ascii="Times New Roman" w:cs="Times New Roman" w:eastAsia="Times New Roman" w:hAnsi="Times New Roman"/>
          <w:sz w:val="18"/>
          <w:szCs w:val="18"/>
          <w:color w:val="auto"/>
        </w:rPr>
        <w:t>We have experienced strong growth in these end markets driven by a mix of factors including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commercial and light industrial facilities for the production of various goods, the expansion of data centers and cloud computing, as well as the growing demand in industrial applications to support new technologies driving the energy transition. We are cautiously optimistic regarding the anticipated investment across AI applications that may drive data center growth and subsequently power generation demand.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operating results are impacted by several factors such as the timing of new order awards, project backlog, changes in project cost estimates, customer approval of final engineering specifications and delays in customer construction schedules, all of which contribute to short-term earnings variability and the timing of project execution. Our operating results also have been, and may continue to be, impacted by the timing and resolution of change orders and the resolution of potential contract claims and liquidated damages, all of which could improve or deteriorate gross margins during the period in which these items are resolved with our customers. Disruptions in the global supply chain have negatively impacted and may continue to negatively impact our business and operating results due to the limited supply of, delays for and uncertainty in the timing of the receipt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key component parts and commodities. We continue to remain focused on the variables that impact our markets as well as cost management, labor availability and supply chain challenges.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inflation, which can cause increases in our costs of labor, indirect expenses and raw materials, primarily copper, aluminum and steel.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Fixed-price contracts can limit our ability to pass these increases to our customers, thus negatively impacting our earnings and operations in future periods.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2025, we experienced an increase in volatility for commodity prices, in addition to ongoing supply chain delays for specific engineered components that remain a persistent challenge. In response to the rising cost environment and persistent supply chain challenges, we are taking strategic measures to effectively manage our product pricing, refine delivery schedules, and manage bid validity dates with our customers. Our supplier engagement includes improving forecasting and negotiating favorable terms that allow us to meet or exceed customer timelines. Additionally, we remain focused on enhancing factory efficiencies and improving project execution to mitigate risks and maintain customer satisfaction.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2024 Compared to the Quarter Ended December 31, 2023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Gross Profit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24%, or $47.4 million, to $241.4 million in the first quarter of Fiscal 2025, primarily driven by strong project backlog at the end of Fiscal 2024 and strong bookings that continued in the first quarter of Fiscal 2025. Domestic revenues increased by 24%, or $37.9 million, to $197.8 million in the first quarter of Fiscal 2025. International revenues increased by 28%, or $9.5 million, to $43.6 million in the first quarter of Fiscal 2025, primarily driven by increased project volume from our Canada operations. Our international revenues include both revenues generated from our international facilities as well as revenues from export projects generated at our domestic facilities.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2025, revenue from our oil and gas market (excluding petrochemical) increased by 14%, or $12.0 million, to $95.7 million; petrochemical market revenue increased by 17%, or $4.8 million, to $33.2 million; revenue from our electric utility market increased by 26%, or $10.5 million, to $51.2 million; commercial and other industrial market revenue increased by 80%, or $19.6 million, to $44.3 million; and revenue from our light rail traction power market increased by 89%, or $3.9 million, to $8.2 million. These increases in revenue were driven by improved market conditions in our end markets, increased capital spending in our core oil, gas and petrochemical markets, as well as our strategic effort to expand our business into electric utility and commercial and other industrial markets. Revenue from all other markets combined decreased by 28%, or $3.5 million, to $8.8 million in the first quarter of Fiscal 2025 due to less project volume.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increased by 24%, or $11.3 million, to $59.5 million for the first quarter of Fiscal 2025. Gross profit as a percentage of revenues remained flat at 25% in the first quarter of Fiscal 2025, as compared to the first quarter of Fiscal 2024. The increase in gross profit was primarily driven by higher revenues in the first quarter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6%, or $1.1 million, to $21.5 million in the first quarter of Fiscal 2025, primarily due to increased compensation expense. Selling, general and administrative expenses as a percentage of revenues decreased to 9% during the first quarter of Fiscal 2025, compared to 10% during the first quarter of Fiscal 2024, resulting from higher revenues on our existing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an income tax provision of $4.7 million in the first quarter of Fiscal 2025, compared to an income tax provision of $5.8 million in the first quarter of Fiscal 2024. The effective tax rate for the first quarter of Fiscal 2025 was 12%, compared to an effective tax rate of 19% for the first quarter of Fiscal 2024. For each of the three months ended December 31, 2024 and 2023, the effective tax rate was favorably impacted by discrete items related to the vesting of restricted stock units (RSUs) and the estimated Research and Development (R&amp;D) Tax Credit. The decreased effective tax rate for the first quarter of Fiscal 2025 was primarily driven by higher stock prices associated with the vested RSUs. For further information regarding our income taxes, see Note J of Notes to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2025, we recorded net income of $34.8 million, or $2.86 per diluted share, compared to net income of $24.1 million, or $1.98 per diluted share, in the first quarter of Fiscal 2024. The increase in net income was primarily driven by higher revenues in the current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order backlog, which is our remaining unsatisfied performance obligations, represents the estimated transaction price for goods and services for which we have a material right, but work has not been performed. The order backlog at December 31, 2024 was $1.3 billion, consistent with our backlog at September 30, 2024. Bookings, net of cancellations and scope reductions, increased by 36% in the first quarter of Fiscal 2025 to $268.6 million, compared to $197.5 million in the first quarter of Fiscal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current assets exceeded current liabilities by 1.9 times.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$373.4 million at December 31, 2024, compared to $358.4 million at September 30, 2024. The increase in cash, cash equivalents and short-term investments was primarily driven by our improved earnings due to higher revenues, partially offset by capital spending, dividend payments, and cash payments related to shares withheld in lieu of employee tax withholding. We believe that our cash, cash equivalents and short-term investments, as well as available borrowings under our U.S. credit facility, will be sufficient to support our future operating activities, working capital requirements, payment of dividends and capital spending, as well as research and development initiatives for the next twelve months and beyond.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$65.1 million of our cash, cash equivalents and short-term investments at December 31, 2024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Revolver</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credit agreement with Bank of America, N.A. and Texas Capital Bank with an aggregate commitment of $150.0 million, consisting of $100.0 million committed by Bank of America and $50.0 million committed by Texas Capital Bank (the U.S. Revolver). The U.S. Revolver has an expiration date of October 4, 2028.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no amounts borrowed under the U.S. Revolver, and letters of credit outstanding were $56.1 million. There was $93.9 million available for the issuance of letters of credit and borrowings under the U.S. Revolver as of December 31, 2024. For further information regarding our debt, see Notes E and F of Notes to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activities provided net cash of $37.1 million during the three months ended December 31, 2024 and provided net cash of $83.9 million during the same period in Fiscal 2024. Cash flow from operations is primarily influenced by project volume and margins, as well as working capital requirements, the timing of milestone payments from our customers, and payment terms with our suppliers. The decrease in operating cash flow was primarily due to working capital impact as we allocate capital to projects in the order book, partially offset by improved net income driven by higher revenues.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$9.5 million of cash during the three months ended December 31, 2024 and used $1.5 million of cash during the same period in Fiscal 2024. The increase in cash used in investing activities in the first quarter of Fiscal 2025 was primarily due to increased net purchases of short-term investments and higher capital spending. During the first quarter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Fiscal 2024, we acquired intellectual property for a total consideration of $0.5 million, of which $250 thousand was paid in cash.</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$15.2 million during the three months ended December 31, 2024 compared to $7.9 million used during the same period in Fiscal 2024. The increase in cash used in financing activities was primarily due to cash payments related to shares withheld in lieu of employee tax withholding, largely driven by the significant increase in our share price in the first three months of Fiscal 2025 compared to the same period of Fiscal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Requirements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planned capital spending of approximately $11 million on a facility expansion and improvement project at our products factory in Houston. We are on schedule to complete the expansion project by mid-Fiscal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our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be consistent with those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disclosed in our Annual Report on Form 10-K for the fiscal year ended September 30, 2024, which was filed with the SEC on November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market risks as of and for the three months ended December 31, 2024, as compared to the information previously reported under Part II, Item 7A within our Annual Report on Form 10-K for the fiscal year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paragraph (d) of Rules 13a-15 or 15d-15 of the Exchange Act that occurred during the first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Annual Report on Form 10-K for the fiscal year ended September 30,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26, 2024, Michael W. Metcalf, Executive Vice President and Chief Financial Officer, adopted a “Rule 10b5-1 trading arrangement,” as the term is defined in Item 408(a) of Regulation S-K, for the sale of up to 10,500 shares of the Company’s common stock, subject to certain conditions, from March 20, 2025 through November 26, 2025.</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26, 2024, Brett A. Cope, President and Chief Executive Officer, adopted a “Rule 10b5-1 trading arrangement,” as the term is defined in Item 408(a) of Regulation S-K, for the sale of up to 11,100 shares of the Company’s common stock, subject to certain conditions, from March 6, 2025 through December 31, 2025.</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38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48"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tab/>
        <w:t>—</w:t>
      </w:r>
      <w:r>
        <w:rPr>
          <w:sz w:val="20"/>
          <w:szCs w:val="20"/>
          <w:color w:val="auto"/>
        </w:rPr>
        <w:tab/>
      </w:r>
      <w:hyperlink r:id="rId43">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1680"/>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u w:val="single" w:color="auto"/>
            <w:color w:val="0000FF"/>
          </w:rPr>
          <w:t>2004 (filed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1340" w:hanging="773"/>
        <w:spacing w:after="0" w:line="250" w:lineRule="auto"/>
        <w:tabs>
          <w:tab w:leader="none" w:pos="13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45">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FF"/>
          </w:rPr>
          <w:t>incorporated herein by reference).</w:t>
        </w:r>
      </w:hyperlink>
    </w:p>
    <w:p>
      <w:pPr>
        <w:spacing w:after="0" w:line="149" w:lineRule="exact"/>
        <w:rPr>
          <w:sz w:val="20"/>
          <w:szCs w:val="20"/>
          <w:color w:val="auto"/>
        </w:rPr>
      </w:pPr>
    </w:p>
    <w:p>
      <w:pPr>
        <w:ind w:left="900"/>
        <w:spacing w:after="0"/>
        <w:tabs>
          <w:tab w:leader="none" w:pos="1320" w:val="left"/>
          <w:tab w:leader="none" w:pos="16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3.3</w:t>
        <w:tab/>
        <w:t>—</w:t>
      </w:r>
      <w:r>
        <w:rPr>
          <w:sz w:val="20"/>
          <w:szCs w:val="20"/>
          <w:color w:val="auto"/>
        </w:rPr>
        <w:tab/>
      </w:r>
      <w:hyperlink r:id="rId46">
        <w:r>
          <w:rPr>
            <w:rFonts w:ascii="Times New Roman" w:cs="Times New Roman" w:eastAsia="Times New Roman" w:hAnsi="Times New Roman"/>
            <w:sz w:val="17"/>
            <w:szCs w:val="17"/>
            <w:u w:val="single" w:color="auto"/>
            <w:color w:val="0000FF"/>
          </w:rPr>
          <w:t>Amendment No. 1 to Amended and Restated Bylaws of Powell Industries, Inc. (filed as Exhibit 3.1 to our Form 8-K filed February</w:t>
        </w:r>
      </w:hyperlink>
    </w:p>
    <w:p>
      <w:pPr>
        <w:spacing w:after="0" w:line="2" w:lineRule="exact"/>
        <w:rPr>
          <w:sz w:val="20"/>
          <w:szCs w:val="20"/>
          <w:color w:val="auto"/>
        </w:rPr>
      </w:pPr>
    </w:p>
    <w:p>
      <w:pPr>
        <w:ind w:left="168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u w:val="single" w:color="auto"/>
            <w:color w:val="0000FF"/>
          </w:rPr>
          <w:t>26, 2021, and incorporated herein by reference)</w:t>
        </w:r>
        <w:r>
          <w:rPr>
            <w:rFonts w:ascii="Times New Roman" w:cs="Times New Roman" w:eastAsia="Times New Roman" w:hAnsi="Times New Roman"/>
            <w:sz w:val="18"/>
            <w:szCs w:val="18"/>
            <w:color w:val="000000"/>
          </w:rPr>
          <w:t>.</w:t>
        </w:r>
      </w:hyperlink>
    </w:p>
    <w:p>
      <w:pPr>
        <w:spacing w:after="0" w:line="16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*31.1</w:t>
        <w:tab/>
        <w:t>—</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Rule 13a-14(a)/15d-14(a).</w:t>
      </w:r>
    </w:p>
    <w:p>
      <w:pPr>
        <w:spacing w:after="0" w:line="185" w:lineRule="exact"/>
        <w:rPr>
          <w:sz w:val="20"/>
          <w:szCs w:val="20"/>
          <w:color w:val="auto"/>
        </w:rPr>
      </w:pPr>
    </w:p>
    <w:p>
      <w:pPr>
        <w:ind w:left="780"/>
        <w:spacing w:after="0"/>
        <w:tabs>
          <w:tab w:leader="none" w:pos="1320" w:val="left"/>
          <w:tab w:leader="none" w:pos="1660" w:val="left"/>
        </w:tabs>
        <w:rPr>
          <w:sz w:val="20"/>
          <w:szCs w:val="20"/>
          <w:color w:val="auto"/>
        </w:rPr>
      </w:pPr>
      <w:r>
        <w:rPr>
          <w:rFonts w:ascii="Times New Roman" w:cs="Times New Roman" w:eastAsia="Times New Roman" w:hAnsi="Times New Roman"/>
          <w:sz w:val="18"/>
          <w:szCs w:val="18"/>
          <w:color w:val="auto"/>
        </w:rPr>
        <w:t>*31.2</w:t>
        <w:tab/>
        <w:t>—</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Rule 13a-14(a)/15d-14(a).</w:t>
      </w:r>
    </w:p>
    <w:p>
      <w:pPr>
        <w:spacing w:after="0" w:line="185"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**32.1</w:t>
        <w:tab/>
        <w:t xml:space="preserve">— </w:t>
      </w:r>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hanging="989"/>
        <w:spacing w:after="0" w:line="250" w:lineRule="auto"/>
        <w:tabs>
          <w:tab w:leader="none" w:pos="1320" w:val="left"/>
        </w:tabs>
        <w:rPr>
          <w:sz w:val="20"/>
          <w:szCs w:val="20"/>
          <w:color w:val="auto"/>
        </w:rPr>
      </w:pPr>
      <w:r>
        <w:rPr>
          <w:rFonts w:ascii="Times New Roman" w:cs="Times New Roman" w:eastAsia="Times New Roman" w:hAnsi="Times New Roman"/>
          <w:sz w:val="18"/>
          <w:szCs w:val="18"/>
          <w:color w:val="auto"/>
        </w:rPr>
        <w:t>**32.2</w:t>
        <w:tab/>
        <w:t xml:space="preserve">— </w:t>
      </w:r>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Sarbanes-Oxley Act of 2002.</w:t>
      </w:r>
    </w:p>
    <w:p>
      <w:pPr>
        <w:spacing w:after="0" w:line="149" w:lineRule="exact"/>
        <w:rPr>
          <w:sz w:val="20"/>
          <w:szCs w:val="20"/>
          <w:color w:val="auto"/>
        </w:rPr>
      </w:pPr>
    </w:p>
    <w:p>
      <w:pPr>
        <w:ind w:left="1340" w:right="40" w:hanging="854"/>
        <w:spacing w:after="0" w:line="242" w:lineRule="auto"/>
        <w:tabs>
          <w:tab w:leader="none" w:pos="1320" w:val="left"/>
        </w:tabs>
        <w:rPr>
          <w:sz w:val="20"/>
          <w:szCs w:val="20"/>
          <w:color w:val="auto"/>
        </w:rPr>
      </w:pPr>
      <w:r>
        <w:rPr>
          <w:rFonts w:ascii="Times New Roman" w:cs="Times New Roman" w:eastAsia="Times New Roman" w:hAnsi="Times New Roman"/>
          <w:sz w:val="18"/>
          <w:szCs w:val="18"/>
          <w:color w:val="auto"/>
        </w:rPr>
        <w:t>*101</w:t>
        <w:tab/>
        <w:t>— The following financial statements from the Company’s Quarterly Report on Form 10-Q for the quarter ended December 31, 2024, 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85" w:lineRule="exact"/>
        <w:rPr>
          <w:sz w:val="20"/>
          <w:szCs w:val="20"/>
          <w:color w:val="auto"/>
        </w:rPr>
      </w:pPr>
    </w:p>
    <w:p>
      <w:pPr>
        <w:ind w:left="1340" w:right="80" w:hanging="854"/>
        <w:spacing w:after="0" w:line="266" w:lineRule="auto"/>
        <w:tabs>
          <w:tab w:leader="none" w:pos="1320" w:val="left"/>
        </w:tabs>
        <w:rPr>
          <w:sz w:val="20"/>
          <w:szCs w:val="20"/>
          <w:color w:val="auto"/>
        </w:rPr>
      </w:pPr>
      <w:r>
        <w:rPr>
          <w:rFonts w:ascii="Times New Roman" w:cs="Times New Roman" w:eastAsia="Times New Roman" w:hAnsi="Times New Roman"/>
          <w:sz w:val="18"/>
          <w:szCs w:val="18"/>
          <w:color w:val="auto"/>
        </w:rPr>
        <w:t>*104</w:t>
        <w:tab/>
        <w:t>— The cover page from the Company’s Quarterly Report on Form 10-Q for the quarter ended December 31, 2024, formatted in Inline XBRL (included as Exhibit 101).</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420" w:type="dxa"/>
            <w:vAlign w:val="bottom"/>
          </w:tcPr>
          <w:p>
            <w:pPr>
              <w:spacing w:after="0"/>
              <w:rPr>
                <w:sz w:val="19"/>
                <w:szCs w:val="19"/>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34"/>
        </w:trPr>
        <w:tc>
          <w:tcPr>
            <w:tcW w:w="3420" w:type="dxa"/>
            <w:vAlign w:val="bottom"/>
          </w:tcPr>
          <w:p>
            <w:pPr>
              <w:spacing w:after="0"/>
              <w:rPr>
                <w:sz w:val="20"/>
                <w:szCs w:val="20"/>
                <w:color w:val="auto"/>
              </w:rPr>
            </w:pPr>
          </w:p>
        </w:tc>
        <w:tc>
          <w:tcPr>
            <w:tcW w:w="77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29"/>
        </w:trPr>
        <w:tc>
          <w:tcPr>
            <w:tcW w:w="34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2025</w:t>
            </w:r>
          </w:p>
        </w:tc>
        <w:tc>
          <w:tcPr>
            <w:tcW w:w="254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18"/>
        </w:trPr>
        <w:tc>
          <w:tcPr>
            <w:tcW w:w="34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bl>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089"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Brett A. Cope,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03"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ectPr>
          <w:pgSz w:w="11900" w:h="16838" w:orient="portrait"/>
          <w:cols w:equalWidth="0" w:num="1">
            <w:col w:w="11240"/>
          </w:cols>
          <w:pgMar w:left="320" w:top="12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Metcalf,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Powell Industries, Inc.;</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4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4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ind w:left="5640"/>
        <w:spacing w:after="0" w:line="204" w:lineRule="auto"/>
        <w:rPr>
          <w:sz w:val="20"/>
          <w:szCs w:val="20"/>
          <w:color w:val="auto"/>
        </w:rPr>
      </w:pPr>
      <w:r>
        <w:rPr>
          <w:rFonts w:ascii="Times New Roman" w:cs="Times New Roman" w:eastAsia="Times New Roman" w:hAnsi="Times New Roman"/>
          <w:sz w:val="18"/>
          <w:szCs w:val="18"/>
          <w:color w:val="auto"/>
        </w:rPr>
        <w:t>Chief Financial Officer</w:t>
      </w:r>
    </w:p>
    <w:p>
      <w:pPr>
        <w:ind w:left="564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ectPr>
          <w:pgSz w:w="11900" w:h="16838" w:orient="portrait"/>
          <w:cols w:equalWidth="0" w:num="1">
            <w:col w:w="11240"/>
          </w:cols>
          <w:pgMar w:left="320" w:top="12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December 31, 2024, as filed with the Securities and Exchange Commission on the date hereof, I, Brett A. Cope,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Brett A. Cope</w:t>
      </w:r>
    </w:p>
    <w:p>
      <w:pPr>
        <w:ind w:left="5640"/>
        <w:spacing w:after="0" w:line="219" w:lineRule="auto"/>
        <w:rPr>
          <w:sz w:val="20"/>
          <w:szCs w:val="20"/>
          <w:color w:val="auto"/>
        </w:rPr>
      </w:pPr>
      <w:r>
        <w:rPr>
          <w:rFonts w:ascii="Times New Roman" w:cs="Times New Roman" w:eastAsia="Times New Roman" w:hAnsi="Times New Roman"/>
          <w:sz w:val="18"/>
          <w:szCs w:val="18"/>
          <w:color w:val="auto"/>
        </w:rPr>
        <w:t>Brett A. Cope</w:t>
      </w: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p>
      <w:pPr>
        <w:sectPr>
          <w:pgSz w:w="11900" w:h="16838" w:orient="portrait"/>
          <w:cols w:equalWidth="0" w:num="1">
            <w:col w:w="11240"/>
          </w:cols>
          <w:pgMar w:left="320" w:top="12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December 31, 2024,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Michael W. Metcalf</w:t>
      </w:r>
    </w:p>
    <w:p>
      <w:pPr>
        <w:ind w:left="5620"/>
        <w:spacing w:after="0" w:line="203" w:lineRule="auto"/>
        <w:rPr>
          <w:sz w:val="20"/>
          <w:szCs w:val="20"/>
          <w:color w:val="auto"/>
        </w:rPr>
      </w:pPr>
      <w:r>
        <w:rPr>
          <w:rFonts w:ascii="Times New Roman" w:cs="Times New Roman" w:eastAsia="Times New Roman" w:hAnsi="Times New Roman"/>
          <w:sz w:val="18"/>
          <w:szCs w:val="18"/>
          <w:color w:val="auto"/>
        </w:rPr>
        <w:t>Michael W. Metcalf</w:t>
      </w:r>
    </w:p>
    <w:p>
      <w:pPr>
        <w:ind w:left="562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7,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7" Type="http://schemas.openxmlformats.org/officeDocument/2006/relationships/image" Target="media/image37.png"/><Relationship Id="rId43" Type="http://schemas.openxmlformats.org/officeDocument/2006/relationships/hyperlink" Target="https://www.sec.gov/Archives/edgar/data/80420/000008042004000044/exhibit3_1.htm" TargetMode="External"/><Relationship Id="rId45" Type="http://schemas.openxmlformats.org/officeDocument/2006/relationships/hyperlink" Target="https://www.sec.gov/Archives/edgar/data/80420/000119312512421889/d424375dex31.htm" TargetMode="External"/><Relationship Id="rId46" Type="http://schemas.openxmlformats.org/officeDocument/2006/relationships/hyperlink" Target="https://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2025-02-07T10:54:52Z</dcterms:created>
  <dcterms:modified xsi:type="dcterms:W3CDTF">2025-02-07T10:54:52Z</dcterms:modified>
</cp:coreProperties>
</file>