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328295</wp:posOffset>
            </wp:positionH>
            <wp:positionV relativeFrom="page">
              <wp:posOffset>414655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389255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64135</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100965</wp:posOffset>
            </wp:positionV>
            <wp:extent cx="2091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700" w:right="20" w:hanging="674"/>
        <w:spacing w:after="0" w:line="235"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700" w:right="40" w:hanging="674"/>
        <w:spacing w:after="0" w:line="235"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94615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8"/>
                <w:szCs w:val="18"/>
                <w:b w:val="1"/>
                <w:bCs w:val="1"/>
                <w:color w:val="auto"/>
                <w:w w:val="93"/>
              </w:rPr>
              <w:t>Delaware</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60" w:type="dxa"/>
            <w:vAlign w:val="bottom"/>
          </w:tcPr>
          <w:p>
            <w:pPr>
              <w:jc w:val="center"/>
              <w:ind w:right="1378"/>
              <w:spacing w:after="0"/>
              <w:rPr>
                <w:sz w:val="20"/>
                <w:szCs w:val="20"/>
                <w:color w:val="auto"/>
              </w:rPr>
            </w:pPr>
            <w:r>
              <w:rPr>
                <w:rFonts w:ascii="Arial" w:cs="Arial" w:eastAsia="Arial" w:hAnsi="Arial"/>
                <w:sz w:val="18"/>
                <w:szCs w:val="18"/>
                <w:b w:val="1"/>
                <w:bCs w:val="1"/>
                <w:color w:val="auto"/>
                <w:w w:val="89"/>
              </w:rPr>
              <w:t>88-0106100</w:t>
            </w:r>
          </w:p>
        </w:tc>
      </w:tr>
      <w:tr>
        <w:trPr>
          <w:trHeight w:val="189"/>
        </w:trPr>
        <w:tc>
          <w:tcPr>
            <w:tcW w:w="20" w:type="dxa"/>
            <w:vAlign w:val="bottom"/>
          </w:tcPr>
          <w:p>
            <w:pPr>
              <w:spacing w:after="0"/>
              <w:rPr>
                <w:sz w:val="16"/>
                <w:szCs w:val="16"/>
                <w:color w:val="auto"/>
              </w:rPr>
            </w:pPr>
          </w:p>
        </w:tc>
        <w:tc>
          <w:tcPr>
            <w:tcW w:w="476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3"/>
              </w:rPr>
              <w:t>(State or other jurisdiction of</w:t>
            </w: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60" w:type="dxa"/>
            <w:vAlign w:val="bottom"/>
          </w:tcPr>
          <w:p>
            <w:pPr>
              <w:jc w:val="center"/>
              <w:ind w:right="1398"/>
              <w:spacing w:after="0"/>
              <w:rPr>
                <w:sz w:val="20"/>
                <w:szCs w:val="20"/>
                <w:color w:val="auto"/>
              </w:rPr>
            </w:pPr>
            <w:r>
              <w:rPr>
                <w:rFonts w:ascii="Arial" w:cs="Arial" w:eastAsia="Arial" w:hAnsi="Arial"/>
                <w:sz w:val="14"/>
                <w:szCs w:val="14"/>
                <w:b w:val="1"/>
                <w:bCs w:val="1"/>
                <w:color w:val="auto"/>
                <w:w w:val="96"/>
              </w:rPr>
              <w:t>(I.R.S. Employer</w:t>
            </w:r>
          </w:p>
        </w:tc>
      </w:tr>
      <w:tr>
        <w:trPr>
          <w:trHeight w:val="184"/>
        </w:trPr>
        <w:tc>
          <w:tcPr>
            <w:tcW w:w="20" w:type="dxa"/>
            <w:vAlign w:val="bottom"/>
          </w:tcPr>
          <w:p>
            <w:pPr>
              <w:spacing w:after="0"/>
              <w:rPr>
                <w:sz w:val="16"/>
                <w:szCs w:val="16"/>
                <w:color w:val="auto"/>
              </w:rPr>
            </w:pPr>
          </w:p>
        </w:tc>
        <w:tc>
          <w:tcPr>
            <w:tcW w:w="476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4"/>
              </w:rPr>
              <w:t>incorporation or organization)</w:t>
            </w: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60" w:type="dxa"/>
            <w:vAlign w:val="bottom"/>
          </w:tcPr>
          <w:p>
            <w:pPr>
              <w:jc w:val="center"/>
              <w:ind w:right="1398"/>
              <w:spacing w:after="0"/>
              <w:rPr>
                <w:sz w:val="20"/>
                <w:szCs w:val="20"/>
                <w:color w:val="auto"/>
              </w:rPr>
            </w:pPr>
            <w:r>
              <w:rPr>
                <w:rFonts w:ascii="Arial" w:cs="Arial" w:eastAsia="Arial" w:hAnsi="Arial"/>
                <w:sz w:val="14"/>
                <w:szCs w:val="14"/>
                <w:b w:val="1"/>
                <w:bCs w:val="1"/>
                <w:color w:val="auto"/>
                <w:w w:val="94"/>
              </w:rPr>
              <w:t>Identification No.)</w:t>
            </w:r>
          </w:p>
        </w:tc>
      </w:tr>
      <w:tr>
        <w:trPr>
          <w:trHeight w:val="230"/>
        </w:trPr>
        <w:tc>
          <w:tcPr>
            <w:tcW w:w="20" w:type="dxa"/>
            <w:vAlign w:val="bottom"/>
          </w:tcPr>
          <w:p>
            <w:pPr>
              <w:spacing w:after="0"/>
              <w:rPr>
                <w:sz w:val="19"/>
                <w:szCs w:val="19"/>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8"/>
                <w:szCs w:val="18"/>
                <w:b w:val="1"/>
                <w:bCs w:val="1"/>
                <w:color w:val="auto"/>
                <w:w w:val="90"/>
              </w:rPr>
              <w:t>8550 Mosley Road</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8"/>
                <w:szCs w:val="18"/>
                <w:b w:val="1"/>
                <w:bCs w:val="1"/>
                <w:color w:val="auto"/>
                <w:w w:val="90"/>
              </w:rPr>
              <w:t>Houston</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8"/>
                <w:szCs w:val="18"/>
                <w:b w:val="1"/>
                <w:bCs w:val="1"/>
                <w:color w:val="auto"/>
                <w:w w:val="82"/>
              </w:rPr>
              <w:t>Texas</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60" w:type="dxa"/>
            <w:vAlign w:val="bottom"/>
          </w:tcPr>
          <w:p>
            <w:pPr>
              <w:jc w:val="center"/>
              <w:ind w:right="1378"/>
              <w:spacing w:after="0"/>
              <w:rPr>
                <w:sz w:val="20"/>
                <w:szCs w:val="20"/>
                <w:color w:val="auto"/>
              </w:rPr>
            </w:pPr>
            <w:r>
              <w:rPr>
                <w:rFonts w:ascii="Arial" w:cs="Arial" w:eastAsia="Arial" w:hAnsi="Arial"/>
                <w:sz w:val="18"/>
                <w:szCs w:val="18"/>
                <w:b w:val="1"/>
                <w:bCs w:val="1"/>
                <w:color w:val="auto"/>
                <w:w w:val="89"/>
              </w:rPr>
              <w:t>77075-1180</w:t>
            </w:r>
          </w:p>
        </w:tc>
      </w:tr>
      <w:tr>
        <w:trPr>
          <w:trHeight w:val="186"/>
        </w:trPr>
        <w:tc>
          <w:tcPr>
            <w:tcW w:w="20" w:type="dxa"/>
            <w:vAlign w:val="bottom"/>
          </w:tcPr>
          <w:p>
            <w:pPr>
              <w:spacing w:after="0"/>
              <w:rPr>
                <w:sz w:val="16"/>
                <w:szCs w:val="16"/>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60" w:type="dxa"/>
            <w:vAlign w:val="bottom"/>
          </w:tcPr>
          <w:p>
            <w:pPr>
              <w:jc w:val="center"/>
              <w:ind w:right="1378"/>
              <w:spacing w:after="0"/>
              <w:rPr>
                <w:sz w:val="20"/>
                <w:szCs w:val="20"/>
                <w:color w:val="auto"/>
              </w:rPr>
            </w:pPr>
            <w:r>
              <w:rPr>
                <w:rFonts w:ascii="Arial" w:cs="Arial" w:eastAsia="Arial" w:hAnsi="Arial"/>
                <w:sz w:val="14"/>
                <w:szCs w:val="14"/>
                <w:b w:val="1"/>
                <w:bCs w:val="1"/>
                <w:color w:val="auto"/>
                <w:w w:val="95"/>
              </w:rPr>
              <w:t>(Zip Code)</w:t>
            </w:r>
          </w:p>
        </w:tc>
      </w:tr>
      <w:tr>
        <w:trPr>
          <w:trHeight w:val="372"/>
        </w:trPr>
        <w:tc>
          <w:tcPr>
            <w:tcW w:w="20" w:type="dxa"/>
            <w:vAlign w:val="bottom"/>
          </w:tcPr>
          <w:p>
            <w:pPr>
              <w:spacing w:after="0"/>
              <w:rPr>
                <w:sz w:val="24"/>
                <w:szCs w:val="24"/>
                <w:color w:val="auto"/>
              </w:rPr>
            </w:pPr>
          </w:p>
        </w:tc>
        <w:tc>
          <w:tcPr>
            <w:tcW w:w="11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(713) 944-6900</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r>
      <w:tr>
        <w:trPr>
          <w:trHeight w:val="331"/>
        </w:trPr>
        <w:tc>
          <w:tcPr>
            <w:tcW w:w="478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7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Title of each class</w:t>
            </w:r>
          </w:p>
        </w:tc>
        <w:tc>
          <w:tcPr>
            <w:tcW w:w="2480" w:type="dxa"/>
            <w:vAlign w:val="bottom"/>
            <w:gridSpan w:val="3"/>
          </w:tcPr>
          <w:p>
            <w:pPr>
              <w:jc w:val="center"/>
              <w:ind w:right="820"/>
              <w:spacing w:after="0"/>
              <w:rPr>
                <w:sz w:val="20"/>
                <w:szCs w:val="20"/>
                <w:color w:val="auto"/>
              </w:rPr>
            </w:pPr>
            <w:r>
              <w:rPr>
                <w:rFonts w:ascii="Arial" w:cs="Arial" w:eastAsia="Arial" w:hAnsi="Arial"/>
                <w:sz w:val="18"/>
                <w:szCs w:val="18"/>
                <w:color w:val="auto"/>
                <w:w w:val="93"/>
              </w:rPr>
              <w:t>Trading Symbol</w:t>
            </w:r>
          </w:p>
        </w:tc>
        <w:tc>
          <w:tcPr>
            <w:tcW w:w="3960" w:type="dxa"/>
            <w:vAlign w:val="bottom"/>
          </w:tcPr>
          <w:p>
            <w:pPr>
              <w:jc w:val="center"/>
              <w:ind w:right="418"/>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44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POWL</w:t>
            </w:r>
          </w:p>
        </w:tc>
        <w:tc>
          <w:tcPr>
            <w:tcW w:w="3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960" w:type="dxa"/>
            <w:vAlign w:val="bottom"/>
            <w:tcBorders>
              <w:top w:val="single" w:sz="8" w:color="auto"/>
            </w:tcBorders>
          </w:tcPr>
          <w:p>
            <w:pPr>
              <w:jc w:val="center"/>
              <w:ind w:right="418"/>
              <w:spacing w:after="0"/>
              <w:rPr>
                <w:sz w:val="20"/>
                <w:szCs w:val="20"/>
                <w:color w:val="auto"/>
              </w:rPr>
            </w:pPr>
            <w:r>
              <w:rPr>
                <w:rFonts w:ascii="Arial" w:cs="Arial" w:eastAsia="Arial" w:hAnsi="Arial"/>
                <w:sz w:val="18"/>
                <w:szCs w:val="18"/>
                <w:color w:val="auto"/>
                <w:w w:val="96"/>
              </w:rPr>
              <w:t>NASDAQ Global Market</w:t>
            </w:r>
          </w:p>
        </w:tc>
      </w:tr>
    </w:tbl>
    <w:p>
      <w:pPr>
        <w:spacing w:after="0" w:line="147"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5720" w:type="dxa"/>
            <w:vAlign w:val="bottom"/>
            <w:vMerge w:val="restart"/>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Non-accelerated filer  </w:t>
            </w:r>
            <w:r>
              <w:rPr>
                <w:rFonts w:ascii="MS PGothic" w:cs="MS PGothic" w:eastAsia="MS PGothic" w:hAnsi="MS PGothic"/>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9"/>
        </w:trPr>
        <w:tc>
          <w:tcPr>
            <w:tcW w:w="572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22" w:lineRule="exact"/>
        <w:rPr>
          <w:sz w:val="24"/>
          <w:szCs w:val="24"/>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24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At August 2, 2021, there were 11,691,673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77470</wp:posOffset>
            </wp:positionV>
            <wp:extent cx="6900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189"/>
        </w:trPr>
        <w:tc>
          <w:tcPr>
            <w:tcW w:w="2440" w:type="dxa"/>
            <w:vAlign w:val="bottom"/>
            <w:tcBorders>
              <w:bottom w:val="single" w:sz="8" w:color="0000FF"/>
            </w:tcBorders>
            <w:gridSpan w:val="9"/>
          </w:tcPr>
          <w:p>
            <w:pPr>
              <w:spacing w:after="0" w:line="189" w:lineRule="exact"/>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 Financial Information</w:t>
              </w:r>
            </w:hyperlink>
          </w:p>
        </w:tc>
        <w:tc>
          <w:tcPr>
            <w:tcW w:w="8040" w:type="dxa"/>
            <w:vAlign w:val="bottom"/>
            <w:gridSpan w:val="11"/>
          </w:tcPr>
          <w:p>
            <w:pPr>
              <w:spacing w:after="0"/>
              <w:rPr>
                <w:sz w:val="16"/>
                <w:szCs w:val="16"/>
                <w:color w:val="auto"/>
              </w:rPr>
            </w:pPr>
          </w:p>
        </w:tc>
        <w:tc>
          <w:tcPr>
            <w:tcW w:w="720" w:type="dxa"/>
            <w:vAlign w:val="bottom"/>
          </w:tcPr>
          <w:p>
            <w:pPr>
              <w:jc w:val="right"/>
              <w:spacing w:after="0" w:line="189" w:lineRule="exact"/>
              <w:rPr>
                <w:rFonts w:ascii="Arial" w:cs="Arial" w:eastAsia="Arial" w:hAnsi="Arial"/>
                <w:sz w:val="18"/>
                <w:szCs w:val="18"/>
                <w:color w:val="auto"/>
              </w:rPr>
            </w:pPr>
            <w:hyperlink w:anchor="page2">
              <w:r>
                <w:rPr>
                  <w:rFonts w:ascii="Arial" w:cs="Arial" w:eastAsia="Arial" w:hAnsi="Arial"/>
                  <w:sz w:val="18"/>
                  <w:szCs w:val="18"/>
                  <w:color w:val="auto"/>
                </w:rPr>
                <w:t>3</w:t>
              </w:r>
            </w:hyperlink>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7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10"/>
        </w:trPr>
        <w:tc>
          <w:tcPr>
            <w:tcW w:w="12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700" w:type="dxa"/>
            <w:vAlign w:val="bottom"/>
            <w:tcBorders>
              <w:top w:val="single" w:sz="8" w:color="0000FF"/>
            </w:tcBorders>
            <w:gridSpan w:val="11"/>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6460" w:type="dxa"/>
            <w:vAlign w:val="bottom"/>
            <w:gridSpan w:val="7"/>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7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tcBorders>
              <w:bottom w:val="single" w:sz="8" w:color="0000FF"/>
            </w:tcBorders>
            <w:gridSpan w:val="15"/>
          </w:tcPr>
          <w:p>
            <w:pPr>
              <w:ind w:left="20"/>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Comprehensive Income</w:t>
              </w:r>
            </w:hyperlink>
          </w:p>
        </w:tc>
        <w:tc>
          <w:tcPr>
            <w:tcW w:w="5560" w:type="dxa"/>
            <w:vAlign w:val="bottom"/>
            <w:gridSpan w:val="3"/>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80" w:type="dxa"/>
            <w:vAlign w:val="bottom"/>
            <w:tcBorders>
              <w:bottom w:val="single" w:sz="8" w:color="0000FF"/>
            </w:tcBorders>
            <w:gridSpan w:val="14"/>
          </w:tcPr>
          <w:p>
            <w:pPr>
              <w:ind w:left="20"/>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Stockholders' Equity</w:t>
              </w:r>
            </w:hyperlink>
          </w:p>
        </w:tc>
        <w:tc>
          <w:tcPr>
            <w:tcW w:w="5780" w:type="dxa"/>
            <w:vAlign w:val="bottom"/>
            <w:gridSpan w:val="4"/>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7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7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020" w:type="dxa"/>
            <w:vAlign w:val="bottom"/>
            <w:tcBorders>
              <w:bottom w:val="single" w:sz="8" w:color="0000FF"/>
            </w:tcBorders>
            <w:gridSpan w:val="18"/>
          </w:tcPr>
          <w:p>
            <w:pPr>
              <w:spacing w:after="0"/>
              <w:rPr>
                <w:rFonts w:ascii="Arial" w:cs="Arial" w:eastAsia="Arial" w:hAnsi="Arial"/>
                <w:sz w:val="18"/>
                <w:szCs w:val="18"/>
                <w:color w:val="0000FF"/>
                <w:w w:val="91"/>
              </w:rPr>
            </w:pPr>
            <w:hyperlink w:anchor="page21">
              <w:r>
                <w:rPr>
                  <w:rFonts w:ascii="Arial" w:cs="Arial" w:eastAsia="Arial" w:hAnsi="Arial"/>
                  <w:sz w:val="18"/>
                  <w:szCs w:val="18"/>
                  <w:color w:val="0000FF"/>
                  <w:w w:val="91"/>
                </w:rPr>
                <w:t>Item 2. Management’s Discussion and Analysis of Financial Condition and Results of Operations</w:t>
              </w:r>
            </w:hyperlink>
          </w:p>
        </w:tc>
        <w:tc>
          <w:tcPr>
            <w:tcW w:w="3340" w:type="dxa"/>
            <w:vAlign w:val="bottom"/>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22</w:t>
              </w:r>
            </w:hyperlink>
          </w:p>
        </w:tc>
      </w:tr>
      <w:tr>
        <w:trPr>
          <w:trHeight w:val="209"/>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27">
              <w:r>
                <w:rPr>
                  <w:rFonts w:ascii="Arial" w:cs="Arial" w:eastAsia="Arial" w:hAnsi="Arial"/>
                  <w:sz w:val="18"/>
                  <w:szCs w:val="18"/>
                  <w:color w:val="0000FF"/>
                  <w:w w:val="94"/>
                </w:rPr>
                <w:t>Item 3.</w:t>
              </w:r>
            </w:hyperlink>
          </w:p>
        </w:tc>
        <w:tc>
          <w:tcPr>
            <w:tcW w:w="4380" w:type="dxa"/>
            <w:vAlign w:val="bottom"/>
            <w:tcBorders>
              <w:bottom w:val="single" w:sz="8" w:color="0000FF"/>
            </w:tcBorders>
            <w:gridSpan w:val="15"/>
          </w:tcPr>
          <w:p>
            <w:pPr>
              <w:ind w:left="20"/>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Quantitative and Qualitative Disclosures About Market Risk</w:t>
              </w:r>
            </w:hyperlink>
          </w:p>
        </w:tc>
        <w:tc>
          <w:tcPr>
            <w:tcW w:w="5440" w:type="dxa"/>
            <w:vAlign w:val="bottom"/>
            <w:gridSpan w:val="2"/>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10"/>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27">
              <w:r>
                <w:rPr>
                  <w:rFonts w:ascii="Arial" w:cs="Arial" w:eastAsia="Arial" w:hAnsi="Arial"/>
                  <w:sz w:val="18"/>
                  <w:szCs w:val="18"/>
                  <w:color w:val="0000FF"/>
                  <w:w w:val="94"/>
                </w:rPr>
                <w:t>Item 4.</w:t>
              </w:r>
            </w:hyperlink>
          </w:p>
        </w:tc>
        <w:tc>
          <w:tcPr>
            <w:tcW w:w="1800" w:type="dxa"/>
            <w:vAlign w:val="bottom"/>
            <w:tcBorders>
              <w:bottom w:val="single" w:sz="8" w:color="0000FF"/>
            </w:tcBorders>
            <w:gridSpan w:val="7"/>
          </w:tcPr>
          <w:p>
            <w:pPr>
              <w:ind w:left="20"/>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Controls and Procedures</w:t>
              </w:r>
            </w:hyperlink>
          </w:p>
        </w:tc>
        <w:tc>
          <w:tcPr>
            <w:tcW w:w="8020" w:type="dxa"/>
            <w:vAlign w:val="bottom"/>
            <w:gridSpan w:val="10"/>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371"/>
        </w:trPr>
        <w:tc>
          <w:tcPr>
            <w:tcW w:w="10480" w:type="dxa"/>
            <w:vAlign w:val="bottom"/>
            <w:gridSpan w:val="20"/>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Part II — Other Information</w:t>
              </w:r>
            </w:hyperlink>
          </w:p>
        </w:tc>
        <w:tc>
          <w:tcPr>
            <w:tcW w:w="7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29</w:t>
              </w:r>
            </w:hyperlink>
          </w:p>
        </w:tc>
      </w:tr>
      <w:tr>
        <w:trPr>
          <w:trHeight w:val="210"/>
        </w:trPr>
        <w:tc>
          <w:tcPr>
            <w:tcW w:w="120" w:type="dxa"/>
            <w:vAlign w:val="bottom"/>
            <w:tcBorders>
              <w:top w:val="single" w:sz="8" w:color="0000FF"/>
            </w:tcBorders>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4"/>
              </w:rPr>
            </w:pPr>
            <w:hyperlink w:anchor="page29">
              <w:r>
                <w:rPr>
                  <w:rFonts w:ascii="Arial" w:cs="Arial" w:eastAsia="Arial" w:hAnsi="Arial"/>
                  <w:sz w:val="18"/>
                  <w:szCs w:val="18"/>
                  <w:color w:val="0000FF"/>
                  <w:w w:val="94"/>
                </w:rPr>
                <w:t>Item 1.</w:t>
              </w:r>
            </w:hyperlink>
          </w:p>
        </w:tc>
        <w:tc>
          <w:tcPr>
            <w:tcW w:w="1360" w:type="dxa"/>
            <w:vAlign w:val="bottom"/>
            <w:tcBorders>
              <w:top w:val="single" w:sz="8" w:color="0000FF"/>
              <w:bottom w:val="single" w:sz="8" w:color="0000FF"/>
            </w:tcBorders>
            <w:gridSpan w:val="4"/>
          </w:tcPr>
          <w:p>
            <w:pPr>
              <w:ind w:left="20"/>
              <w:spacing w:after="0"/>
              <w:rPr>
                <w:rFonts w:ascii="Arial" w:cs="Arial" w:eastAsia="Arial" w:hAnsi="Arial"/>
                <w:sz w:val="18"/>
                <w:szCs w:val="18"/>
                <w:color w:val="0000FF"/>
                <w:w w:val="88"/>
              </w:rPr>
            </w:pPr>
            <w:hyperlink w:anchor="page29">
              <w:r>
                <w:rPr>
                  <w:rFonts w:ascii="Arial" w:cs="Arial" w:eastAsia="Arial" w:hAnsi="Arial"/>
                  <w:sz w:val="18"/>
                  <w:szCs w:val="18"/>
                  <w:color w:val="0000FF"/>
                  <w:w w:val="88"/>
                </w:rPr>
                <w:t>Legal Proceedings</w:t>
              </w:r>
            </w:hyperlink>
          </w:p>
        </w:tc>
        <w:tc>
          <w:tcPr>
            <w:tcW w:w="220" w:type="dxa"/>
            <w:vAlign w:val="bottom"/>
            <w:tcBorders>
              <w:top w:val="single" w:sz="8" w:color="0000FF"/>
            </w:tcBorders>
          </w:tcPr>
          <w:p>
            <w:pPr>
              <w:spacing w:after="0"/>
              <w:rPr>
                <w:sz w:val="18"/>
                <w:szCs w:val="18"/>
                <w:color w:val="auto"/>
              </w:rPr>
            </w:pPr>
          </w:p>
        </w:tc>
        <w:tc>
          <w:tcPr>
            <w:tcW w:w="8240" w:type="dxa"/>
            <w:vAlign w:val="bottom"/>
            <w:gridSpan w:val="12"/>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09"/>
        </w:trPr>
        <w:tc>
          <w:tcPr>
            <w:tcW w:w="120" w:type="dxa"/>
            <w:vAlign w:val="bottom"/>
          </w:tcPr>
          <w:p>
            <w:pPr>
              <w:spacing w:after="0"/>
              <w:rPr>
                <w:sz w:val="18"/>
                <w:szCs w:val="18"/>
                <w:color w:val="auto"/>
              </w:rPr>
            </w:pPr>
          </w:p>
        </w:tc>
        <w:tc>
          <w:tcPr>
            <w:tcW w:w="16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Item 1A. Risk Factors</w:t>
              </w:r>
            </w:hyperlink>
          </w:p>
        </w:tc>
        <w:tc>
          <w:tcPr>
            <w:tcW w:w="8760" w:type="dxa"/>
            <w:vAlign w:val="bottom"/>
            <w:gridSpan w:val="14"/>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0">
              <w:r>
                <w:rPr>
                  <w:rFonts w:ascii="Arial" w:cs="Arial" w:eastAsia="Arial" w:hAnsi="Arial"/>
                  <w:sz w:val="18"/>
                  <w:szCs w:val="18"/>
                  <w:color w:val="0000FF"/>
                  <w:w w:val="94"/>
                </w:rPr>
                <w:t>Item 6.</w:t>
              </w:r>
            </w:hyperlink>
          </w:p>
        </w:tc>
        <w:tc>
          <w:tcPr>
            <w:tcW w:w="9820" w:type="dxa"/>
            <w:vAlign w:val="bottom"/>
            <w:gridSpan w:val="17"/>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Exhibits</w:t>
              </w:r>
            </w:hyperlink>
          </w:p>
        </w:tc>
        <w:tc>
          <w:tcPr>
            <w:tcW w:w="7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09"/>
        </w:trPr>
        <w:tc>
          <w:tcPr>
            <w:tcW w:w="120" w:type="dxa"/>
            <w:vAlign w:val="bottom"/>
          </w:tcPr>
          <w:p>
            <w:pPr>
              <w:spacing w:after="0"/>
              <w:rPr>
                <w:sz w:val="18"/>
                <w:szCs w:val="18"/>
                <w:color w:val="auto"/>
              </w:rPr>
            </w:pPr>
          </w:p>
        </w:tc>
        <w:tc>
          <w:tcPr>
            <w:tcW w:w="1160" w:type="dxa"/>
            <w:vAlign w:val="bottom"/>
            <w:tcBorders>
              <w:top w:val="single" w:sz="8" w:color="0000FF"/>
            </w:tcBorders>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9200" w:type="dxa"/>
            <w:vAlign w:val="bottom"/>
            <w:gridSpan w:val="15"/>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31</w:t>
              </w:r>
            </w:hyperlink>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3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September 30, 2020</w:t>
            </w:r>
          </w:p>
        </w:tc>
        <w:tc>
          <w:tcPr>
            <w:tcW w:w="0" w:type="dxa"/>
            <w:vAlign w:val="bottom"/>
          </w:tcPr>
          <w:p>
            <w:pPr>
              <w:spacing w:after="0"/>
              <w:rPr>
                <w:sz w:val="1"/>
                <w:szCs w:val="1"/>
                <w:color w:val="auto"/>
              </w:rPr>
            </w:pPr>
          </w:p>
        </w:tc>
      </w:tr>
      <w:tr>
        <w:trPr>
          <w:trHeight w:val="216"/>
        </w:trPr>
        <w:tc>
          <w:tcPr>
            <w:tcW w:w="7640" w:type="dxa"/>
            <w:vAlign w:val="bottom"/>
            <w:tcBorders>
              <w:top w:val="single" w:sz="8" w:color="CCEEFF"/>
            </w:tcBorders>
            <w:shd w:val="clear" w:color="auto" w:fill="CCEEFF"/>
          </w:tcPr>
          <w:p>
            <w:pPr>
              <w:ind w:left="35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160,216</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20,165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18,705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less allowance for credit losses of $545 and $510</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69,957</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Contract assets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50,827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50,995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28,968</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335,658</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112,485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114,372</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5,217</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Goodwill and intangible assets, net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12,226</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421,961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472,278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Contract liabilities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43,140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79,445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Accrued product warranty</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2,771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operating lease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9,350</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105,310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152,947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Deferred compensation</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8,793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6,710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119,020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165,652</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Arial" w:cs="Arial" w:eastAsia="Arial" w:hAnsi="Arial"/>
                <w:sz w:val="16"/>
                <w:szCs w:val="16"/>
                <w:color w:val="auto"/>
              </w:rPr>
              <w:t>Commitments and Contingencies (Note F)</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Preferred stock, par value $0.01; 5,000,000 shares authorized; none issued</w:t>
            </w:r>
          </w:p>
        </w:tc>
        <w:tc>
          <w:tcPr>
            <w:tcW w:w="2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6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7"/>
              </w:rPr>
              <w:t>Common stock, par value $0.01; 30,000,000 shares authorized; 12,497,691 and 12,422,411 shares issued,</w:t>
            </w:r>
          </w:p>
        </w:tc>
        <w:tc>
          <w:tcPr>
            <w:tcW w:w="2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26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61,998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294,016</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Treasury stock, 806,018 shares at cost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(24,999)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(24,513)</w:t>
            </w:r>
          </w:p>
        </w:tc>
        <w:tc>
          <w:tcPr>
            <w:tcW w:w="0" w:type="dxa"/>
            <w:vAlign w:val="bottom"/>
          </w:tcPr>
          <w:p>
            <w:pPr>
              <w:spacing w:after="0"/>
              <w:rPr>
                <w:sz w:val="1"/>
                <w:szCs w:val="1"/>
                <w:color w:val="auto"/>
              </w:rPr>
            </w:pPr>
          </w:p>
        </w:tc>
      </w:tr>
      <w:tr>
        <w:trPr>
          <w:trHeight w:val="206"/>
        </w:trPr>
        <w:tc>
          <w:tcPr>
            <w:tcW w:w="76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302,941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306,626</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421,961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472,278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00"/>
          </w:cols>
          <w:pgMar w:left="320" w:top="89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June 30,</w:t>
            </w:r>
          </w:p>
        </w:tc>
      </w:tr>
      <w:tr>
        <w:trPr>
          <w:trHeight w:val="209"/>
        </w:trPr>
        <w:tc>
          <w:tcPr>
            <w:tcW w:w="5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115,813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341,105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403,781</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98,646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96,718</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288,513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330,926</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72,855</w:t>
            </w:r>
          </w:p>
        </w:tc>
      </w:tr>
      <w:tr>
        <w:trPr>
          <w:trHeight w:val="256"/>
        </w:trPr>
        <w:tc>
          <w:tcPr>
            <w:tcW w:w="5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51,372</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4,863</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Restructuring and other, net</w:t>
            </w: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23"/>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15,088</w:t>
            </w:r>
          </w:p>
        </w:tc>
      </w:tr>
      <w:tr>
        <w:trPr>
          <w:trHeight w:val="257"/>
        </w:trPr>
        <w:tc>
          <w:tcPr>
            <w:tcW w:w="5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15,810</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13,677</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share: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11,720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11,631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11,622</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Dividends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0.78</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0.78</w:t>
            </w: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left="340" w:right="244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 June 30,</w:t>
            </w:r>
          </w:p>
        </w:tc>
      </w:tr>
      <w:tr>
        <w:trPr>
          <w:trHeight w:val="209"/>
        </w:trPr>
        <w:tc>
          <w:tcPr>
            <w:tcW w:w="53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357"/>
              <w:spacing w:after="0"/>
              <w:rPr>
                <w:sz w:val="20"/>
                <w:szCs w:val="20"/>
                <w:color w:val="auto"/>
              </w:rPr>
            </w:pPr>
            <w:r>
              <w:rPr>
                <w:rFonts w:ascii="Arial" w:cs="Arial" w:eastAsia="Arial" w:hAnsi="Arial"/>
                <w:sz w:val="18"/>
                <w:szCs w:val="18"/>
                <w:color w:val="auto"/>
                <w:w w:val="94"/>
              </w:rPr>
              <w:t>(2,629)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13,677</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7"/>
              <w:spacing w:after="0"/>
              <w:rPr>
                <w:sz w:val="20"/>
                <w:szCs w:val="20"/>
                <w:color w:val="auto"/>
              </w:rPr>
            </w:pPr>
            <w:r>
              <w:rPr>
                <w:rFonts w:ascii="Arial" w:cs="Arial" w:eastAsia="Arial" w:hAnsi="Arial"/>
                <w:sz w:val="18"/>
                <w:szCs w:val="18"/>
                <w:color w:val="auto"/>
                <w:w w:val="88"/>
              </w:rPr>
              <w:t>6,544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4"/>
              </w:rPr>
              <w:t>(1,986)</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377"/>
              <w:spacing w:after="0"/>
              <w:rPr>
                <w:sz w:val="20"/>
                <w:szCs w:val="20"/>
                <w:color w:val="auto"/>
              </w:rPr>
            </w:pPr>
            <w:r>
              <w:rPr>
                <w:rFonts w:ascii="Arial" w:cs="Arial" w:eastAsia="Arial" w:hAnsi="Arial"/>
                <w:sz w:val="18"/>
                <w:szCs w:val="18"/>
                <w:color w:val="auto"/>
                <w:w w:val="88"/>
              </w:rPr>
              <w:t>3,915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8"/>
              </w:rPr>
              <w:t>11,691</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2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Stockholders’ Equity (Unaudited)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40" w:type="dxa"/>
            <w:vAlign w:val="bottom"/>
          </w:tcPr>
          <w:p>
            <w:pPr>
              <w:spacing w:after="0"/>
              <w:rPr>
                <w:sz w:val="24"/>
                <w:szCs w:val="24"/>
                <w:color w:val="auto"/>
              </w:rPr>
            </w:pPr>
          </w:p>
        </w:tc>
        <w:tc>
          <w:tcPr>
            <w:tcW w:w="150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1"/>
                <w:szCs w:val="21"/>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Income/(Loss)</w:t>
            </w:r>
          </w:p>
        </w:tc>
        <w:tc>
          <w:tcPr>
            <w:tcW w:w="160" w:type="dxa"/>
            <w:vAlign w:val="bottom"/>
          </w:tcPr>
          <w:p>
            <w:pPr>
              <w:spacing w:after="0"/>
              <w:rPr>
                <w:sz w:val="21"/>
                <w:szCs w:val="21"/>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5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1"/>
              </w:rPr>
              <w:t>Balance, September 30, 2020</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12,422</w:t>
            </w:r>
          </w:p>
        </w:tc>
        <w:tc>
          <w:tcPr>
            <w:tcW w:w="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61,998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294,016</w:t>
            </w:r>
          </w:p>
        </w:tc>
        <w:tc>
          <w:tcPr>
            <w:tcW w:w="14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(24,513)</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306,626</w:t>
            </w: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(364)</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4,349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4,349</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w w:val="93"/>
              </w:rPr>
              <w:t>Stock-based compensation</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tax withholding</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(3,028)</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(3,028)</w:t>
            </w:r>
          </w:p>
        </w:tc>
        <w:tc>
          <w:tcPr>
            <w:tcW w:w="0" w:type="dxa"/>
            <w:vAlign w:val="bottom"/>
          </w:tcPr>
          <w:p>
            <w:pPr>
              <w:spacing w:after="0"/>
              <w:rPr>
                <w:sz w:val="1"/>
                <w:szCs w:val="1"/>
                <w:color w:val="auto"/>
              </w:rPr>
            </w:pPr>
          </w:p>
        </w:tc>
      </w:tr>
      <w:tr>
        <w:trPr>
          <w:trHeight w:val="202"/>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Balance, December 31, 2020</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12,481</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62,259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290,624</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(20,164)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307,845</w:t>
            </w: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(225)</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894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w w:val="93"/>
              </w:rPr>
              <w:t>Stock-based compensation</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22"/>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(3,035)</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76"/>
        </w:trPr>
        <w:tc>
          <w:tcPr>
            <w:tcW w:w="1740" w:type="dxa"/>
            <w:vAlign w:val="bottom"/>
          </w:tcPr>
          <w:p>
            <w:pPr>
              <w:ind w:left="20"/>
              <w:spacing w:after="0"/>
              <w:rPr>
                <w:sz w:val="20"/>
                <w:szCs w:val="20"/>
                <w:color w:val="auto"/>
              </w:rPr>
            </w:pPr>
            <w:r>
              <w:rPr>
                <w:rFonts w:ascii="Arial" w:cs="Arial" w:eastAsia="Arial" w:hAnsi="Arial"/>
                <w:sz w:val="14"/>
                <w:szCs w:val="14"/>
                <w:color w:val="auto"/>
              </w:rPr>
              <w:t>Balance, March 31, 2021</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12,498</w:t>
            </w:r>
          </w:p>
        </w:tc>
        <w:tc>
          <w:tcPr>
            <w:tcW w:w="14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63,112</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287,364</w:t>
            </w:r>
          </w:p>
        </w:tc>
        <w:tc>
          <w:tcPr>
            <w:tcW w:w="140" w:type="dxa"/>
            <w:vAlign w:val="bottom"/>
          </w:tcPr>
          <w:p>
            <w:pPr>
              <w:spacing w:after="0"/>
              <w:rPr>
                <w:sz w:val="15"/>
                <w:szCs w:val="15"/>
                <w:color w:val="auto"/>
              </w:rPr>
            </w:pPr>
          </w:p>
        </w:tc>
        <w:tc>
          <w:tcPr>
            <w:tcW w:w="640" w:type="dxa"/>
            <w:vAlign w:val="bottom"/>
            <w:tcBorders>
              <w:top w:val="single" w:sz="8" w:color="auto"/>
            </w:tcBorders>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(19,270)</w:t>
            </w:r>
          </w:p>
        </w:tc>
        <w:tc>
          <w:tcPr>
            <w:tcW w:w="16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306,332</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89"/>
        </w:trPr>
        <w:tc>
          <w:tcPr>
            <w:tcW w:w="1740" w:type="dxa"/>
            <w:vAlign w:val="bottom"/>
          </w:tcPr>
          <w:p>
            <w:pPr>
              <w:ind w:left="140"/>
              <w:spacing w:after="0"/>
              <w:rPr>
                <w:sz w:val="20"/>
                <w:szCs w:val="20"/>
                <w:color w:val="auto"/>
              </w:rPr>
            </w:pPr>
            <w:r>
              <w:rPr>
                <w:rFonts w:ascii="Arial" w:cs="Arial" w:eastAsia="Arial" w:hAnsi="Arial"/>
                <w:sz w:val="14"/>
                <w:szCs w:val="14"/>
                <w:color w:val="auto"/>
              </w:rPr>
              <w:t>Foreign currency</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1,301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186"/>
        </w:trPr>
        <w:tc>
          <w:tcPr>
            <w:tcW w:w="174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Stock-based compensation</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(3,039)</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(3,039)</w:t>
            </w:r>
          </w:p>
        </w:tc>
        <w:tc>
          <w:tcPr>
            <w:tcW w:w="0" w:type="dxa"/>
            <w:vAlign w:val="bottom"/>
          </w:tcPr>
          <w:p>
            <w:pPr>
              <w:spacing w:after="0"/>
              <w:rPr>
                <w:sz w:val="1"/>
                <w:szCs w:val="1"/>
                <w:color w:val="auto"/>
              </w:rPr>
            </w:pPr>
          </w:p>
        </w:tc>
      </w:tr>
      <w:tr>
        <w:trPr>
          <w:trHeight w:val="213"/>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63,500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282,284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302,941</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80"/>
          </w:cols>
          <w:pgMar w:left="1360" w:top="891"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80"/>
          </w:cols>
          <w:pgMar w:left="1360" w:top="891" w:right="1359" w:bottom="1440" w:gutter="0" w:footer="0" w:header="0"/>
          <w:type w:val="continuous"/>
        </w:sectPr>
      </w:pPr>
    </w:p>
    <w:bookmarkStart w:id="6" w:name="page7"/>
    <w:bookmarkEnd w:id="6"/>
    <w:p>
      <w:pPr>
        <w:jc w:val="center"/>
        <w:ind w:right="2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Stockholders’ Equity (Unaudited)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40" w:type="dxa"/>
            <w:vAlign w:val="bottom"/>
          </w:tcPr>
          <w:p>
            <w:pPr>
              <w:spacing w:after="0"/>
              <w:rPr>
                <w:sz w:val="24"/>
                <w:szCs w:val="24"/>
                <w:color w:val="auto"/>
              </w:rPr>
            </w:pPr>
          </w:p>
        </w:tc>
        <w:tc>
          <w:tcPr>
            <w:tcW w:w="150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1"/>
                <w:szCs w:val="21"/>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Income/(Loss)</w:t>
            </w:r>
          </w:p>
        </w:tc>
        <w:tc>
          <w:tcPr>
            <w:tcW w:w="160" w:type="dxa"/>
            <w:vAlign w:val="bottom"/>
          </w:tcPr>
          <w:p>
            <w:pPr>
              <w:spacing w:after="0"/>
              <w:rPr>
                <w:sz w:val="21"/>
                <w:szCs w:val="21"/>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5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1"/>
              </w:rPr>
              <w:t>Balance, September 30, 2019</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12,373</w:t>
            </w:r>
          </w:p>
        </w:tc>
        <w:tc>
          <w:tcPr>
            <w:tcW w:w="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59,153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289,422</w:t>
            </w:r>
          </w:p>
        </w:tc>
        <w:tc>
          <w:tcPr>
            <w:tcW w:w="14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(24,547)</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299,153</w:t>
            </w: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2,775</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2,387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w w:val="93"/>
              </w:rPr>
              <w:t>Stock-based compensation</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tax withholding</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(3,013)</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(3,013)</w:t>
            </w:r>
          </w:p>
        </w:tc>
        <w:tc>
          <w:tcPr>
            <w:tcW w:w="0" w:type="dxa"/>
            <w:vAlign w:val="bottom"/>
          </w:tcPr>
          <w:p>
            <w:pPr>
              <w:spacing w:after="0"/>
              <w:rPr>
                <w:sz w:val="1"/>
                <w:szCs w:val="1"/>
                <w:color w:val="auto"/>
              </w:rPr>
            </w:pPr>
          </w:p>
        </w:tc>
      </w:tr>
      <w:tr>
        <w:trPr>
          <w:trHeight w:val="202"/>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Balance, December 31, 2019</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12,403</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59,524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289,184</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301,673</w:t>
            </w: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7,421</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w w:val="93"/>
              </w:rPr>
              <w:t>Stock-based compensation</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w:t>
            </w:r>
          </w:p>
        </w:tc>
        <w:tc>
          <w:tcPr>
            <w:tcW w:w="0" w:type="dxa"/>
            <w:vAlign w:val="bottom"/>
          </w:tcPr>
          <w:p>
            <w:pPr>
              <w:spacing w:after="0"/>
              <w:rPr>
                <w:sz w:val="1"/>
                <w:szCs w:val="1"/>
                <w:color w:val="auto"/>
              </w:rPr>
            </w:pPr>
          </w:p>
        </w:tc>
      </w:tr>
      <w:tr>
        <w:trPr>
          <w:trHeight w:val="196"/>
        </w:trPr>
        <w:tc>
          <w:tcPr>
            <w:tcW w:w="1740" w:type="dxa"/>
            <w:vAlign w:val="bottom"/>
          </w:tcPr>
          <w:p>
            <w:pPr>
              <w:ind w:left="20"/>
              <w:spacing w:after="0"/>
              <w:rPr>
                <w:sz w:val="20"/>
                <w:szCs w:val="20"/>
                <w:color w:val="auto"/>
              </w:rPr>
            </w:pPr>
            <w:r>
              <w:rPr>
                <w:rFonts w:ascii="Arial" w:cs="Arial" w:eastAsia="Arial" w:hAnsi="Arial"/>
                <w:sz w:val="14"/>
                <w:szCs w:val="14"/>
                <w:color w:val="auto"/>
              </w:rPr>
              <w:t>Balance, March 31, 2020</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12,420</w:t>
            </w:r>
          </w:p>
        </w:tc>
        <w:tc>
          <w:tcPr>
            <w:tcW w:w="140" w:type="dxa"/>
            <w:vAlign w:val="bottom"/>
          </w:tcPr>
          <w:p>
            <w:pPr>
              <w:spacing w:after="0"/>
              <w:rPr>
                <w:sz w:val="17"/>
                <w:szCs w:val="17"/>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60,492</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293,590</w:t>
            </w:r>
          </w:p>
        </w:tc>
        <w:tc>
          <w:tcPr>
            <w:tcW w:w="140" w:type="dxa"/>
            <w:vAlign w:val="bottom"/>
          </w:tcPr>
          <w:p>
            <w:pPr>
              <w:spacing w:after="0"/>
              <w:rPr>
                <w:sz w:val="17"/>
                <w:szCs w:val="17"/>
                <w:color w:val="auto"/>
              </w:rPr>
            </w:pPr>
          </w:p>
        </w:tc>
        <w:tc>
          <w:tcPr>
            <w:tcW w:w="640" w:type="dxa"/>
            <w:vAlign w:val="bottom"/>
            <w:tcBorders>
              <w:top w:val="single" w:sz="8" w:color="auto"/>
            </w:tcBorders>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(29,076)</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300,131</w:t>
            </w:r>
          </w:p>
        </w:tc>
        <w:tc>
          <w:tcPr>
            <w:tcW w:w="0" w:type="dxa"/>
            <w:vAlign w:val="bottom"/>
          </w:tcPr>
          <w:p>
            <w:pPr>
              <w:spacing w:after="0"/>
              <w:rPr>
                <w:sz w:val="1"/>
                <w:szCs w:val="1"/>
                <w:color w:val="auto"/>
              </w:rPr>
            </w:pPr>
          </w:p>
        </w:tc>
      </w:tr>
      <w:tr>
        <w:trPr>
          <w:trHeight w:val="222"/>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3,481</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3,481</w:t>
            </w:r>
          </w:p>
        </w:tc>
        <w:tc>
          <w:tcPr>
            <w:tcW w:w="0" w:type="dxa"/>
            <w:vAlign w:val="bottom"/>
          </w:tcPr>
          <w:p>
            <w:pPr>
              <w:spacing w:after="0"/>
              <w:rPr>
                <w:sz w:val="1"/>
                <w:szCs w:val="1"/>
                <w:color w:val="auto"/>
              </w:rPr>
            </w:pPr>
          </w:p>
        </w:tc>
      </w:tr>
      <w:tr>
        <w:trPr>
          <w:trHeight w:val="189"/>
        </w:trPr>
        <w:tc>
          <w:tcPr>
            <w:tcW w:w="1740" w:type="dxa"/>
            <w:vAlign w:val="bottom"/>
          </w:tcPr>
          <w:p>
            <w:pPr>
              <w:ind w:left="140"/>
              <w:spacing w:after="0"/>
              <w:rPr>
                <w:sz w:val="20"/>
                <w:szCs w:val="20"/>
                <w:color w:val="auto"/>
              </w:rPr>
            </w:pPr>
            <w:r>
              <w:rPr>
                <w:rFonts w:ascii="Arial" w:cs="Arial" w:eastAsia="Arial" w:hAnsi="Arial"/>
                <w:sz w:val="14"/>
                <w:szCs w:val="14"/>
                <w:color w:val="auto"/>
              </w:rPr>
              <w:t>Foreign currency</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2,543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2,543</w:t>
            </w:r>
          </w:p>
        </w:tc>
        <w:tc>
          <w:tcPr>
            <w:tcW w:w="0" w:type="dxa"/>
            <w:vAlign w:val="bottom"/>
          </w:tcPr>
          <w:p>
            <w:pPr>
              <w:spacing w:after="0"/>
              <w:rPr>
                <w:sz w:val="1"/>
                <w:szCs w:val="1"/>
                <w:color w:val="auto"/>
              </w:rPr>
            </w:pPr>
          </w:p>
        </w:tc>
      </w:tr>
      <w:tr>
        <w:trPr>
          <w:trHeight w:val="186"/>
        </w:trPr>
        <w:tc>
          <w:tcPr>
            <w:tcW w:w="174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Stock-based compensation</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89"/>
        </w:trPr>
        <w:tc>
          <w:tcPr>
            <w:tcW w:w="1740" w:type="dxa"/>
            <w:vAlign w:val="bottom"/>
          </w:tcPr>
          <w:p>
            <w:pPr>
              <w:ind w:left="140"/>
              <w:spacing w:after="0"/>
              <w:rPr>
                <w:sz w:val="20"/>
                <w:szCs w:val="20"/>
                <w:color w:val="auto"/>
              </w:rPr>
            </w:pPr>
            <w:r>
              <w:rPr>
                <w:rFonts w:ascii="Arial" w:cs="Arial" w:eastAsia="Arial" w:hAnsi="Arial"/>
                <w:sz w:val="14"/>
                <w:szCs w:val="14"/>
                <w:color w:val="auto"/>
              </w:rPr>
              <w:t>Shares withheld in lieu of</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1740" w:type="dxa"/>
            <w:vAlign w:val="bottom"/>
          </w:tcPr>
          <w:p>
            <w:pPr>
              <w:ind w:left="140"/>
              <w:spacing w:after="0"/>
              <w:rPr>
                <w:sz w:val="20"/>
                <w:szCs w:val="20"/>
                <w:color w:val="auto"/>
              </w:rPr>
            </w:pPr>
            <w:r>
              <w:rPr>
                <w:rFonts w:ascii="Arial" w:cs="Arial" w:eastAsia="Arial" w:hAnsi="Arial"/>
                <w:sz w:val="14"/>
                <w:szCs w:val="14"/>
                <w:color w:val="auto"/>
              </w:rPr>
              <w:t>employee tax withholding</w:t>
            </w: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Arial" w:cs="Arial" w:eastAsia="Arial" w:hAnsi="Arial"/>
                <w:sz w:val="14"/>
                <w:szCs w:val="14"/>
                <w:color w:val="auto"/>
              </w:rPr>
              <w:t>Balance, June 30, 2020</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12,421</w:t>
            </w:r>
          </w:p>
        </w:tc>
        <w:tc>
          <w:tcPr>
            <w:tcW w:w="14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60,927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294,052</w:t>
            </w:r>
          </w:p>
        </w:tc>
        <w:tc>
          <w:tcPr>
            <w:tcW w:w="140" w:type="dxa"/>
            <w:vAlign w:val="bottom"/>
          </w:tcPr>
          <w:p>
            <w:pPr>
              <w:spacing w:after="0"/>
              <w:rPr>
                <w:sz w:val="16"/>
                <w:szCs w:val="16"/>
                <w:color w:val="auto"/>
              </w:rPr>
            </w:pPr>
          </w:p>
        </w:tc>
        <w:tc>
          <w:tcPr>
            <w:tcW w:w="6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(26,533)</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303,571</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80"/>
          </w:cols>
          <w:pgMar w:left="1360" w:top="891" w:right="13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Nine months ended June 30,</w:t>
            </w:r>
          </w:p>
        </w:tc>
        <w:tc>
          <w:tcPr>
            <w:tcW w:w="1240" w:type="dxa"/>
            <w:vAlign w:val="bottom"/>
            <w:tcBorders>
              <w:bottom w:val="single" w:sz="8" w:color="auto"/>
            </w:tcBorders>
          </w:tcPr>
          <w:p>
            <w:pPr>
              <w:spacing w:after="0"/>
              <w:rPr>
                <w:sz w:val="16"/>
                <w:szCs w:val="16"/>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b w:val="1"/>
                <w:bCs w:val="1"/>
                <w:color w:val="auto"/>
              </w:rPr>
              <w:t>2020</w:t>
            </w:r>
          </w:p>
        </w:tc>
      </w:tr>
      <w:tr>
        <w:trPr>
          <w:trHeight w:val="22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240" w:type="dxa"/>
            <w:vAlign w:val="bottom"/>
          </w:tcPr>
          <w:p>
            <w:pPr>
              <w:jc w:val="right"/>
              <w:ind w:right="105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13,677</w:t>
            </w:r>
          </w:p>
        </w:tc>
      </w:tr>
      <w:tr>
        <w:trPr>
          <w:trHeight w:val="175"/>
        </w:trPr>
        <w:tc>
          <w:tcPr>
            <w:tcW w:w="68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7"/>
              </w:rPr>
              <w:t>Adjustments to reconcile net income (loss) to net cash provided by (used in) operating</w:t>
            </w:r>
          </w:p>
        </w:tc>
        <w:tc>
          <w:tcPr>
            <w:tcW w:w="1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29"/>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7,878</w:t>
            </w:r>
          </w:p>
        </w:tc>
      </w:tr>
      <w:tr>
        <w:trPr>
          <w:trHeight w:val="229"/>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r>
      <w:tr>
        <w:trPr>
          <w:trHeight w:val="230"/>
        </w:trPr>
        <w:tc>
          <w:tcPr>
            <w:tcW w:w="6860" w:type="dxa"/>
            <w:vAlign w:val="bottom"/>
          </w:tcPr>
          <w:p>
            <w:pPr>
              <w:ind w:left="460"/>
              <w:spacing w:after="0"/>
              <w:rPr>
                <w:sz w:val="20"/>
                <w:szCs w:val="20"/>
                <w:color w:val="auto"/>
              </w:rPr>
            </w:pPr>
            <w:r>
              <w:rPr>
                <w:rFonts w:ascii="Arial" w:cs="Arial" w:eastAsia="Arial" w:hAnsi="Arial"/>
                <w:sz w:val="18"/>
                <w:szCs w:val="18"/>
                <w:color w:val="auto"/>
              </w:rPr>
              <w:t>Bad debt expense,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r>
      <w:tr>
        <w:trPr>
          <w:trHeight w:val="229"/>
        </w:trPr>
        <w:tc>
          <w:tcPr>
            <w:tcW w:w="68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w:t>
            </w:r>
          </w:p>
        </w:tc>
      </w:tr>
      <w:tr>
        <w:trPr>
          <w:trHeight w:val="229"/>
        </w:trPr>
        <w:tc>
          <w:tcPr>
            <w:tcW w:w="6860" w:type="dxa"/>
            <w:vAlign w:val="bottom"/>
          </w:tcPr>
          <w:p>
            <w:pPr>
              <w:ind w:left="460"/>
              <w:spacing w:after="0"/>
              <w:rPr>
                <w:sz w:val="20"/>
                <w:szCs w:val="20"/>
                <w:color w:val="auto"/>
              </w:rPr>
            </w:pPr>
            <w:r>
              <w:rPr>
                <w:rFonts w:ascii="Arial" w:cs="Arial" w:eastAsia="Arial" w:hAnsi="Arial"/>
                <w:sz w:val="18"/>
                <w:szCs w:val="18"/>
                <w:color w:val="auto"/>
              </w:rPr>
              <w:t>Contract assets and liabilities,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(35,673)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30,150</w:t>
            </w:r>
          </w:p>
        </w:tc>
      </w:tr>
      <w:tr>
        <w:trPr>
          <w:trHeight w:val="229"/>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r>
      <w:tr>
        <w:trPr>
          <w:trHeight w:val="230"/>
        </w:trPr>
        <w:tc>
          <w:tcPr>
            <w:tcW w:w="6860" w:type="dxa"/>
            <w:vAlign w:val="bottom"/>
          </w:tcPr>
          <w:p>
            <w:pPr>
              <w:ind w:left="460"/>
              <w:spacing w:after="0"/>
              <w:rPr>
                <w:sz w:val="20"/>
                <w:szCs w:val="20"/>
                <w:color w:val="auto"/>
              </w:rPr>
            </w:pPr>
            <w:r>
              <w:rPr>
                <w:rFonts w:ascii="Arial" w:cs="Arial" w:eastAsia="Arial" w:hAnsi="Arial"/>
                <w:sz w:val="18"/>
                <w:szCs w:val="18"/>
                <w:color w:val="auto"/>
              </w:rPr>
              <w:t>Income taxes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29"/>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30"/>
        </w:trPr>
        <w:tc>
          <w:tcPr>
            <w:tcW w:w="68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(11,264)</w:t>
            </w:r>
          </w:p>
        </w:tc>
      </w:tr>
      <w:tr>
        <w:trPr>
          <w:trHeight w:val="229"/>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liabilities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r>
      <w:tr>
        <w:trPr>
          <w:trHeight w:val="229"/>
        </w:trPr>
        <w:tc>
          <w:tcPr>
            <w:tcW w:w="6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net</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r>
      <w:tr>
        <w:trPr>
          <w:trHeight w:val="223"/>
        </w:trPr>
        <w:tc>
          <w:tcPr>
            <w:tcW w:w="6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53,400</w:t>
            </w: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Investing Activities: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r>
      <w:tr>
        <w:trPr>
          <w:trHeight w:val="230"/>
        </w:trPr>
        <w:tc>
          <w:tcPr>
            <w:tcW w:w="6860" w:type="dxa"/>
            <w:vAlign w:val="bottom"/>
          </w:tcPr>
          <w:p>
            <w:pPr>
              <w:ind w:left="200"/>
              <w:spacing w:after="0"/>
              <w:rPr>
                <w:sz w:val="20"/>
                <w:szCs w:val="20"/>
                <w:color w:val="auto"/>
              </w:rPr>
            </w:pPr>
            <w:r>
              <w:rPr>
                <w:rFonts w:ascii="Arial" w:cs="Arial" w:eastAsia="Arial" w:hAnsi="Arial"/>
                <w:sz w:val="18"/>
                <w:szCs w:val="18"/>
                <w:color w:val="auto"/>
              </w:rPr>
              <w:t>Maturities of short-term investments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19,821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6,146</w:t>
            </w:r>
          </w:p>
        </w:tc>
      </w:tr>
      <w:tr>
        <w:trPr>
          <w:trHeight w:val="23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r>
      <w:tr>
        <w:trPr>
          <w:trHeight w:val="230"/>
        </w:trPr>
        <w:tc>
          <w:tcPr>
            <w:tcW w:w="6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Proceeds from life insurance policies</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Financing Activities: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industrial development revenue bonds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860" w:type="dxa"/>
            <w:vAlign w:val="bottom"/>
          </w:tcPr>
          <w:p>
            <w:pPr>
              <w:ind w:left="200"/>
              <w:spacing w:after="0"/>
              <w:rPr>
                <w:sz w:val="20"/>
                <w:szCs w:val="20"/>
                <w:color w:val="auto"/>
              </w:rPr>
            </w:pPr>
            <w:r>
              <w:rPr>
                <w:rFonts w:ascii="Arial" w:cs="Arial" w:eastAsia="Arial" w:hAnsi="Arial"/>
                <w:sz w:val="18"/>
                <w:szCs w:val="18"/>
                <w:color w:val="auto"/>
              </w:rPr>
              <w:t>Shares withheld in lieu of employee tax withholding</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r>
      <w:tr>
        <w:trPr>
          <w:trHeight w:val="223"/>
        </w:trPr>
        <w:tc>
          <w:tcPr>
            <w:tcW w:w="6860" w:type="dxa"/>
            <w:vAlign w:val="bottom"/>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(10,134)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(10,064)</w:t>
            </w: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37,878</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2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160,216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118,639</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24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108,675</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156,026</w:t>
            </w:r>
          </w:p>
        </w:tc>
      </w:tr>
      <w:tr>
        <w:trPr>
          <w:trHeight w:val="21"/>
        </w:trPr>
        <w:tc>
          <w:tcPr>
            <w:tcW w:w="6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Overview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markets, including onshore and offshore oil and gas production, petrochemical, liquefied natural gas (LNG) terminals, pipeline, terminal, mining and metals, light rail traction power, electric utility, pulp and paper and other heavy industrial markets.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and Oil and Gas Commodity Market Volatility on Powell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the first nine months of Fiscal 2021, the COVID-19 pandemic continues to impact global energy markets. This pandemic has negatively impacted demand, which in turn has resulted in considerable volatility across global oil and gas commodity markets. As a result, some of our industrial customers are deferring or suspending their planned capital expenditures. Certain of our customers have asked that we delay or cancel our manufacturing on their projects as their operations have been negatively impacted by this pandemic and the reduced oil and gas demand which has resulted in recognition of cancellation fees based on contract terms and the extent of our progress on the projects. We continue to work with and review the contracts with our key suppliers who have been impacted by this pandemic to ensure that we are able to meet our customer commitments.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consequences of a prolonged global economic decline could include, but are not limited to, a continued reduction in commercial and industrial activity. Accordingly, the Company cannot reasonably estimate the duration or severity of this pandemic, or the extent to which the disruption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2020, which was filed with the Securities and Exchange Commission (SEC) on December 9, 2020.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References to Fiscal 2021 and Fiscal 2020 used throughout this report shall mean our fiscal years ended September 30, 2021 and 2020,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Financial Accounting Standards Board (FASB) issued a new topic on measurement of credit losses. The topic introduces an impairment model known as the current expected credit loss (CECL) model that is based on an expected loss methodology rather than an incurred loss methodology for financial instruments. Under the new topic, an entity recognizes as an allowance its estimate of expected credit losses with the intention of improving financial reporting by requiring timelier recognition of such losses. We adopted this topic on October 1, 2020 and such adoption did not have a material impact on our consolidated financial statements.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Earnings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basic and diluted weighted average shares used in the computation of earnings per share (in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 June 30,</w:t>
            </w:r>
          </w:p>
        </w:tc>
      </w:tr>
      <w:tr>
        <w:trPr>
          <w:trHeight w:val="210"/>
        </w:trPr>
        <w:tc>
          <w:tcPr>
            <w:tcW w:w="46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(2,041)</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13,677</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Weighted average basic shares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11,720</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11,631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11,622</w:t>
            </w:r>
          </w:p>
        </w:tc>
      </w:tr>
      <w:tr>
        <w:trPr>
          <w:trHeight w:val="230"/>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restricted stock units</w:t>
            </w: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4600" w:type="dxa"/>
            <w:vAlign w:val="bottom"/>
          </w:tcPr>
          <w:p>
            <w:pPr>
              <w:ind w:left="220"/>
              <w:spacing w:after="0"/>
              <w:rPr>
                <w:sz w:val="20"/>
                <w:szCs w:val="20"/>
                <w:color w:val="auto"/>
              </w:rPr>
            </w:pPr>
            <w:r>
              <w:rPr>
                <w:rFonts w:ascii="Arial" w:cs="Arial" w:eastAsia="Arial" w:hAnsi="Arial"/>
                <w:sz w:val="18"/>
                <w:szCs w:val="18"/>
                <w:color w:val="auto"/>
              </w:rPr>
              <w:t>Weighted average diluted shares</w:t>
            </w: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11,720</w:t>
            </w: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11,698</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11,686</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Earnings (loss) per share: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Basic</w:t>
            </w:r>
          </w:p>
        </w:tc>
        <w:tc>
          <w:tcPr>
            <w:tcW w:w="92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June 30, 2021, we incurred a net loss and therefore all potential common shares were deemed to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 Detail of Selected Balance Sheet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credit losses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140" w:type="dxa"/>
            <w:vAlign w:val="bottom"/>
            <w:tcBorders>
              <w:bottom w:val="single" w:sz="8" w:color="auto"/>
            </w:tcBorders>
            <w:gridSpan w:val="6"/>
          </w:tcPr>
          <w:p>
            <w:pPr>
              <w:jc w:val="right"/>
              <w:ind w:right="575"/>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w w:val="97"/>
              </w:rPr>
              <w:t>Nine months ended June 30,</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Bad debt expense, net</w:t>
            </w:r>
          </w:p>
        </w:tc>
        <w:tc>
          <w:tcPr>
            <w:tcW w:w="9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Uncollectible accounts written off, net of recoveries</w:t>
            </w:r>
          </w:p>
        </w:tc>
        <w:tc>
          <w:tcPr>
            <w:tcW w:w="9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5"/>
              </w:rPr>
              <w:t>(168)</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Change due to foreign currency translation</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4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The components of inventories are summarized below (in thousands):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175"/>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29"/>
        </w:trPr>
        <w:tc>
          <w:tcPr>
            <w:tcW w:w="47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Raw materials, parts and sub-assemblies, net</w:t>
            </w:r>
          </w:p>
        </w:tc>
        <w:tc>
          <w:tcPr>
            <w:tcW w:w="9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center"/>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27,325</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35"/>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Work-in-progress</w:t>
            </w:r>
          </w:p>
        </w:tc>
        <w:tc>
          <w:tcPr>
            <w:tcW w:w="9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1,072</w:t>
            </w:r>
          </w:p>
        </w:tc>
        <w:tc>
          <w:tcPr>
            <w:tcW w:w="2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inventories</w:t>
            </w:r>
          </w:p>
        </w:tc>
        <w:tc>
          <w:tcPr>
            <w:tcW w:w="9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center"/>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28,397</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35"/>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Product Warranty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product warranty accrual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Nine months ended June 30,</w:t>
            </w:r>
          </w:p>
        </w:tc>
        <w:tc>
          <w:tcPr>
            <w:tcW w:w="580" w:type="dxa"/>
            <w:vAlign w:val="bottom"/>
            <w:tcBorders>
              <w:bottom w:val="single" w:sz="8" w:color="auto"/>
            </w:tcBorders>
          </w:tcPr>
          <w:p>
            <w:pPr>
              <w:spacing w:after="0"/>
              <w:rPr>
                <w:sz w:val="16"/>
                <w:szCs w:val="16"/>
                <w:color w:val="auto"/>
              </w:rPr>
            </w:pPr>
          </w:p>
        </w:tc>
      </w:tr>
      <w:tr>
        <w:trPr>
          <w:trHeight w:val="210"/>
        </w:trPr>
        <w:tc>
          <w:tcPr>
            <w:tcW w:w="47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r>
      <w:tr>
        <w:trPr>
          <w:trHeight w:val="22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3,276</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Increase to warranty expense</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1,568</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1,904</w:t>
            </w:r>
          </w:p>
        </w:tc>
      </w:tr>
      <w:tr>
        <w:trPr>
          <w:trHeight w:val="230"/>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Deduction for warranty charges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(1,970)</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(1,826)</w:t>
            </w:r>
          </w:p>
        </w:tc>
      </w:tr>
      <w:tr>
        <w:trPr>
          <w:trHeight w:val="230"/>
        </w:trPr>
        <w:tc>
          <w:tcPr>
            <w:tcW w:w="47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Change due to foreign currency translation</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3,011</w:t>
            </w:r>
          </w:p>
        </w:tc>
        <w:tc>
          <w:tcPr>
            <w:tcW w:w="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w:t>
            </w:r>
          </w:p>
        </w:tc>
        <w:tc>
          <w:tcPr>
            <w:tcW w:w="1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3,011</w:t>
            </w: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 from these contracts is generally recognized over time utilizing the cost-to-cost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contracts to provide value-added services such as field service inspection, installation, commissioning, modification and repair,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93% of total revenues for the three months ended June 30, 2021, 92% of total revenues for the nine months ended June 30, 2021 and 95% of total revenues for each of the three and nine months ended June 30, 2020.</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7% of total revenues for the three months ended June 30, 2021, 8% of total revenues for the nine months ended June 30, 2021 and 5% of total revenues for each of the three and nine months ended June 30, 2020.</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liability is reduced.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 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Remaining unsatisfied performance obligations, which we refer to as backlog, represent the estimated transaction price for goods and services for which we have a material right, but work has not been performed. As of June 30, 2021, we had backlog of $425.5 million, of which approximately $292.8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Whenever revisions of estimated contract costs and contract values indicate that the contract costs will exceed estimated revenues, thus creating a loss, a provision for the total estimated loss is recorded in that period.</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June 30, 2021 and 2020, our operating results were positively impacted by $11.4 million and $10.8 million, respectively, as a result of changes in contract estimates related to projects in progress at the beginning of the respective period. These changes in estimates resulted primarily from favorable project execution and negotiations of variable consideration, discussed below, as well as revenue and reduced costs recognized from project cancellations and other changes in facts and circumstances during these periods.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Modifications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timing of revenue recognition, billings and cash collections affects accounts receivable, contract assets and contract liabilities in our Condensed Consolidated Balance Sheets.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contract assets and liabilities are reported in a net position on a contract-by-contract basis at the end of each reporting period and are generally classified as current. The timing of contract billing milestones related to our Fiscal 2020 contract award for a large industrial project contributed significantly to our net contract liability at September 30,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as of June 30, 2021 and September 30, 2020 are summarized below (in thousands):</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September 30, 2020</w:t>
            </w:r>
          </w:p>
        </w:tc>
      </w:tr>
      <w:tr>
        <w:trPr>
          <w:trHeight w:val="229"/>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50,827</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90"/>
              </w:rPr>
              <w:t>50,995</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liabilities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(43,140)</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715"/>
              <w:spacing w:after="0"/>
              <w:rPr>
                <w:sz w:val="20"/>
                <w:szCs w:val="20"/>
                <w:color w:val="auto"/>
              </w:rPr>
            </w:pPr>
            <w:r>
              <w:rPr>
                <w:rFonts w:ascii="Arial" w:cs="Arial" w:eastAsia="Arial" w:hAnsi="Arial"/>
                <w:sz w:val="18"/>
                <w:szCs w:val="18"/>
                <w:color w:val="auto"/>
                <w:w w:val="92"/>
              </w:rPr>
              <w:t>(79,445)</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asset (liability)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center"/>
              <w:ind w:left="715"/>
              <w:spacing w:after="0"/>
              <w:rPr>
                <w:sz w:val="20"/>
                <w:szCs w:val="20"/>
                <w:color w:val="auto"/>
              </w:rPr>
            </w:pPr>
            <w:r>
              <w:rPr>
                <w:rFonts w:ascii="Arial" w:cs="Arial" w:eastAsia="Arial" w:hAnsi="Arial"/>
                <w:sz w:val="18"/>
                <w:szCs w:val="18"/>
                <w:color w:val="auto"/>
                <w:w w:val="92"/>
              </w:rPr>
              <w:t>(28,450)</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net contract asset at June 30, 2021 from September 30, 2020 was primarily due to the timing of contract billing milestones and new orders. To determine the amount of revenue recognized during the period from contract liabilities, we first allocate revenue to the individual contract liability balance outstanding at the beginning of the period until the revenue exceeds that balance. During the nine months ended June 30, 2021, we recognized revenue of approximately $63.5 million that was related to contract liabilities outstanding at September 30, 2020.</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contain retention provisions that become due upon completion of contractual requirements. As of June 30, 2021 and September 30, 2020, accounts receivable included retention amounts of $9.3 million and $6.9 million, respectively. Of the retained amount at June 30, 2021, $7.3 million is expected to be collected in the next twelve months and is recorded in accounts receivable. The remaining $2.0 million is recorded in other assets.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our disaggregated revenue by geographic destination and market sector for the three and nine months ended June 30, 2021 and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65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87"/>
        </w:trPr>
        <w:tc>
          <w:tcPr>
            <w:tcW w:w="45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89,499</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256,937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16,529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16,970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48,354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Middle East and Africa</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88"/>
              </w:rPr>
              <w:t>8,926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6,422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28,120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Arial" w:cs="Arial" w:eastAsia="Arial" w:hAnsi="Arial"/>
                <w:sz w:val="18"/>
                <w:szCs w:val="18"/>
                <w:color w:val="auto"/>
                <w:w w:val="88"/>
              </w:rPr>
              <w:t>1,651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4,643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6,376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 Central and South America</w:t>
            </w: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 revenues by geographic destination</w:t>
            </w: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115,813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118,062</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341,105</w:t>
            </w:r>
          </w:p>
        </w:tc>
        <w:tc>
          <w:tcPr>
            <w:tcW w:w="16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403,781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87"/>
        </w:trPr>
        <w:tc>
          <w:tcPr>
            <w:tcW w:w="45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87"/>
              </w:rPr>
              <w:t>49,272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45,851</w:t>
            </w:r>
          </w:p>
        </w:tc>
        <w:tc>
          <w:tcPr>
            <w:tcW w:w="20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139,443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Petrochemical</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Arial" w:cs="Arial" w:eastAsia="Arial" w:hAnsi="Arial"/>
                <w:sz w:val="18"/>
                <w:szCs w:val="18"/>
                <w:color w:val="auto"/>
                <w:w w:val="87"/>
              </w:rPr>
              <w:t>15,365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29,293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34,725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utility</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87"/>
              </w:rPr>
              <w:t>26,175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16,725</w:t>
            </w:r>
          </w:p>
        </w:tc>
        <w:tc>
          <w:tcPr>
            <w:tcW w:w="2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82,797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Traction power</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Arial" w:cs="Arial" w:eastAsia="Arial" w:hAnsi="Arial"/>
                <w:sz w:val="18"/>
                <w:szCs w:val="18"/>
                <w:color w:val="auto"/>
                <w:w w:val="87"/>
              </w:rPr>
              <w:t>13,821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9,122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42,322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w:t>
            </w: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87"/>
              </w:rPr>
              <w:t>11,180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17,071</w:t>
            </w:r>
          </w:p>
        </w:tc>
        <w:tc>
          <w:tcPr>
            <w:tcW w:w="2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41,818</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 revenues by market sector</w:t>
            </w: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115,813</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118,062</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341,105</w:t>
            </w:r>
          </w:p>
        </w:tc>
        <w:tc>
          <w:tcPr>
            <w:tcW w:w="16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403,781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E. Long-Term Debt</w:t>
            </w: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45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80" w:type="dxa"/>
            <w:vAlign w:val="bottom"/>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4"/>
          </w:tcPr>
          <w:p>
            <w:pPr>
              <w:ind w:left="14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24"/>
                <w:szCs w:val="24"/>
                <w:color w:val="auto"/>
              </w:rPr>
            </w:pPr>
          </w:p>
        </w:tc>
        <w:tc>
          <w:tcPr>
            <w:tcW w:w="1700" w:type="dxa"/>
            <w:vAlign w:val="bottom"/>
            <w:gridSpan w:val="4"/>
          </w:tcPr>
          <w:p>
            <w:pPr>
              <w:ind w:left="16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29"/>
        </w:trPr>
        <w:tc>
          <w:tcPr>
            <w:tcW w:w="45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Industrial development revenue bonds</w:t>
            </w:r>
          </w:p>
        </w:tc>
        <w:tc>
          <w:tcPr>
            <w:tcW w:w="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right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center"/>
              <w:ind w:left="652"/>
              <w:spacing w:after="0"/>
              <w:rPr>
                <w:sz w:val="20"/>
                <w:szCs w:val="20"/>
                <w:color w:val="auto"/>
              </w:rPr>
            </w:pPr>
            <w:r>
              <w:rPr>
                <w:rFonts w:ascii="Arial" w:cs="Arial" w:eastAsia="Arial" w:hAnsi="Arial"/>
                <w:sz w:val="18"/>
                <w:szCs w:val="18"/>
                <w:color w:val="auto"/>
                <w:w w:val="86"/>
              </w:rPr>
              <w:t>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current portion</w:t>
            </w: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0"/>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long-term debt</w:t>
            </w:r>
          </w:p>
        </w:tc>
        <w:tc>
          <w:tcPr>
            <w:tcW w:w="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right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center"/>
              <w:ind w:left="652"/>
              <w:spacing w:after="0"/>
              <w:rPr>
                <w:sz w:val="20"/>
                <w:szCs w:val="20"/>
                <w:color w:val="auto"/>
              </w:rPr>
            </w:pPr>
            <w:r>
              <w:rPr>
                <w:rFonts w:ascii="Arial" w:cs="Arial" w:eastAsia="Arial" w:hAnsi="Arial"/>
                <w:sz w:val="18"/>
                <w:szCs w:val="18"/>
                <w:color w:val="auto"/>
                <w:w w:val="86"/>
              </w:rPr>
              <w:t>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Revolver</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a credit agreement with Bank of America, N.A. (the "U.S. Revolver") which is a $75.0 million revolving credit facility that is available for both borrowings and letters of credit and expires September 27, 2024. On March 12, 2021, we entered into a first amendment to the U.S. Revolver which, among other things, amended certain terms related to the calculation of the consolidated leverage ratio from gross leverage to net leverage. As a result of the first amendment,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 As of June 30, 2021, there were no amounts borrowed under the U.S. Revolver and letters of credit outstanding were $39.9 million. There was $35.1 million available for the issuance of letters of credit and borrowings under the U.S. Revolver as of June 30, 2021.</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required to maintain certain financial covenants, the most significant of which are a consolidated net leverage ratio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An increase in indebtedness, which includes letters of credit, or a decrease in EBITDAS could restrict our ability to issue letters of credit or borrow under the U.S. Revolver. Additionally, we must maintain a consolidated cash balance of $30 million at all times, which now can be deducted from the letters of credit outstanding as noted above. The U.S. Revolver also contains a "material adverse effect" clause which is a material change in our operations, business, properties, liabilities or condition (financial or otherwise) or a material impairment of our ability to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perform our obligations under our credit agreements. As of June 30, 2021, we were in compliance with all of the financial covenants of the U.S. Revolver.</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London Interbank Offered Rate (LIBOR) plus 1.00%. The applicable rate is generally a range from (0.25)% to 1.75% depending on the type of loan and the Company's consolidated leverage ratio.</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Development Revenue Bonds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borrowed $8.0 million in October 2001 through a loan agreement funded with proceeds from tax-exempt industrial development revenue bonds (Bonds) for the completion of our Northlake, Illinois facility. The Bonds are subject to various covenants, for which we were in compliance at June 30, 2021. The Bonds mature in October 2021 and bear interest at a floating rate determined weekly by the Bonds’ remarketing agent. This interest rate was 0.13% as of June 30, 2021.</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Bank Guarantees and Bonds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$39.9 million as of June 30, 2021. We also had surety bonds totaling $141.2 million that were outstanding, with additional bonding capacity of $458.8 million available, at June 30, 2021. At present, we have strong surety relationships; however, a change in market conditions or the sureties' assessment of our financial position could cause the sureties to require cash collateralization for undischarged liabilities under the bonds.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$9.7 million facility agreement (Facility Agreement) between Powell (UK) Limited and a large international bank that provides Powell (UK) Limited the ability to enter into bank guarantees as well as forward exchange contracts and currency options. At June 30, 2021, we had outstanding guarantees totaling $7.7 million and amounts available under this Facility Agreement were $2.0 million.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June 30, 2021, we were in compliance with all of the financial covenants of the Facility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G. Stock-Based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our Annual Report on Form 10-K for the fiscal year ended September 30, 2020 for a full description of our existing stock-based compensation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issue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June 30, 2021, there were 200,919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Total RSU activity (number of shares) for the nine months ended June 30, 2021 is summarized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r>
      <w:tr>
        <w:trPr>
          <w:trHeight w:val="135"/>
        </w:trPr>
        <w:tc>
          <w:tcPr>
            <w:tcW w:w="826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0"/>
              </w:rPr>
              <w:t>Average</w:t>
            </w:r>
          </w:p>
        </w:tc>
      </w:tr>
      <w:tr>
        <w:trPr>
          <w:trHeight w:val="135"/>
        </w:trPr>
        <w:tc>
          <w:tcPr>
            <w:tcW w:w="826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6"/>
              </w:rPr>
              <w:t>Grant Value</w:t>
            </w:r>
          </w:p>
        </w:tc>
      </w:tr>
      <w:tr>
        <w:trPr>
          <w:trHeight w:val="188"/>
        </w:trPr>
        <w:tc>
          <w:tcPr>
            <w:tcW w:w="8260" w:type="dxa"/>
            <w:vAlign w:val="bottom"/>
            <w:tcBorders>
              <w:bottom w:val="single" w:sz="8" w:color="CFF0FC"/>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1"/>
              </w:rPr>
              <w:t>Per Share</w:t>
            </w:r>
          </w:p>
        </w:tc>
      </w:tr>
      <w:tr>
        <w:trPr>
          <w:trHeight w:val="224"/>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2020</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154,034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35.37</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104,550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24.08</w:t>
            </w:r>
          </w:p>
        </w:tc>
      </w:tr>
      <w:tr>
        <w:trPr>
          <w:trHeight w:val="229"/>
        </w:trPr>
        <w:tc>
          <w:tcPr>
            <w:tcW w:w="8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(55,748)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w:t>
            </w:r>
          </w:p>
        </w:tc>
      </w:tr>
      <w:tr>
        <w:trPr>
          <w:trHeight w:val="230"/>
        </w:trPr>
        <w:tc>
          <w:tcPr>
            <w:tcW w:w="82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32.58</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2021</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200,919</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30.32</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June 30, 2021 and 2020, we recorded compensation expense of $1.7 million and $1.9 million, respectively, related to the RSUs.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non-employee director receives 2,400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In February 2021, 16,800 shares of restricted stock were issued to our non-employee directors under the 2014 Non-Employee Director Equity Incentive Plan at a price of $31.33 per share. During both the nine months ended June 30, 2021 and 2020, we recorded compensation expense of $0.5 million related to restricted stock.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 Measurements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June 30, 2021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Fair Value Measurements at June 30, 2021</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72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13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8"/>
              </w:rPr>
              <w:t>Fair Value at</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11"/>
                <w:szCs w:val="11"/>
                <w:color w:val="auto"/>
              </w:rPr>
            </w:pPr>
          </w:p>
        </w:tc>
        <w:tc>
          <w:tcPr>
            <w:tcW w:w="172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gridSpan w:val="3"/>
          </w:tcPr>
          <w:p>
            <w:pPr>
              <w:jc w:val="center"/>
              <w:ind w:right="58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72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580"/>
              <w:spacing w:after="0" w:line="135"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7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(Level 2)</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108,675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3"/>
          </w:tcPr>
          <w:p>
            <w:pPr>
              <w:ind w:left="114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108,675</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20,165</w:t>
            </w: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9,191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8,693</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2020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at September 30, 2020</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1680" w:type="dxa"/>
            <w:vAlign w:val="bottom"/>
            <w:gridSpan w:val="3"/>
          </w:tcPr>
          <w:p>
            <w:pPr>
              <w:jc w:val="center"/>
              <w:ind w:right="54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136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8"/>
              </w:rPr>
              <w:t>Fair Value at</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94"/>
              </w:rPr>
              <w:t>Observable</w:t>
            </w:r>
          </w:p>
        </w:tc>
        <w:tc>
          <w:tcPr>
            <w:tcW w:w="168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95"/>
              </w:rPr>
              <w:t>Inputs</w:t>
            </w:r>
          </w:p>
        </w:tc>
        <w:tc>
          <w:tcPr>
            <w:tcW w:w="168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6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160,216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3"/>
          </w:tcPr>
          <w:p>
            <w:pPr>
              <w:ind w:left="1200"/>
              <w:spacing w:after="0"/>
              <w:rPr>
                <w:sz w:val="20"/>
                <w:szCs w:val="20"/>
                <w:color w:val="auto"/>
              </w:rPr>
            </w:pPr>
            <w:r>
              <w:rPr>
                <w:rFonts w:ascii="Arial" w:cs="Arial" w:eastAsia="Arial" w:hAnsi="Arial"/>
                <w:sz w:val="18"/>
                <w:szCs w:val="18"/>
                <w:color w:val="auto"/>
              </w:rPr>
              <w:t>—  $</w:t>
            </w: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160,216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18,705</w:t>
            </w: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primarily funds held in money market savings instruments, are reported at their current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approximates fair value due to the short-term nature of these instruments and are included in cash and cash equivalents in our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Assets and Deferred Compensation </w:t>
      </w:r>
      <w:r>
        <w:rPr>
          <w:rFonts w:ascii="Arial" w:cs="Arial" w:eastAsia="Arial" w:hAnsi="Arial"/>
          <w:sz w:val="18"/>
          <w:szCs w:val="18"/>
          <w:color w:val="auto"/>
        </w:rPr>
        <w:t>– We hold investments in an irrevocable Rabbi Trust for our deferred compensation plan. The assets are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quarter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 Leases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leases consist primarily of office and manufacturing space, construction equipment and office equipment. All of our future lease obligations are related to non-cancelable operating leases. The most significant portion of our lease portfolio relates to leases of office and manufacturing facilities in Canada which we no longer occupy. We currently sublease the majority of these Canadian facilities. The following table provides a summary of lease cost components for the three and nine months ended June 30, 2021 and 2020, respectively (in thousands):</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 June 30,</w:t>
            </w:r>
          </w:p>
        </w:tc>
      </w:tr>
      <w:tr>
        <w:trPr>
          <w:trHeight w:val="216"/>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Cost</w:t>
            </w:r>
          </w:p>
        </w:tc>
        <w:tc>
          <w:tcPr>
            <w:tcW w:w="1000" w:type="dxa"/>
            <w:vAlign w:val="bottom"/>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6"/>
              </w:rPr>
              <w:t>598</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r>
      <w:tr>
        <w:trPr>
          <w:trHeight w:val="229"/>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Less: sublease income</w:t>
            </w:r>
          </w:p>
        </w:tc>
        <w:tc>
          <w:tcPr>
            <w:tcW w:w="10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4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117</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45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Short-term lease cost</w:t>
            </w:r>
            <w:r>
              <w:rPr>
                <w:rFonts w:ascii="Arial" w:cs="Arial" w:eastAsia="Arial" w:hAnsi="Arial"/>
                <w:sz w:val="23"/>
                <w:szCs w:val="23"/>
                <w:color w:val="auto"/>
                <w:vertAlign w:val="superscript"/>
              </w:rPr>
              <w:t>(2)</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6"/>
              </w:rPr>
              <w:t>365</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r>
      <w:tr>
        <w:trPr>
          <w:trHeight w:val="24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6"/>
              </w:rPr>
              <w:t>905</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Variable lease cost represents common area maintenance charges related to our Canadian office space lease.</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Short-term lease cost includes leases and rentals with initial terms of one year or less.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Our operating lease assets have been reduced by a lease accrual of $0.5 million related to certain unused facility leases in Canada. The following table provides a summary of the operating lease assets and operating lease liabilities included in our Condensed Consolidated Balance Sheets as of June 30, 2021 and September 30, 2020, respectively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Leases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June 30, 2021</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 2020</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Operating lease assets, net</w:t>
            </w:r>
          </w:p>
        </w:tc>
        <w:tc>
          <w:tcPr>
            <w:tcW w:w="1680" w:type="dxa"/>
            <w:vAlign w:val="bottom"/>
          </w:tcPr>
          <w:p>
            <w:pPr>
              <w:jc w:val="right"/>
              <w:ind w:right="14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3,732</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5,217</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Current operating lease liabilities</w:t>
            </w:r>
          </w:p>
        </w:tc>
        <w:tc>
          <w:tcPr>
            <w:tcW w:w="1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2,352</w:t>
            </w:r>
          </w:p>
        </w:tc>
        <w:tc>
          <w:tcPr>
            <w:tcW w:w="20" w:type="dxa"/>
            <w:vAlign w:val="bottom"/>
          </w:tcPr>
          <w:p>
            <w:pPr>
              <w:spacing w:after="0"/>
              <w:rPr>
                <w:sz w:val="19"/>
                <w:szCs w:val="19"/>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16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2,554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Total lease liabilities</w:t>
            </w:r>
          </w:p>
        </w:tc>
        <w:tc>
          <w:tcPr>
            <w:tcW w:w="168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7"/>
        </w:trPr>
        <w:tc>
          <w:tcPr>
            <w:tcW w:w="8320" w:type="dxa"/>
            <w:vAlign w:val="bottom"/>
            <w:gridSpan w:val="4"/>
          </w:tcPr>
          <w:p>
            <w:pPr>
              <w:spacing w:after="0"/>
              <w:rPr>
                <w:sz w:val="20"/>
                <w:szCs w:val="20"/>
                <w:color w:val="auto"/>
              </w:rPr>
            </w:pPr>
            <w:r>
              <w:rPr>
                <w:rFonts w:ascii="Arial" w:cs="Arial" w:eastAsia="Arial" w:hAnsi="Arial"/>
                <w:sz w:val="18"/>
                <w:szCs w:val="18"/>
                <w:color w:val="auto"/>
                <w:w w:val="94"/>
              </w:rPr>
              <w:t>The following table provides the maturities of our operating lease liabilities as of June 30, 2021 (in thousands):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6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2,411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present value discount (imputed interest)</w:t>
            </w:r>
          </w:p>
        </w:tc>
        <w:tc>
          <w:tcPr>
            <w:tcW w:w="16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discount rate as of June 30, 2021 was 4.1%. The weighted average remaining lease term was 1.9 years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300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 June 30,</w:t>
            </w:r>
          </w:p>
        </w:tc>
      </w:tr>
      <w:tr>
        <w:trPr>
          <w:trHeight w:val="210"/>
        </w:trPr>
        <w:tc>
          <w:tcPr>
            <w:tcW w:w="4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(1,338)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2,922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(2,767)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15,810</w:t>
            </w:r>
          </w:p>
        </w:tc>
      </w:tr>
      <w:tr>
        <w:trPr>
          <w:trHeight w:val="216"/>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(559)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2,133</w:t>
            </w:r>
          </w:p>
        </w:tc>
      </w:tr>
      <w:tr>
        <w:trPr>
          <w:trHeight w:val="162"/>
        </w:trPr>
        <w:tc>
          <w:tcPr>
            <w:tcW w:w="4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(2,041)</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3,481</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(2,629)</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13,677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June 30, 2021, the income tax provision resulted in a negative effective tax rate for the period due to our inability to recognize a tax benefit related to losses in the United Kingdom and the change in the estimated relative amounts of income/loss recognized in the various tax jurisdictions. These items also reduced the tax benefit for the nine months ended June 30, 2021. The estimated Research and Development Tax Credit (R&amp;D Tax Credit) as well as the utilization of net operating loss carryforwards in Canada that were fully reserved with a valuation allowance provided a tax benefit for the three and nine months ended June 30, 2021.</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effective tax rate for the quarter ended June 30, 2020 was favorably impacted by the tax benefits related to the R&amp;D Tax Credit as well as the projected utilization of net operating loss carryforwards in Canada that were fully reserved with a valuation allowance. In addition, as a result of the expiration of certain U.S. federal statutes of limitations and the effective settlement of an Internal Revenue Service (IRS) audit, $1.7 million of reserves for unrecognized tax benefits related to these matters was released. These benefits were partially offset by losses recognized by various foreign jurisdictions that were reserved with a valuation allowance. For the nine months ended June 30, 2020, the effective tax rate was also negatively impacted by the $0.5 million valuation allowance recorded against our UK deferred tax assets as a discrete item during the second quarter of Fiscal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Dividend Declared</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3, 2021, our Board of Directors declared a quarterly cash dividend on our common stock in the amount of $0.26 per share. The dividend is payable on September 15, 2021 to shareholders of record at the close of business on August 18,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management or persons acting on our behalf may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our Business and Industry</w:t>
      </w:r>
    </w:p>
    <w:p>
      <w:pPr>
        <w:spacing w:after="0" w:line="117" w:lineRule="exact"/>
        <w:rPr>
          <w:sz w:val="20"/>
          <w:szCs w:val="20"/>
          <w:color w:val="auto"/>
        </w:rPr>
      </w:pPr>
    </w:p>
    <w:p>
      <w:pPr>
        <w:ind w:left="620" w:hanging="329"/>
        <w:spacing w:after="0" w:line="27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subject to the cyclical nature of the end markets that we serve. This has had, and may continue to have, an adverse effect on our future operating results.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by competitors may make existing products and production methods obsolete.</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and product diversification through strategic acquisitions involves a number of risks.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requires skilled and unskilled labor, and we may be unable to attract and retain qualified employees.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exposed to risks relating to the use of subcontractors on some of our projects.</w:t>
      </w:r>
    </w:p>
    <w:p>
      <w:pPr>
        <w:spacing w:after="0" w:line="117"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Misconduct by our employees or subcontractors, or a failure to </w:t>
      </w:r>
      <w:r>
        <w:rPr>
          <w:rFonts w:ascii="Arial" w:cs="Arial" w:eastAsia="Arial" w:hAnsi="Arial"/>
          <w:sz w:val="18"/>
          <w:szCs w:val="18"/>
          <w:color w:val="252525"/>
        </w:rPr>
        <w:t>comply with laws or regulations, could harm our reputation, damage our</w:t>
      </w:r>
      <w:r>
        <w:rPr>
          <w:rFonts w:ascii="Arial" w:cs="Arial" w:eastAsia="Arial" w:hAnsi="Arial"/>
          <w:sz w:val="18"/>
          <w:szCs w:val="18"/>
          <w:color w:val="auto"/>
        </w:rPr>
        <w:t xml:space="preserve"> </w:t>
      </w:r>
      <w:r>
        <w:rPr>
          <w:rFonts w:ascii="Arial" w:cs="Arial" w:eastAsia="Arial" w:hAnsi="Arial"/>
          <w:sz w:val="18"/>
          <w:szCs w:val="18"/>
          <w:color w:val="252525"/>
        </w:rPr>
        <w:t>relationships with customers and subject us to criminal and civil enforcement actions.</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4"/>
        </w:numPr>
        <w:rPr>
          <w:rFonts w:ascii="Arial" w:cs="Arial" w:eastAsia="Arial" w:hAnsi="Arial"/>
          <w:sz w:val="18"/>
          <w:szCs w:val="18"/>
          <w:color w:val="252525"/>
        </w:rPr>
      </w:pPr>
      <w:r>
        <w:rPr>
          <w:rFonts w:ascii="Arial" w:cs="Arial" w:eastAsia="Arial" w:hAnsi="Arial"/>
          <w:sz w:val="18"/>
          <w:szCs w:val="18"/>
          <w:color w:val="252525"/>
        </w:rPr>
        <w:t>Unsatisfactory safety performance may subject us to penalties, negatively impact customer relationships, result in higher operating costs, and negatively impact employee morale and turnover.</w:t>
      </w:r>
    </w:p>
    <w:p>
      <w:pPr>
        <w:spacing w:after="0" w:line="62" w:lineRule="exact"/>
        <w:rPr>
          <w:rFonts w:ascii="Arial" w:cs="Arial" w:eastAsia="Arial" w:hAnsi="Arial"/>
          <w:sz w:val="18"/>
          <w:szCs w:val="18"/>
          <w:color w:val="252525"/>
        </w:rPr>
      </w:pPr>
    </w:p>
    <w:p>
      <w:pPr>
        <w:ind w:left="620" w:hanging="329"/>
        <w:spacing w:after="0" w:line="277" w:lineRule="auto"/>
        <w:tabs>
          <w:tab w:leader="none" w:pos="615" w:val="left"/>
        </w:tabs>
        <w:numPr>
          <w:ilvl w:val="0"/>
          <w:numId w:val="4"/>
        </w:numPr>
        <w:rPr>
          <w:rFonts w:ascii="Arial" w:cs="Arial" w:eastAsia="Arial" w:hAnsi="Arial"/>
          <w:sz w:val="18"/>
          <w:szCs w:val="18"/>
          <w:color w:val="252525"/>
        </w:rPr>
      </w:pPr>
      <w:r>
        <w:rPr>
          <w:rFonts w:ascii="Arial" w:cs="Arial" w:eastAsia="Arial" w:hAnsi="Arial"/>
          <w:sz w:val="18"/>
          <w:szCs w:val="18"/>
          <w:color w:val="auto"/>
        </w:rPr>
        <w:t>Catastrophic events, including natural disasters, health epidemics (including the COVID-19 pandemic), acts of war and terrorism, among others, could disrupt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our Financial Condition and Markets</w:t>
      </w:r>
    </w:p>
    <w:p>
      <w:pPr>
        <w:spacing w:after="0" w:line="117" w:lineRule="exact"/>
        <w:rPr>
          <w:sz w:val="20"/>
          <w:szCs w:val="20"/>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backlog is subject to unexpected adjustments, cancellations and scope reductions and, therefore, may not be a reliable indicator of our future earnings.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recognized over time from our fixed-price contracts could result in volatility in our results of operations.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adversely impact our ability to meet commitments to our customers.</w:t>
      </w:r>
    </w:p>
    <w:p>
      <w:pPr>
        <w:spacing w:after="0" w:line="62" w:lineRule="exact"/>
        <w:rPr>
          <w:rFonts w:ascii="Arial" w:cs="Arial" w:eastAsia="Arial" w:hAnsi="Arial"/>
          <w:sz w:val="18"/>
          <w:szCs w:val="18"/>
          <w:color w:val="auto"/>
        </w:rPr>
      </w:pPr>
    </w:p>
    <w:p>
      <w:pPr>
        <w:ind w:left="620" w:right="20" w:hanging="329"/>
        <w:spacing w:after="0" w:line="277"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surety bonds, letters of credit, bank guarantees, or other financial assurances, may be necessary for us to successfully bid on and obtain certain contracts.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left="620" w:hanging="329"/>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remain in compliance with covenants or obtain waivers or amendments under our credit agreement could adversely impact our business.</w:t>
      </w:r>
    </w:p>
    <w:p>
      <w:pPr>
        <w:spacing w:after="0" w:line="140" w:lineRule="exact"/>
        <w:rPr>
          <w:rFonts w:ascii="Arial" w:cs="Arial" w:eastAsia="Arial" w:hAnsi="Arial"/>
          <w:sz w:val="16"/>
          <w:szCs w:val="16"/>
          <w:color w:val="auto"/>
        </w:rPr>
      </w:pP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extend credit to customers in conjunction with our performance under fixed price contracts which subjects us to potential credit risks.</w:t>
      </w:r>
    </w:p>
    <w:p>
      <w:pPr>
        <w:spacing w:after="0" w:line="128" w:lineRule="exact"/>
        <w:rPr>
          <w:rFonts w:ascii="Arial" w:cs="Arial" w:eastAsia="Arial" w:hAnsi="Arial"/>
          <w:sz w:val="17"/>
          <w:szCs w:val="17"/>
          <w:color w:val="auto"/>
        </w:rPr>
      </w:pP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20" w:hanging="329"/>
        <w:spacing w:after="0" w:line="277"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our Common Stock</w:t>
      </w:r>
    </w:p>
    <w:p>
      <w:pPr>
        <w:spacing w:after="0" w:line="117" w:lineRule="exact"/>
        <w:rPr>
          <w:sz w:val="20"/>
          <w:szCs w:val="20"/>
          <w:color w:val="auto"/>
        </w:rPr>
      </w:pPr>
    </w:p>
    <w:p>
      <w:pPr>
        <w:ind w:left="620" w:hanging="329"/>
        <w:spacing w:after="0" w:line="277" w:lineRule="auto"/>
        <w:tabs>
          <w:tab w:leader="none" w:pos="61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These fluctuations may cause our stockholders to incur losses.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can be no assurance that we will declare or pay future dividends on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Legal and Regulatory Matters</w:t>
      </w:r>
    </w:p>
    <w:p>
      <w:pPr>
        <w:spacing w:after="0" w:line="117"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could adversely impact our financial results.</w:t>
      </w:r>
    </w:p>
    <w:p>
      <w:pPr>
        <w:spacing w:after="0" w:line="117" w:lineRule="exact"/>
        <w:rPr>
          <w:rFonts w:ascii="Arial" w:cs="Arial" w:eastAsia="Arial" w:hAnsi="Arial"/>
          <w:sz w:val="18"/>
          <w:szCs w:val="18"/>
          <w:color w:val="auto"/>
        </w:rPr>
      </w:pPr>
    </w:p>
    <w:p>
      <w:pPr>
        <w:ind w:left="620" w:right="20" w:hanging="329"/>
        <w:spacing w:after="0" w:line="277"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developments arising from recent U.S. Government proposals concerning tariffs and other economic proposals could adversely impact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17" w:lineRule="exact"/>
        <w:rPr>
          <w:sz w:val="20"/>
          <w:szCs w:val="20"/>
          <w:color w:val="auto"/>
        </w:rPr>
      </w:pPr>
    </w:p>
    <w:p>
      <w:pPr>
        <w:ind w:left="620" w:hanging="329"/>
        <w:spacing w:after="0"/>
        <w:tabs>
          <w:tab w:leader="none" w:pos="620"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b w:val="1"/>
          <w:bCs w:val="1"/>
          <w:i w:val="1"/>
          <w:iCs w:val="1"/>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 items we have outlined above are important factors that could cause estimates included in our financial statements and those expressed in a forward-looking statement made in this report or elsewhere by us or on our behalf to differ materially from actual results and those expressed in a forward-looking statement made in this report or elsewhere by us or on our behalf. We have discussed these factors in more detail in our Annual Report on Form 10-K for the year ended September 30, 2020.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2020, which was filed with the Securities and Exchange Commission (SEC) on December 9, 2020 and is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markets, including onshore and offshore oil and gas production, petrochemical, liquefied natural gas (LNG) terminals, pipeline, terminal, mining and metals, light rail traction power, electric utility, pulp and paper and other industrial markets. Revenues and costs are primarily related to custom engineered-to-order equipment and systems and are accounted for under percentage-of-completion accounting, which precludes us from providing detailed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price and volume information. Our backlog includes various projects that typically take a number of months to produce.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combination of a growing global economy, abundant sources of favorably priced natural gas feedstock, and an energy industry focus on transition to natural gas and cleaner-burning fuels drove an increase in capital investment opportunities, specifically across the oil, gas and petrochemical sectors. Some of these opportunities were for natural gas related projects targeting global demand for cleaner-burning fuels. Additionally, projects within the domestic petrochemical sector benefited from the low feedstock prices of natural gas. Specific to natural gas, the business was awarded a substantial contract in the second quarter of Fiscal 2020 that will support the integrated electrical distribution requirements for a large domestic industrial complex and should be substantially completed in Fiscal 2022. However, we began to experience reduced commercial activity in Fiscal 2020 driven in large part by the uncertainties across our industrial end markets in the U.S. resulting from the COVID-19 pandemic. Considering the long cycle nature of our business, we anticipate that these cyclical conditions may persist throughout Fiscal 2021 and into early Fiscal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and Oil and Gas Commodity Market Volatility on Powell</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Through the first nine months of Fiscal 2021, the COVID-19 pandemic continues to impact global energy markets. This pandemic has negatively impacted demand, which in turn has resulted in considerable volatility across global oil and gas commodity markets. The demand for our products and services as well as our operations have been negatively impacted by COVID-19, resulting from the associated reduction in oil and gas demand and volatility in commodity prices noted above. As a result, some of our industrial customers are deferring or suspending their planned capital expenditures. Certain of our customers have asked that we delay or cancel our manufacturing on their projects as their operations have been negatively impacted by this pandemic and the reduced oil and gas demand which has resulted in recognition of cancellation fees based on contract terms and the extent of our progress on the projects. We continue to work with and review the contracts with our key suppliers who have been impacted by this pandemic to ensure that we are able to meet our customer commitments.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response to the lower demand across select end markets, we have taken and will continue to take various actions to reduce costs. During Fiscal 2020, we reduced our global workforce and reduced our capital and discretionary spending in response to current business conditions. We continue to operate at these lower thresholds and are consistently monitoring the macro-economic conditions throughout the remainder of Fiscal 2021.</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As discussed further under the heading "Outlook" below, it is difficult to predict the economic impact that this pandemic, as well as reduced oil and gas demand and commodity price volatility, may have on our business, results of operations and cash flows going forward.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June 30, 2021 Compared to the Quarter Ended June 30, 2020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Profit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decreased by 2%, or $2.2 million, to $115.8 million in the third quarter of Fiscal 2021, due to a decrease in orders as well as project delays and cancellations of potential projects associated with the global economic impact resulting from the COVID-19 pandemic and associated reduction in demand across our industrial end markets. These cyclical market conditions, which began in the second half of Fiscal 2020, led to a reduction in project bookings and an increase in project delays which have negatively impacted, and will continue to negatively impact, our revenues in Fiscal 2021. Domestic revenues decreased, as noted above, by 3%, or $2.8 million, to $88.4 million in the third quarter of Fiscal 2021. Included in our domestic revenues is our large domestic industrial project awarded in Fiscal 2020, which accounted for approximately 18% of our consolidated revenues for the third quarter of Fiscal 2021 compared to 9% in the same period of the prior year. International revenues increased by $0.6 million, to $27.4 million in the third quarter of Fiscal 2021. Our international revenues include both revenues generated from our international facilities as well as revenues from export projects generated at our domestic facilities.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our oil and gas end markets increased by 7%, or $3.4 million, to $49.3 million in the third quarter of Fiscal 2021, while petrochemical revenue decreased by 48%, or $13.9 million, to $15.4 million in the third quarter of Fiscal 2021, primarily due to the uncertainty across our industrial end markets. Revenue from our utility markets increased by 57%, or $9.5 million, to $26.2 million, and traction market revenue increased by 52%, or $4.7 million, to $13.8 million in the third quarter of Fiscal 2021. Revenue from all other markets combined decreased by $5.9 million to $11.2 million in the third quarter of Fiscal 2021.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reduction in revenue led to a subsequent reduction in gross profit, decreasing by 20%, or $4.2 million, to $17.2 million for the third quarter of Fiscal 2021. Gross profit as a percentage of revenues decreased to 15% in the third quarter of Fiscal 2021, compared to 18% in the third quarter of Fiscal 2020. The reduction in gross profit as a percentage of revenues was driven predominately by increasing commodity costs, facility under-utilization driven by lower revenues and increased employee benefit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increased by 8%, or $1.2 million, to $16.7 million in the third quarter of Fiscal 2021, driven by increased employee benefit costs in the third quarter of Fiscal 2021. In the third quarter of Fiscal 2020, employee benefit costs and travel-related expenses were lower as a result of the COVID-19 pandemic. Selling, general and administrative expenses as a percentage of revenues was 14% during the third quarter of Fiscal 2021 compared to 13% during the third quarter of Fiscal 2020, primarily due to the decrease in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third quarter of Fiscal 2020, as a result of the COVID-19 pandemic, reductions in oil and gas demand and volatility of commodity prices, we implemented workforce reductions across the business and recorded $1.4 million of separation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Provision/Benefit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recorded an income tax provision of $0.7 million in the third quarter of Fiscal 2021, compared to an income tax benefit of $0.6 million in the third quarter of Fiscal 2020. The effective tax rate for the third quarter of Fiscal 2021 was negative 53%, compared to an effective tax rate of negative 19% in the third quarter of Fiscal 2020. For the three months ended June 30, 2021, the effective tax rate was negatively impacted by our inability to recognize a tax benefit related to losses in the United Kingdom and the change in the estimated relative amounts of income/loss recognized in the various tax jurisdictions. The estimated Research and Development Tax Credit (R&amp;D Tax Credit) and the utilization of net operating loss carryforwards in Canada that were fully reserved with a valuation allowance provided a tax benefit for the three months ended June 30, 2021 and 2020. Additionally, in the third quarter of Fiscal 2020, we recognized a benefit primarily from the settlement of an Internal Revenue Service (IRS) audit for $1.7 million.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Net Income/Loss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third quarter of Fiscal 2021, we recorded a net loss of $2.0 million, or a loss of $0.17 per diluted share, compared to net income of $3.5 million, or $0.30 per diluted share, in the third quarter of Fiscal 2020. This decrease is attributable to lower revenues and the associated negative operating leverage in the third fiscal quarter of 2021 versus the prior year as well as increasing commodity costs for both copper and steel.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order backlog at June 30, 2021 was $425.5 million, a decrease of 3% from $436.6 million at March 31, 2021 and a decrease of 20% from $532.2 million of backlog at June 30, 2020. Bookings, net of cancellations and scope reductions, increased by 27% in the third quarter of Fiscal 2021 to $103.2 million, compared to $81.4 million in the third quarter of Fiscal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2021 Compared to the Nine Months Ended June 30, 2020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Profit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Revenues decreased by 16%, or $62.7 million, to $341.1 million in the nine months ended June 30, 2021, due to a decrease in orders as well as project delays and cancellations of potential projects associated with the global economic impact resulting from the COVID-19 pandemic and associated reduction in demand across our industrial end markets. Domestic revenues decreased by 19%, or $61.3 million, to $256.9 million in the nine months ended June 30, 2021. International revenues decreased by 2%, or $1.4 million, to $84.2 million. Our international revenues include both revenues generated from our international facilities as well as revenues from export projects generated at our domestic facilities.</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our oil and gas markets decreased by 12%, or $18.4 million, to $139.4 million in the nine months ended June 30, 2021. Petrochemical revenue decreased by 68%, or $72.3 million, to $34.7 million in the nine months ended June 30, 2021. Revenue from utility markets increased by 29%, or $18.8 million, to $82.8 million, and traction market revenue increased by 35%, or $10.9 million, to $42.3 million in the nine months ended June 30, 2021. Revenue from all other markets combined decreased by 4%, or $1.7 million, to $41.8 million in the nine months ended June 30, 2021.</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reduction in revenue led to a reduction in gross profit of 28%, or $20.3 million, as compared to the first nine months of Fiscal 2020. However, gross profit of $52.6 million for the first nine months of Fiscal 2021 benefited from favorable close out gains on certain projects resulting from cost and productivity efficiencies and to a lesser extent from cancellation fees from certain contracts in our North American manufacturing facilities, which was partially offset by higher commodity prices and factory underutilization. Gross profit as a percentage of revenues decreased to 15% in the nine months ended June 30, 2021, compared to 18% in the nine months ended June 30, 2020 as a result of the reduction in revenue noted above.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by 2%, or $1.1 million, to $50.3 million in the nine months ended June 30, 2021, partially due to the restructuring action taken in the third quarter of Fiscal 2020 as well as lower travel-related costs. Selling, general and administrative expenses, as a percentage of revenues increased to 15% during the nine months ended June 30, 2021, compared to 13% during the nine months ended June 30, 2020, primarily due to the decrease in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the COVID-19 pandemic, reductions in oil and gas demand and volatility of commodity prices, we implemented workforce reductions across the business. As a result, we recorded $1.4 million of separation costs during the third quarter of Fiscal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Provision/Benefit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an income tax benefit of $0.1 million in the nine months ended June 30, 2021, compared to an income tax provision of $2.1 million in the nine months ended June 30, 2020. The effective tax rate for the nine months ended June 30, 2021 was 5%, compared to an effective tax rate of 13% for the nine months ended June 30, 2020. For the nine months ended June 30, 2021 and 2020, the effective tax rate was negatively impacted by our inability to recognize a tax benefit related to losses in the United Kingdom and the estimated relative amounts of income/loss recognized in various jurisdictions. The estimated R&amp;D Tax Credit as well as the utilization of net operating loss carryforwards in Canada that were fully reserved with a valuation allowance provided a tax benefit for the nine months ended June 30, 2021.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Net Income/Loss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nine months ended June 30, 2021, we recorded a net loss of $2.6 million, or a loss of $0.22 per diluted share, compared to net income of $13.7 million, or $1.17 per diluted share, in the nine months ended June 30, 2020, primarily due to a decline in revenues and gross profit resulting from lower orders and project delays caused by the economic impact resulting from the COVID-19 pandemic and the associated reduction in global demand across our industrial end markets.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order backlog at June 30, 2021 was $425.5 million, a decrease of 11% from $476.8 million at September 30, 2020. Bookings, net of cancellations and scope reductions, decreased by 46% during the nine months ended June 30, 2021 to $282.9 million, compared to $519.5 million in the nine months ended June 30, 2020. The decrease in bookings was primarily due to the large contract awarded in the second quarter of Fiscal 2020 and decreased global demand across our industrial end markets.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noted in "Overview" above, the markets in which we participate are capital-intensive and cyclical in nature. A significant portion of our revenues has historically been from the oil, gas and petrochemical markets. Oil and gas commodity price levels have been unstable over the last several years, and our customers have in certain cases delayed or cancelled some of their major capital investment projects. Beginning in late Fiscal 2018 through the first quarter of Fiscal 2020, our customers' decisions to invest in projects in our key oil and gas and petrochemical markets were influenced to some extent by relative stabilization of commodity prices and the increased global demand for cleaner-burning fuels during that period of time. We believe that this change in market sentiment during that period of time had a favorable impact on our orders and backlog entering Fiscal 2020. However, the uncertainty in oil prices and the global economic impacts from COVID-19 have had, and may continue to have, a negative impact on our business going forward, as discussed in more detail below. Specific to the energy industry focus on transitioning to natural gas and cleaner-burning fuels, the business was awarded a substantial contract in Fiscal 2020 that will support the integrated electrical distribution requirements for a large domestic industrial complex and should be substantially completed in Fiscal 2022.</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operating results are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which may negatively impact our ability to cover our fixed costs. The strong commercial activity and subsequent orders in Fiscal 2018 and 2019 led to solid revenue and operating results for Fiscal 2020. We began to experience lower commercial activity in Fiscal 2020 driven in large part from the uncertainty resulting from the COVID-19 pandemic, as discussed in "Overview" above. Considering the long cycle nature of our business, we anticipate these cyclical conditions may persist throughout Fiscal 2021 and into early Fiscal 2022. We will continue to monitor the variables that impact our markets while adjusting to the global conditions in order to maintain competitive cost and technological advantages in the markets that we serve.</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consequences of a prolonged economic decline could include, but are not limited to, a continued reduction in commercial and industrial activity. Accordingly, the Company cannot reasonably estimate the duration or severity of this pandemic, or the extent to which the disruption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current assets exceeded current liabilities by 2.7 times, and our debt to total capitalization was 0.13%.</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and short-term investments decreased to $128.8 million at June 30, 2021, compared to $178.9 million at September 30, 2020. This decrease in cash was primarily driven by the timing of contract billing milestones. We believe that our strong working capital position, available borrowings under our credit facility and available cash should be sufficient to finance future operating activities, capital improvements, research and development initiatives and debt repayments for the foreseeable future.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8"/>
          <w:szCs w:val="18"/>
          <w:color w:val="auto"/>
        </w:rPr>
        <w:t>We have a credit agreement with Bank of America, N.A. (the "U.S. Revolver") which is a $75.0 million revolving credit facility available for both borrowings and letters of credit and expires September 27, 2024. On March 12, 2021, we entered into a first amendment to the U.S. Revolver which, among other things, amended certain terms related to the calculation of the consolidated leverage ratio from gross leverage to net leverage. As a result of the first amendment,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June 30, 2021, there were no amounts borrowed under the U.S. Revolver, and letters of credit outstanding were $39.9 million. As of June 30, 2021, $35.1 million was available for the issuance of letters of credit and borrowing under the U.S. Revolver. Total long-term debt, including current maturities, totaled $0.4 million at June 30, 2021 related to outstanding industrial development revenue bonds. We are required to maintain certain financial covenants, the most significant of which are a consolidated net leverage ratio of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which includes letters of credit. An increase in indebtedness or a decrease in EBITDAS could restrict our ability to issue letters of credit or borrow under the U.S. Revolver. For further information regarding our debt, see Notes E and F of Notes to Condensed Consolidated Financial Statements.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Approximately $27.9 million of our cash, cash equivalents and short-term investments at June 30, 2021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activities used $39.7 million during the nine months ended June 30, 2021 and provided $53.4 million during the same period in Fiscal 2020. Cash flow from operations is primarily influenced by the timing of milestone payments from our customers, project volume and the payment terms with our suppliers. This decrease in operating cash flow was primarily due to the timing of contract billing milestones.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Investing activities used $2.0 million during the nine months ended June 30, 2021 compared to $5.5 million used during the same period in Fiscal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cash used by investing activities in the first nine months of Fiscal 2021 was primarily due to a decrease in capital expenditures.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proceeds received from a Company-owned life insurance policy related to a retired employee provided investing cash flow in Fiscal 2021.</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$10.1 million during each of the nine months ended June 30, 2021 and 2020, which primarily consisted of approximately $9.1 million of dividends paid in each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A of Notes to Condensed Consolidated Financial Statements included in this report for information on new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as disclosed in our Annual Report on Form 10-K for the fiscal year ended September 30, 2020, which was filed with the SEC on December 9,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markets, including onshore and offshore oil and gas production, pipeline, refining and liquefied natural gas terminals, as well as petrochemical, electric utility and light traction power. Occasionally, our customers may include an engineering, procurement and construction (EPC) firm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price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foreign operations that expose us to foreign currency exchange rate risk in the British Pound Sterling, the Canadian Dollar and to a lesser extent the Mexican Peso and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For the nine months ended June 30, 2021, our realized foreign exchange loss was $0.2 million and is included in selling, general and administrative expenses in the Condensed Consolidated Statements of Operations.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accumulated other comprehensive loss, which is included as a component of stockholders’ equity, was $18.0 million as of June 30, 2021, a decrease of $6.5 million compared to September 30, 2020. This decrease in comprehensive loss was primarily a result of fluctuations in the currency exchange rates for the Canadian Dollar and British Pound Sterling as we remeasured the foreign operations of those divisions.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Rules 13a-15 or 15d-15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the Company's Annual Report on Form 10-K for the fiscal year ended September 30, 2020, which was filed with the SEC on December 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383" w:lineRule="exact"/>
        <w:rPr>
          <w:sz w:val="20"/>
          <w:szCs w:val="20"/>
          <w:color w:val="auto"/>
        </w:rPr>
      </w:pPr>
    </w:p>
    <w:p>
      <w:pPr>
        <w:ind w:left="20"/>
        <w:spacing w:after="0"/>
        <w:tabs>
          <w:tab w:leader="none" w:pos="57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1" w:lineRule="exact"/>
        <w:rPr>
          <w:sz w:val="20"/>
          <w:szCs w:val="20"/>
          <w:color w:val="auto"/>
        </w:rPr>
      </w:pPr>
    </w:p>
    <w:p>
      <w:pPr>
        <w:ind w:left="900"/>
        <w:spacing w:after="0"/>
        <w:tabs>
          <w:tab w:leader="none" w:pos="1320" w:val="left"/>
          <w:tab w:leader="none" w:pos="1660" w:val="left"/>
        </w:tabs>
        <w:rPr>
          <w:rFonts w:ascii="Arial" w:cs="Arial" w:eastAsia="Arial" w:hAnsi="Arial"/>
          <w:sz w:val="17"/>
          <w:szCs w:val="17"/>
          <w:u w:val="single" w:color="auto"/>
          <w:color w:val="0000FF"/>
        </w:rPr>
      </w:pPr>
      <w:r>
        <w:rPr>
          <w:rFonts w:ascii="Arial" w:cs="Arial" w:eastAsia="Arial" w:hAnsi="Arial"/>
          <w:sz w:val="18"/>
          <w:szCs w:val="18"/>
          <w:color w:val="auto"/>
        </w:rPr>
        <w:t>3.1</w:t>
        <w:tab/>
        <w:t>—</w:t>
      </w:r>
      <w:r>
        <w:rPr>
          <w:sz w:val="20"/>
          <w:szCs w:val="20"/>
          <w:color w:val="auto"/>
        </w:rPr>
        <w:tab/>
      </w:r>
      <w:hyperlink r:id="rId45">
        <w:r>
          <w:rPr>
            <w:rFonts w:ascii="Arial" w:cs="Arial" w:eastAsia="Arial" w:hAnsi="Arial"/>
            <w:sz w:val="17"/>
            <w:szCs w:val="17"/>
            <w:u w:val="single" w:color="auto"/>
            <w:color w:val="0000FF"/>
          </w:rPr>
          <w:t>Certificate of Incorporation of Powell Industries, Inc. filed with the Secretary of State of the State of Delaware on February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062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1680"/>
        <w:spacing w:after="0"/>
        <w:rPr>
          <w:rFonts w:ascii="Arial" w:cs="Arial" w:eastAsia="Arial" w:hAnsi="Arial"/>
          <w:sz w:val="18"/>
          <w:szCs w:val="18"/>
          <w:color w:val="0000FF"/>
        </w:rPr>
      </w:pPr>
      <w:hyperlink r:id="rId45">
        <w:r>
          <w:rPr>
            <w:rFonts w:ascii="Arial" w:cs="Arial" w:eastAsia="Arial" w:hAnsi="Arial"/>
            <w:sz w:val="18"/>
            <w:szCs w:val="18"/>
            <w:u w:val="single" w:color="auto"/>
            <w:color w:val="0000FF"/>
          </w:rPr>
          <w:t>2004 (filed as Exhibit 3.1 to our Form 8-A/A filed November 1, 2004, and incorporated herein by reference)</w:t>
        </w:r>
        <w:r>
          <w:rPr>
            <w:rFonts w:ascii="Arial" w:cs="Arial" w:eastAsia="Arial" w:hAnsi="Arial"/>
            <w:sz w:val="18"/>
            <w:szCs w:val="18"/>
            <w:color w:val="000000"/>
          </w:rPr>
          <w:t>.</w:t>
        </w:r>
      </w:hyperlink>
    </w:p>
    <w:p>
      <w:pPr>
        <w:spacing w:after="0" w:line="169" w:lineRule="exact"/>
        <w:rPr>
          <w:sz w:val="20"/>
          <w:szCs w:val="20"/>
          <w:color w:val="auto"/>
        </w:rPr>
      </w:pPr>
    </w:p>
    <w:p>
      <w:pPr>
        <w:ind w:left="1340" w:hanging="773"/>
        <w:spacing w:after="0" w:line="235" w:lineRule="auto"/>
        <w:tabs>
          <w:tab w:leader="none" w:pos="1320" w:val="left"/>
        </w:tabs>
        <w:rPr>
          <w:rFonts w:ascii="Arial" w:cs="Arial" w:eastAsia="Arial" w:hAnsi="Arial"/>
          <w:sz w:val="18"/>
          <w:szCs w:val="18"/>
          <w:u w:val="single" w:color="auto"/>
          <w:color w:val="0000FF"/>
        </w:rPr>
      </w:pPr>
      <w:r>
        <w:rPr>
          <w:rFonts w:ascii="Arial" w:cs="Arial" w:eastAsia="Arial" w:hAnsi="Arial"/>
          <w:sz w:val="18"/>
          <w:szCs w:val="18"/>
          <w:color w:val="auto"/>
        </w:rPr>
        <w:t>3.2</w:t>
        <w:tab/>
        <w:t xml:space="preserve">— </w:t>
      </w:r>
      <w:hyperlink r:id="rId47">
        <w:r>
          <w:rPr>
            <w:rFonts w:ascii="Arial" w:cs="Arial" w:eastAsia="Arial" w:hAnsi="Arial"/>
            <w:sz w:val="18"/>
            <w:szCs w:val="18"/>
            <w:u w:val="single" w:color="auto"/>
            <w:color w:val="0000FF"/>
          </w:rPr>
          <w:t>Amended and Restated Bylaws of Powell Industries, Inc. (filed as Exhibit 3.1 to our Form 8-K filed October 12, 2012, and</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FF"/>
          </w:rPr>
          <w:t>incorporated herein by reference).</w:t>
        </w:r>
      </w:hyperlink>
    </w:p>
    <w:p>
      <w:pPr>
        <w:spacing w:after="0" w:line="146" w:lineRule="exact"/>
        <w:rPr>
          <w:sz w:val="20"/>
          <w:szCs w:val="20"/>
          <w:color w:val="auto"/>
        </w:rPr>
      </w:pPr>
    </w:p>
    <w:p>
      <w:pPr>
        <w:ind w:left="900"/>
        <w:spacing w:after="0"/>
        <w:tabs>
          <w:tab w:leader="none" w:pos="1320" w:val="left"/>
          <w:tab w:leader="none" w:pos="1660" w:val="left"/>
        </w:tabs>
        <w:rPr>
          <w:rFonts w:ascii="Arial" w:cs="Arial" w:eastAsia="Arial" w:hAnsi="Arial"/>
          <w:sz w:val="16"/>
          <w:szCs w:val="16"/>
          <w:u w:val="single" w:color="auto"/>
          <w:color w:val="0000FF"/>
        </w:rPr>
      </w:pPr>
      <w:r>
        <w:rPr>
          <w:rFonts w:ascii="Arial" w:cs="Arial" w:eastAsia="Arial" w:hAnsi="Arial"/>
          <w:sz w:val="18"/>
          <w:szCs w:val="18"/>
          <w:color w:val="auto"/>
        </w:rPr>
        <w:t>3.3</w:t>
        <w:tab/>
        <w:t>—</w:t>
      </w:r>
      <w:r>
        <w:rPr>
          <w:sz w:val="20"/>
          <w:szCs w:val="20"/>
          <w:color w:val="auto"/>
        </w:rPr>
        <w:tab/>
      </w:r>
      <w:hyperlink r:id="rId48">
        <w:r>
          <w:rPr>
            <w:rFonts w:ascii="Arial" w:cs="Arial" w:eastAsia="Arial" w:hAnsi="Arial"/>
            <w:sz w:val="16"/>
            <w:szCs w:val="16"/>
            <w:u w:val="single" w:color="auto"/>
            <w:color w:val="0000FF"/>
          </w:rPr>
          <w:t>Amendment No. 1 to Amended and Restated Bylaws of Powell Industries, Inc. (filed as Exhibit 3.1 to our Form 8-K filed February</w:t>
        </w:r>
      </w:hyperlink>
    </w:p>
    <w:p>
      <w:pPr>
        <w:ind w:left="1680"/>
        <w:spacing w:after="0"/>
        <w:rPr>
          <w:rFonts w:ascii="Arial" w:cs="Arial" w:eastAsia="Arial" w:hAnsi="Arial"/>
          <w:sz w:val="18"/>
          <w:szCs w:val="18"/>
          <w:color w:val="0000FF"/>
        </w:rPr>
      </w:pPr>
      <w:hyperlink r:id="rId48">
        <w:r>
          <w:rPr>
            <w:rFonts w:ascii="Arial" w:cs="Arial" w:eastAsia="Arial" w:hAnsi="Arial"/>
            <w:sz w:val="18"/>
            <w:szCs w:val="18"/>
            <w:u w:val="single" w:color="auto"/>
            <w:color w:val="0000FF"/>
          </w:rPr>
          <w:t>26, 2021, and incorporated herein by reference)</w:t>
        </w:r>
        <w:r>
          <w:rPr>
            <w:rFonts w:ascii="Arial" w:cs="Arial" w:eastAsia="Arial" w:hAnsi="Arial"/>
            <w:sz w:val="18"/>
            <w:szCs w:val="18"/>
            <w:color w:val="000000"/>
          </w:rPr>
          <w:t>.</w:t>
        </w:r>
      </w:hyperlink>
    </w:p>
    <w:p>
      <w:pPr>
        <w:spacing w:after="0" w:line="169" w:lineRule="exact"/>
        <w:rPr>
          <w:sz w:val="20"/>
          <w:szCs w:val="20"/>
          <w:color w:val="auto"/>
        </w:rPr>
      </w:pPr>
    </w:p>
    <w:p>
      <w:pPr>
        <w:ind w:left="780"/>
        <w:spacing w:after="0"/>
        <w:tabs>
          <w:tab w:leader="none" w:pos="1320" w:val="left"/>
          <w:tab w:leader="none" w:pos="1660" w:val="left"/>
        </w:tabs>
        <w:rPr>
          <w:rFonts w:ascii="Arial" w:cs="Arial" w:eastAsia="Arial" w:hAnsi="Arial"/>
          <w:sz w:val="16"/>
          <w:szCs w:val="16"/>
          <w:u w:val="single" w:color="auto"/>
          <w:color w:val="0000FF"/>
        </w:rPr>
      </w:pPr>
      <w:r>
        <w:rPr>
          <w:rFonts w:ascii="Arial" w:cs="Arial" w:eastAsia="Arial" w:hAnsi="Arial"/>
          <w:sz w:val="18"/>
          <w:szCs w:val="18"/>
          <w:color w:val="auto"/>
        </w:rPr>
        <w:t>*31.1</w:t>
        <w:tab/>
        <w:t>—</w:t>
      </w:r>
      <w:r>
        <w:rPr>
          <w:sz w:val="20"/>
          <w:szCs w:val="20"/>
          <w:color w:val="auto"/>
        </w:rPr>
        <w:tab/>
      </w:r>
      <w:hyperlink w:anchor="page32">
        <w:r>
          <w:rPr>
            <w:rFonts w:ascii="Arial" w:cs="Arial" w:eastAsia="Arial" w:hAnsi="Arial"/>
            <w:sz w:val="16"/>
            <w:szCs w:val="16"/>
            <w:u w:val="single" w:color="auto"/>
            <w:color w:val="0000FF"/>
          </w:rPr>
          <w:t>Certification of Chief Executive Officer pursuant to Rule 13a-14(a)/15d-14(a).</w:t>
        </w:r>
      </w:hyperlink>
    </w:p>
    <w:p>
      <w:pPr>
        <w:spacing w:after="0" w:line="185" w:lineRule="exact"/>
        <w:rPr>
          <w:sz w:val="20"/>
          <w:szCs w:val="20"/>
          <w:color w:val="auto"/>
        </w:rPr>
      </w:pPr>
    </w:p>
    <w:p>
      <w:pPr>
        <w:ind w:left="780"/>
        <w:spacing w:after="0"/>
        <w:tabs>
          <w:tab w:leader="none" w:pos="1320" w:val="left"/>
          <w:tab w:leader="none" w:pos="1660" w:val="left"/>
        </w:tabs>
        <w:rPr>
          <w:rFonts w:ascii="Arial" w:cs="Arial" w:eastAsia="Arial" w:hAnsi="Arial"/>
          <w:sz w:val="16"/>
          <w:szCs w:val="16"/>
          <w:u w:val="single" w:color="auto"/>
          <w:color w:val="0000FF"/>
        </w:rPr>
      </w:pPr>
      <w:r>
        <w:rPr>
          <w:rFonts w:ascii="Arial" w:cs="Arial" w:eastAsia="Arial" w:hAnsi="Arial"/>
          <w:sz w:val="18"/>
          <w:szCs w:val="18"/>
          <w:color w:val="auto"/>
        </w:rPr>
        <w:t>*31.2</w:t>
        <w:tab/>
        <w:t>—</w:t>
      </w:r>
      <w:r>
        <w:rPr>
          <w:sz w:val="20"/>
          <w:szCs w:val="20"/>
          <w:color w:val="auto"/>
        </w:rPr>
        <w:tab/>
      </w:r>
      <w:hyperlink w:anchor="page33">
        <w:r>
          <w:rPr>
            <w:rFonts w:ascii="Arial" w:cs="Arial" w:eastAsia="Arial" w:hAnsi="Arial"/>
            <w:sz w:val="16"/>
            <w:szCs w:val="16"/>
            <w:u w:val="single" w:color="auto"/>
            <w:color w:val="0000FF"/>
          </w:rPr>
          <w:t>Certification of Chief Financial Officer pursuant to Rule 13a-14(a)/15d-14(a).</w:t>
        </w:r>
      </w:hyperlink>
    </w:p>
    <w:p>
      <w:pPr>
        <w:spacing w:after="0" w:line="185" w:lineRule="exact"/>
        <w:rPr>
          <w:sz w:val="20"/>
          <w:szCs w:val="20"/>
          <w:color w:val="auto"/>
        </w:rPr>
      </w:pPr>
    </w:p>
    <w:p>
      <w:pPr>
        <w:ind w:left="1340" w:hanging="989"/>
        <w:spacing w:after="0" w:line="235" w:lineRule="auto"/>
        <w:tabs>
          <w:tab w:leader="none" w:pos="1320" w:val="left"/>
        </w:tabs>
        <w:rPr>
          <w:rFonts w:ascii="Arial" w:cs="Arial" w:eastAsia="Arial" w:hAnsi="Arial"/>
          <w:sz w:val="18"/>
          <w:szCs w:val="18"/>
          <w:u w:val="single" w:color="auto"/>
          <w:color w:val="0000FF"/>
        </w:rPr>
      </w:pPr>
      <w:r>
        <w:rPr>
          <w:rFonts w:ascii="Arial" w:cs="Arial" w:eastAsia="Arial" w:hAnsi="Arial"/>
          <w:sz w:val="18"/>
          <w:szCs w:val="18"/>
          <w:color w:val="auto"/>
        </w:rPr>
        <w:t>**32.1</w:t>
        <w:tab/>
        <w:t xml:space="preserve">— </w:t>
      </w:r>
      <w:hyperlink w:anchor="page34">
        <w:r>
          <w:rPr>
            <w:rFonts w:ascii="Arial" w:cs="Arial" w:eastAsia="Arial" w:hAnsi="Arial"/>
            <w:sz w:val="18"/>
            <w:szCs w:val="18"/>
            <w:u w:val="single" w:color="auto"/>
            <w:color w:val="0000FF"/>
          </w:rPr>
          <w:t>Certification of Chief Executive Officer Pursuant to Section 18 U.S.C. Section 1350, as Adopted Pursuant to Section 906 of the</w:t>
        </w:r>
      </w:hyperlink>
      <w:r>
        <w:rPr>
          <w:rFonts w:ascii="Arial" w:cs="Arial" w:eastAsia="Arial" w:hAnsi="Arial"/>
          <w:sz w:val="18"/>
          <w:szCs w:val="18"/>
          <w:color w:val="auto"/>
        </w:rPr>
        <w:t xml:space="preserve"> </w:t>
      </w:r>
      <w:hyperlink w:anchor="page34">
        <w:r>
          <w:rPr>
            <w:rFonts w:ascii="Arial" w:cs="Arial" w:eastAsia="Arial" w:hAnsi="Arial"/>
            <w:sz w:val="18"/>
            <w:szCs w:val="18"/>
            <w:u w:val="single" w:color="auto"/>
            <w:color w:val="0000FF"/>
          </w:rPr>
          <w:t>Sarbanes-Oxley Act of 2002.</w:t>
        </w:r>
      </w:hyperlink>
    </w:p>
    <w:p>
      <w:pPr>
        <w:spacing w:after="0" w:line="162" w:lineRule="exact"/>
        <w:rPr>
          <w:sz w:val="20"/>
          <w:szCs w:val="20"/>
          <w:color w:val="auto"/>
        </w:rPr>
      </w:pPr>
    </w:p>
    <w:p>
      <w:pPr>
        <w:ind w:left="1340" w:hanging="989"/>
        <w:spacing w:after="0" w:line="235" w:lineRule="auto"/>
        <w:tabs>
          <w:tab w:leader="none" w:pos="1320" w:val="left"/>
        </w:tabs>
        <w:rPr>
          <w:rFonts w:ascii="Arial" w:cs="Arial" w:eastAsia="Arial" w:hAnsi="Arial"/>
          <w:sz w:val="18"/>
          <w:szCs w:val="18"/>
          <w:u w:val="single" w:color="auto"/>
          <w:color w:val="0000FF"/>
        </w:rPr>
      </w:pPr>
      <w:r>
        <w:rPr>
          <w:rFonts w:ascii="Arial" w:cs="Arial" w:eastAsia="Arial" w:hAnsi="Arial"/>
          <w:sz w:val="18"/>
          <w:szCs w:val="18"/>
          <w:color w:val="auto"/>
        </w:rPr>
        <w:t>**32.2</w:t>
        <w:tab/>
        <w:t xml:space="preserve">— </w:t>
      </w:r>
      <w:hyperlink w:anchor="page35">
        <w:r>
          <w:rPr>
            <w:rFonts w:ascii="Arial" w:cs="Arial" w:eastAsia="Arial" w:hAnsi="Arial"/>
            <w:sz w:val="18"/>
            <w:szCs w:val="18"/>
            <w:u w:val="single" w:color="auto"/>
            <w:color w:val="0000FF"/>
          </w:rPr>
          <w:t>Certification of Chief Financial Officer Pursuant to Section 18 U.S.C. Section 1350, as Adopted Pursuant to Section 906 of the</w:t>
        </w:r>
      </w:hyperlink>
      <w:r>
        <w:rPr>
          <w:rFonts w:ascii="Arial" w:cs="Arial" w:eastAsia="Arial" w:hAnsi="Arial"/>
          <w:sz w:val="18"/>
          <w:szCs w:val="18"/>
          <w:color w:val="auto"/>
        </w:rPr>
        <w:t xml:space="preserve"> </w:t>
      </w:r>
      <w:hyperlink w:anchor="page35">
        <w:r>
          <w:rPr>
            <w:rFonts w:ascii="Arial" w:cs="Arial" w:eastAsia="Arial" w:hAnsi="Arial"/>
            <w:sz w:val="18"/>
            <w:szCs w:val="18"/>
            <w:u w:val="single" w:color="auto"/>
            <w:color w:val="0000FF"/>
          </w:rPr>
          <w:t>Sarbanes-Oxley Act of 2002.</w:t>
        </w:r>
      </w:hyperlink>
    </w:p>
    <w:p>
      <w:pPr>
        <w:spacing w:after="0" w:line="162" w:lineRule="exact"/>
        <w:rPr>
          <w:sz w:val="20"/>
          <w:szCs w:val="20"/>
          <w:color w:val="auto"/>
        </w:rPr>
      </w:pPr>
    </w:p>
    <w:p>
      <w:pPr>
        <w:ind w:left="480"/>
        <w:spacing w:after="0"/>
        <w:tabs>
          <w:tab w:leader="none" w:pos="1320" w:val="left"/>
          <w:tab w:leader="none" w:pos="166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Inline XBRL Instance Document</w:t>
      </w:r>
    </w:p>
    <w:p>
      <w:pPr>
        <w:spacing w:after="0" w:line="185" w:lineRule="exact"/>
        <w:rPr>
          <w:sz w:val="20"/>
          <w:szCs w:val="20"/>
          <w:color w:val="auto"/>
        </w:rPr>
      </w:pPr>
    </w:p>
    <w:p>
      <w:pPr>
        <w:ind w:left="420"/>
        <w:spacing w:after="0"/>
        <w:tabs>
          <w:tab w:leader="none" w:pos="1320" w:val="left"/>
          <w:tab w:leader="none" w:pos="166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Inline XBRL Taxonomy Extension Schema Document</w:t>
      </w:r>
    </w:p>
    <w:p>
      <w:pPr>
        <w:spacing w:after="0" w:line="185" w:lineRule="exact"/>
        <w:rPr>
          <w:sz w:val="20"/>
          <w:szCs w:val="20"/>
          <w:color w:val="auto"/>
        </w:rPr>
      </w:pPr>
    </w:p>
    <w:p>
      <w:pPr>
        <w:ind w:left="420"/>
        <w:spacing w:after="0"/>
        <w:tabs>
          <w:tab w:leader="none" w:pos="1320" w:val="left"/>
          <w:tab w:leader="none" w:pos="166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Inline XBRL Taxonomy Extension Calculation Linkbase Document</w:t>
      </w:r>
    </w:p>
    <w:p>
      <w:pPr>
        <w:spacing w:after="0" w:line="185" w:lineRule="exact"/>
        <w:rPr>
          <w:sz w:val="20"/>
          <w:szCs w:val="20"/>
          <w:color w:val="auto"/>
        </w:rPr>
      </w:pPr>
    </w:p>
    <w:p>
      <w:pPr>
        <w:ind w:left="440"/>
        <w:spacing w:after="0"/>
        <w:tabs>
          <w:tab w:leader="none" w:pos="1320" w:val="left"/>
          <w:tab w:leader="none" w:pos="166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Inline XBRL Taxonomy Extension Definition Linkbase Document</w:t>
      </w:r>
    </w:p>
    <w:p>
      <w:pPr>
        <w:spacing w:after="0" w:line="185" w:lineRule="exact"/>
        <w:rPr>
          <w:sz w:val="20"/>
          <w:szCs w:val="20"/>
          <w:color w:val="auto"/>
        </w:rPr>
      </w:pPr>
    </w:p>
    <w:p>
      <w:pPr>
        <w:ind w:left="420"/>
        <w:spacing w:after="0"/>
        <w:tabs>
          <w:tab w:leader="none" w:pos="1320" w:val="left"/>
          <w:tab w:leader="none" w:pos="166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Inline XBRL Taxonomy Extension Label Linkbase Document</w:t>
      </w:r>
    </w:p>
    <w:p>
      <w:pPr>
        <w:spacing w:after="0" w:line="185" w:lineRule="exact"/>
        <w:rPr>
          <w:sz w:val="20"/>
          <w:szCs w:val="20"/>
          <w:color w:val="auto"/>
        </w:rPr>
      </w:pPr>
    </w:p>
    <w:p>
      <w:pPr>
        <w:ind w:left="440"/>
        <w:spacing w:after="0"/>
        <w:tabs>
          <w:tab w:leader="none" w:pos="1320" w:val="left"/>
          <w:tab w:leader="none" w:pos="166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Inline XBRL Taxonomy Extension Presentation Linkbase Document</w:t>
      </w:r>
    </w:p>
    <w:p>
      <w:pPr>
        <w:spacing w:after="0" w:line="225" w:lineRule="exact"/>
        <w:rPr>
          <w:sz w:val="20"/>
          <w:szCs w:val="20"/>
          <w:color w:val="auto"/>
        </w:rPr>
      </w:pPr>
    </w:p>
    <w:p>
      <w:pPr>
        <w:ind w:left="820"/>
        <w:spacing w:after="0"/>
        <w:tabs>
          <w:tab w:leader="none" w:pos="1320" w:val="left"/>
          <w:tab w:leader="none" w:pos="1660" w:val="left"/>
        </w:tabs>
        <w:rPr>
          <w:sz w:val="20"/>
          <w:szCs w:val="20"/>
          <w:color w:val="auto"/>
        </w:rPr>
      </w:pPr>
      <w:r>
        <w:rPr>
          <w:rFonts w:ascii="Arial" w:cs="Arial" w:eastAsia="Arial" w:hAnsi="Arial"/>
          <w:sz w:val="18"/>
          <w:szCs w:val="18"/>
          <w:color w:val="auto"/>
        </w:rPr>
        <w:t>*104</w:t>
        <w:tab/>
        <w:t>—</w:t>
      </w:r>
      <w:r>
        <w:rPr>
          <w:sz w:val="20"/>
          <w:szCs w:val="20"/>
          <w:color w:val="auto"/>
        </w:rPr>
        <w:tab/>
      </w:r>
      <w:r>
        <w:rPr>
          <w:rFonts w:ascii="Arial" w:cs="Arial" w:eastAsia="Arial" w:hAnsi="Arial"/>
          <w:sz w:val="16"/>
          <w:szCs w:val="16"/>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045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2" w:right="39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7820" w:type="dxa"/>
            <w:vAlign w:val="bottom"/>
            <w:gridSpan w:val="2"/>
          </w:tcPr>
          <w:p>
            <w:pPr>
              <w:ind w:left="1820"/>
              <w:spacing w:after="0"/>
              <w:rPr>
                <w:sz w:val="20"/>
                <w:szCs w:val="20"/>
                <w:color w:val="auto"/>
              </w:rPr>
            </w:pPr>
            <w:r>
              <w:rPr>
                <w:rFonts w:ascii="Arial" w:cs="Arial" w:eastAsia="Arial" w:hAnsi="Arial"/>
                <w:sz w:val="18"/>
                <w:szCs w:val="18"/>
                <w:color w:val="auto"/>
              </w:rPr>
              <w:t>POWELL INDUSTRIES, INC.</w:t>
            </w:r>
          </w:p>
        </w:tc>
      </w:tr>
      <w:tr>
        <w:trPr>
          <w:trHeight w:val="230"/>
        </w:trPr>
        <w:tc>
          <w:tcPr>
            <w:tcW w:w="3360" w:type="dxa"/>
            <w:vAlign w:val="bottom"/>
          </w:tcPr>
          <w:p>
            <w:pPr>
              <w:spacing w:after="0"/>
              <w:rPr>
                <w:sz w:val="20"/>
                <w:szCs w:val="20"/>
                <w:color w:val="auto"/>
              </w:rPr>
            </w:pPr>
          </w:p>
        </w:tc>
        <w:tc>
          <w:tcPr>
            <w:tcW w:w="7820" w:type="dxa"/>
            <w:vAlign w:val="bottom"/>
            <w:gridSpan w:val="2"/>
          </w:tcPr>
          <w:p>
            <w:pPr>
              <w:ind w:left="1820"/>
              <w:spacing w:after="0"/>
              <w:rPr>
                <w:sz w:val="20"/>
                <w:szCs w:val="20"/>
                <w:color w:val="auto"/>
              </w:rPr>
            </w:pPr>
            <w:r>
              <w:rPr>
                <w:rFonts w:ascii="Arial" w:cs="Arial" w:eastAsia="Arial" w:hAnsi="Arial"/>
                <w:sz w:val="18"/>
                <w:szCs w:val="18"/>
                <w:color w:val="auto"/>
              </w:rPr>
              <w:t>(Registrant)</w:t>
            </w:r>
          </w:p>
        </w:tc>
      </w:tr>
      <w:tr>
        <w:trPr>
          <w:trHeight w:val="459"/>
        </w:trPr>
        <w:tc>
          <w:tcPr>
            <w:tcW w:w="3360" w:type="dxa"/>
            <w:vAlign w:val="bottom"/>
          </w:tcPr>
          <w:p>
            <w:pPr>
              <w:spacing w:after="0"/>
              <w:rPr>
                <w:sz w:val="20"/>
                <w:szCs w:val="20"/>
                <w:color w:val="auto"/>
              </w:rPr>
            </w:pPr>
            <w:r>
              <w:rPr>
                <w:rFonts w:ascii="Arial" w:cs="Arial" w:eastAsia="Arial" w:hAnsi="Arial"/>
                <w:sz w:val="18"/>
                <w:szCs w:val="18"/>
                <w:color w:val="auto"/>
              </w:rPr>
              <w:t>Date: August 4, 2021</w:t>
            </w:r>
          </w:p>
        </w:tc>
        <w:tc>
          <w:tcPr>
            <w:tcW w:w="2600" w:type="dxa"/>
            <w:vAlign w:val="bottom"/>
          </w:tcPr>
          <w:p>
            <w:pPr>
              <w:ind w:left="18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Brett A. Cope</w:t>
            </w:r>
          </w:p>
        </w:tc>
      </w:tr>
      <w:tr>
        <w:trPr>
          <w:trHeight w:val="222"/>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Brett A. Cope</w:t>
            </w:r>
          </w:p>
        </w:tc>
      </w:tr>
      <w:tr>
        <w:trPr>
          <w:trHeight w:val="229"/>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3360" w:type="dxa"/>
            <w:vAlign w:val="bottom"/>
          </w:tcPr>
          <w:p>
            <w:pPr>
              <w:spacing w:after="0"/>
              <w:rPr>
                <w:sz w:val="20"/>
                <w:szCs w:val="20"/>
                <w:color w:val="auto"/>
              </w:rPr>
            </w:pPr>
            <w:r>
              <w:rPr>
                <w:rFonts w:ascii="Arial" w:cs="Arial" w:eastAsia="Arial" w:hAnsi="Arial"/>
                <w:sz w:val="18"/>
                <w:szCs w:val="18"/>
                <w:color w:val="auto"/>
              </w:rPr>
              <w:t>Date: August 4, 2021</w:t>
            </w:r>
          </w:p>
        </w:tc>
        <w:tc>
          <w:tcPr>
            <w:tcW w:w="2600" w:type="dxa"/>
            <w:vAlign w:val="bottom"/>
          </w:tcPr>
          <w:p>
            <w:pPr>
              <w:ind w:left="18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W. Metcalf</w:t>
            </w:r>
          </w:p>
        </w:tc>
      </w:tr>
      <w:tr>
        <w:trPr>
          <w:trHeight w:val="222"/>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Michael W. Metcalf</w:t>
            </w:r>
          </w:p>
        </w:tc>
      </w:tr>
      <w:tr>
        <w:trPr>
          <w:trHeight w:val="229"/>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30"/>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89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jc w:val="both"/>
        <w:ind w:left="660" w:right="340" w:hanging="328"/>
        <w:spacing w:after="0" w:line="26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1300" w:right="40" w:hanging="320"/>
        <w:spacing w:after="0" w:line="261"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right="140" w:hanging="320"/>
        <w:spacing w:after="0" w:line="26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right="180" w:hanging="320"/>
        <w:spacing w:after="0" w:line="275"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300" w:hanging="328"/>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140" w:hanging="320"/>
        <w:spacing w:after="0" w:line="275"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340" w:hanging="320"/>
        <w:spacing w:after="0" w:line="275"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6"/>
          <w:szCs w:val="16"/>
          <w:u w:val="single" w:color="auto"/>
          <w:color w:val="auto"/>
        </w:rPr>
        <w:t>/s/ Brett A. Cope</w:t>
      </w:r>
    </w:p>
    <w:p>
      <w:pPr>
        <w:ind w:left="5640"/>
        <w:spacing w:after="0" w:line="211" w:lineRule="auto"/>
        <w:rPr>
          <w:sz w:val="20"/>
          <w:szCs w:val="20"/>
          <w:color w:val="auto"/>
        </w:rPr>
      </w:pPr>
      <w:r>
        <w:rPr>
          <w:rFonts w:ascii="Arial" w:cs="Arial" w:eastAsia="Arial" w:hAnsi="Arial"/>
          <w:sz w:val="16"/>
          <w:szCs w:val="16"/>
          <w:color w:val="auto"/>
        </w:rPr>
        <w:t>Brett A. Cope</w:t>
      </w:r>
    </w:p>
    <w:p>
      <w:pPr>
        <w:ind w:left="5640"/>
        <w:spacing w:after="0" w:line="211" w:lineRule="auto"/>
        <w:rPr>
          <w:sz w:val="20"/>
          <w:szCs w:val="20"/>
          <w:color w:val="auto"/>
        </w:rPr>
      </w:pPr>
      <w:r>
        <w:rPr>
          <w:rFonts w:ascii="Arial" w:cs="Arial" w:eastAsia="Arial" w:hAnsi="Arial"/>
          <w:sz w:val="16"/>
          <w:szCs w:val="16"/>
          <w:color w:val="auto"/>
        </w:rPr>
        <w:t>President and Chief Executive Officer</w:t>
      </w:r>
    </w:p>
    <w:p>
      <w:pPr>
        <w:ind w:left="5640"/>
        <w:spacing w:after="0"/>
        <w:rPr>
          <w:sz w:val="20"/>
          <w:szCs w:val="20"/>
          <w:color w:val="auto"/>
        </w:rPr>
      </w:pPr>
      <w:r>
        <w:rPr>
          <w:rFonts w:ascii="Arial" w:cs="Arial" w:eastAsia="Arial" w:hAnsi="Arial"/>
          <w:sz w:val="16"/>
          <w:szCs w:val="16"/>
          <w:color w:val="auto"/>
        </w:rPr>
        <w:t>(Principal Executive Officer)</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August 4, 2021</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jc w:val="both"/>
        <w:ind w:left="660" w:right="340" w:hanging="328"/>
        <w:spacing w:after="0" w:line="26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1300" w:right="40" w:hanging="320"/>
        <w:spacing w:after="0" w:line="261"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right="140" w:hanging="320"/>
        <w:spacing w:after="0" w:line="26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right="180" w:hanging="320"/>
        <w:spacing w:after="0" w:line="275"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660" w:right="300" w:hanging="328"/>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140" w:hanging="320"/>
        <w:spacing w:after="0" w:line="275"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340" w:hanging="320"/>
        <w:spacing w:after="0" w:line="275"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6"/>
          <w:szCs w:val="16"/>
          <w:u w:val="single" w:color="auto"/>
          <w:color w:val="auto"/>
        </w:rPr>
        <w:t>/s/ Michael W. Metcalf</w:t>
      </w:r>
    </w:p>
    <w:p>
      <w:pPr>
        <w:ind w:left="5640"/>
        <w:spacing w:after="0" w:line="211" w:lineRule="auto"/>
        <w:rPr>
          <w:sz w:val="20"/>
          <w:szCs w:val="20"/>
          <w:color w:val="auto"/>
        </w:rPr>
      </w:pPr>
      <w:r>
        <w:rPr>
          <w:rFonts w:ascii="Arial" w:cs="Arial" w:eastAsia="Arial" w:hAnsi="Arial"/>
          <w:sz w:val="16"/>
          <w:szCs w:val="16"/>
          <w:color w:val="auto"/>
        </w:rPr>
        <w:t>Michael W. Metcalf</w:t>
      </w:r>
    </w:p>
    <w:p>
      <w:pPr>
        <w:ind w:left="5640"/>
        <w:spacing w:after="0" w:line="211" w:lineRule="auto"/>
        <w:rPr>
          <w:sz w:val="20"/>
          <w:szCs w:val="20"/>
          <w:color w:val="auto"/>
        </w:rPr>
      </w:pPr>
      <w:r>
        <w:rPr>
          <w:rFonts w:ascii="Arial" w:cs="Arial" w:eastAsia="Arial" w:hAnsi="Arial"/>
          <w:sz w:val="16"/>
          <w:szCs w:val="16"/>
          <w:color w:val="auto"/>
        </w:rPr>
        <w:t>Executive Vice President</w:t>
      </w:r>
    </w:p>
    <w:p>
      <w:pPr>
        <w:ind w:left="5640"/>
        <w:spacing w:after="0" w:line="211" w:lineRule="auto"/>
        <w:rPr>
          <w:sz w:val="20"/>
          <w:szCs w:val="20"/>
          <w:color w:val="auto"/>
        </w:rPr>
      </w:pPr>
      <w:r>
        <w:rPr>
          <w:rFonts w:ascii="Arial" w:cs="Arial" w:eastAsia="Arial" w:hAnsi="Arial"/>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2021</w:t>
      </w:r>
    </w:p>
    <w:p>
      <w:pPr>
        <w:sectPr>
          <w:pgSz w:w="11900" w:h="16838" w:orient="portrait"/>
          <w:cols w:equalWidth="0" w:num="1">
            <w:col w:w="11240"/>
          </w:cols>
          <w:pgMar w:left="320" w:top="89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June 30, 2021,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21" w:lineRule="exact"/>
        <w:rPr>
          <w:sz w:val="20"/>
          <w:szCs w:val="20"/>
          <w:color w:val="auto"/>
        </w:rPr>
      </w:pPr>
    </w:p>
    <w:p>
      <w:pPr>
        <w:ind w:left="5640"/>
        <w:spacing w:after="0"/>
        <w:rPr>
          <w:sz w:val="20"/>
          <w:szCs w:val="20"/>
          <w:color w:val="auto"/>
        </w:rPr>
      </w:pPr>
      <w:r>
        <w:rPr>
          <w:rFonts w:ascii="Arial" w:cs="Arial" w:eastAsia="Arial" w:hAnsi="Arial"/>
          <w:sz w:val="16"/>
          <w:szCs w:val="16"/>
          <w:u w:val="single" w:color="auto"/>
          <w:color w:val="auto"/>
        </w:rPr>
        <w:t>/s/ Brett A. Cope</w:t>
      </w:r>
    </w:p>
    <w:p>
      <w:pPr>
        <w:ind w:left="5640"/>
        <w:spacing w:after="0" w:line="211" w:lineRule="auto"/>
        <w:rPr>
          <w:sz w:val="20"/>
          <w:szCs w:val="20"/>
          <w:color w:val="auto"/>
        </w:rPr>
      </w:pPr>
      <w:r>
        <w:rPr>
          <w:rFonts w:ascii="Arial" w:cs="Arial" w:eastAsia="Arial" w:hAnsi="Arial"/>
          <w:sz w:val="16"/>
          <w:szCs w:val="16"/>
          <w:color w:val="auto"/>
        </w:rPr>
        <w:t>Brett A. Cope</w:t>
      </w:r>
    </w:p>
    <w:p>
      <w:pPr>
        <w:ind w:left="5640"/>
        <w:spacing w:after="0"/>
        <w:rPr>
          <w:sz w:val="20"/>
          <w:szCs w:val="20"/>
          <w:color w:val="auto"/>
        </w:rPr>
      </w:pPr>
      <w:r>
        <w:rPr>
          <w:rFonts w:ascii="Arial" w:cs="Arial" w:eastAsia="Arial" w:hAnsi="Arial"/>
          <w:sz w:val="16"/>
          <w:szCs w:val="16"/>
          <w:color w:val="auto"/>
        </w:rPr>
        <w:t>President and Chief Executive Officer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2021</w:t>
      </w:r>
    </w:p>
    <w:p>
      <w:pPr>
        <w:sectPr>
          <w:pgSz w:w="11900" w:h="16838" w:orient="portrait"/>
          <w:cols w:equalWidth="0" w:num="1">
            <w:col w:w="11240"/>
          </w:cols>
          <w:pgMar w:left="320" w:top="89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connection with this Quarterly Report (the “Report”) on Form 10-Q of Powell Industries, Inc. (the “Company”) for the quarter ended June 30, 2021,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6"/>
          <w:szCs w:val="16"/>
          <w:u w:val="single" w:color="auto"/>
          <w:color w:val="auto"/>
        </w:rPr>
        <w:t>/s/ Michael W. Metcalf</w:t>
      </w:r>
    </w:p>
    <w:p>
      <w:pPr>
        <w:ind w:left="5620"/>
        <w:spacing w:after="0" w:line="211" w:lineRule="auto"/>
        <w:rPr>
          <w:sz w:val="20"/>
          <w:szCs w:val="20"/>
          <w:color w:val="auto"/>
        </w:rPr>
      </w:pPr>
      <w:r>
        <w:rPr>
          <w:rFonts w:ascii="Arial" w:cs="Arial" w:eastAsia="Arial" w:hAnsi="Arial"/>
          <w:sz w:val="16"/>
          <w:szCs w:val="16"/>
          <w:color w:val="auto"/>
        </w:rPr>
        <w:t>Michael W. Metcalf</w:t>
      </w:r>
    </w:p>
    <w:p>
      <w:pPr>
        <w:ind w:left="5620"/>
        <w:spacing w:after="0" w:line="211" w:lineRule="auto"/>
        <w:rPr>
          <w:sz w:val="20"/>
          <w:szCs w:val="20"/>
          <w:color w:val="auto"/>
        </w:rPr>
      </w:pPr>
      <w:r>
        <w:rPr>
          <w:rFonts w:ascii="Arial" w:cs="Arial" w:eastAsia="Arial" w:hAnsi="Arial"/>
          <w:sz w:val="16"/>
          <w:szCs w:val="16"/>
          <w:color w:val="auto"/>
        </w:rPr>
        <w:t>Executive Vice President</w:t>
      </w:r>
    </w:p>
    <w:p>
      <w:pPr>
        <w:ind w:left="5620"/>
        <w:spacing w:after="0"/>
        <w:rPr>
          <w:sz w:val="20"/>
          <w:szCs w:val="20"/>
          <w:color w:val="auto"/>
        </w:rPr>
      </w:pPr>
      <w:r>
        <w:rPr>
          <w:rFonts w:ascii="Arial" w:cs="Arial" w:eastAsia="Arial" w:hAnsi="Arial"/>
          <w:sz w:val="16"/>
          <w:szCs w:val="16"/>
          <w:color w:val="auto"/>
        </w:rPr>
        <w:t>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45" Type="http://schemas.openxmlformats.org/officeDocument/2006/relationships/hyperlink" Target="http://www.sec.gov/Archives/edgar/data/80420/000008042004000044/exhibit3_1.htm" TargetMode="External"/><Relationship Id="rId47" Type="http://schemas.openxmlformats.org/officeDocument/2006/relationships/hyperlink" Target="http://www.sec.gov/Archives/edgar/data/80420/000119312512421889/d424375dex31.htm" TargetMode="External"/><Relationship Id="rId48" Type="http://schemas.openxmlformats.org/officeDocument/2006/relationships/hyperlink" Target="http://www.sec.gov/Archives/edgar/data/80420/000008042021000018/ex31-amendmentno1to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2021-08-04T13:52:00Z</dcterms:created>
  <dcterms:modified xsi:type="dcterms:W3CDTF">2021-08-04T13:52:00Z</dcterms:modified>
</cp:coreProperties>
</file>