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877570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852170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Large accelerated</w:t>
            </w:r>
          </w:p>
        </w:tc>
        <w:tc>
          <w:tcPr>
            <w:tcW w:w="5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Accelerated</w:t>
            </w:r>
          </w:p>
        </w:tc>
        <w:tc>
          <w:tcPr>
            <w:tcW w:w="5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Non-accelerated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filer</w:t>
            </w:r>
          </w:p>
        </w:tc>
        <w:tc>
          <w:tcPr>
            <w:tcW w:w="600" w:type="dxa"/>
            <w:vAlign w:val="bottom"/>
            <w:vMerge w:val="continue"/>
          </w:tcPr>
          <w:p>
            <w:pPr>
              <w:spacing w:after="0"/>
              <w:rPr>
                <w:sz w:val="22"/>
                <w:szCs w:val="22"/>
                <w:color w:val="auto"/>
              </w:rPr>
            </w:pP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580" w:type="dxa"/>
            <w:vAlign w:val="bottom"/>
            <w:vMerge w:val="continue"/>
          </w:tcPr>
          <w:p>
            <w:pPr>
              <w:spacing w:after="0"/>
              <w:rPr>
                <w:sz w:val="22"/>
                <w:szCs w:val="22"/>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500" w:right="12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July 29, 2024, there were 11,987,838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0"/>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FF"/>
            </w:tcBorders>
            <w:gridSpan w:val="10"/>
            <w:vMerge w:val="continue"/>
          </w:tcPr>
          <w:p>
            <w:pPr>
              <w:spacing w:after="0"/>
              <w:rPr>
                <w:sz w:val="15"/>
                <w:szCs w:val="15"/>
                <w:color w:val="auto"/>
              </w:rPr>
            </w:pPr>
          </w:p>
        </w:tc>
        <w:tc>
          <w:tcPr>
            <w:tcW w:w="8040" w:type="dxa"/>
            <w:vAlign w:val="bottom"/>
            <w:gridSpan w:val="10"/>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46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4"/>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4"/>
          </w:tcPr>
          <w:p>
            <w:pPr>
              <w:spacing w:after="0"/>
              <w:rPr>
                <w:sz w:val="18"/>
                <w:szCs w:val="18"/>
                <w:color w:val="auto"/>
              </w:rPr>
            </w:pPr>
          </w:p>
        </w:tc>
        <w:tc>
          <w:tcPr>
            <w:tcW w:w="5440" w:type="dxa"/>
            <w:vAlign w:val="bottom"/>
            <w:gridSpan w:val="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40" w:type="dxa"/>
            <w:vAlign w:val="bottom"/>
            <w:gridSpan w:val="2"/>
          </w:tcPr>
          <w:p>
            <w:pPr>
              <w:spacing w:after="0"/>
              <w:rPr>
                <w:sz w:val="18"/>
                <w:szCs w:val="18"/>
                <w:color w:val="auto"/>
              </w:rPr>
            </w:pPr>
          </w:p>
        </w:tc>
        <w:tc>
          <w:tcPr>
            <w:tcW w:w="8240" w:type="dxa"/>
            <w:vAlign w:val="bottom"/>
            <w:gridSpan w:val="11"/>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245,875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$1,005 and $273, respectively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206,591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621,985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97,625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17,064</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17,197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13,129</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868,983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752,242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79,693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279,796</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395,686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432,244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407,216</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2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par value $0.01; 30,000,000 shares authorized;</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Shares issued: 12,793,856 and 12,668,001, respectively</w:t>
            </w:r>
          </w:p>
        </w:tc>
        <w:tc>
          <w:tcPr>
            <w:tcW w:w="2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11,987,838 and 11,861,983, respectively</w:t>
            </w:r>
          </w:p>
        </w:tc>
        <w:tc>
          <w:tcPr>
            <w:tcW w:w="2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71,526</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325,281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(26,909)</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436,739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345,026</w:t>
            </w: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868,983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752,242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20" w:top="108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490,667</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206,428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149,695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544,639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395,096</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95,571</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58,384</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135,591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103,796</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28,090</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8.52</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0.2650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0.2625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0.7925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0.7850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cash flow commodity hedge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45,237</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103,626</w:t>
            </w:r>
          </w:p>
        </w:tc>
        <w:tc>
          <w:tcPr>
            <w:tcW w:w="1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33,077</w:t>
            </w:r>
          </w:p>
        </w:tc>
      </w:tr>
      <w:tr>
        <w:trPr>
          <w:trHeight w:val="21"/>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325,281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346,162</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(23,824)</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366,320</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33,488</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68,348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376,401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(26,093)</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393,785</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46,223</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46,223</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69,305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419,384</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(27,079)</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436,739</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4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type w:val="continuous"/>
        </w:sectPr>
      </w:pPr>
    </w:p>
    <w:bookmarkStart w:id="6" w:name="page7"/>
    <w:bookmarkEnd w:id="6"/>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2022</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67,439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283,638</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(28,998)</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297,206</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cash flow commodity hedge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2022</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12,641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68,454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281,493</w:t>
            </w:r>
          </w:p>
        </w:tc>
        <w:tc>
          <w:tcPr>
            <w:tcW w:w="100" w:type="dxa"/>
            <w:vAlign w:val="bottom"/>
          </w:tcPr>
          <w:p>
            <w:pPr>
              <w:spacing w:after="0"/>
              <w:rPr>
                <w:sz w:val="16"/>
                <w:szCs w:val="16"/>
                <w:color w:val="auto"/>
              </w:rPr>
            </w:pPr>
          </w:p>
        </w:tc>
        <w:tc>
          <w:tcPr>
            <w:tcW w:w="80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(26,602)</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298,472</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139"/>
        </w:trPr>
        <w:tc>
          <w:tcPr>
            <w:tcW w:w="27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3"/>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0" w:type="dxa"/>
            <w:vAlign w:val="bottom"/>
          </w:tcPr>
          <w:p>
            <w:pPr>
              <w:spacing w:after="0"/>
              <w:rPr>
                <w:sz w:val="1"/>
                <w:szCs w:val="1"/>
                <w:color w:val="auto"/>
              </w:rPr>
            </w:pPr>
          </w:p>
        </w:tc>
      </w:tr>
      <w:tr>
        <w:trPr>
          <w:trHeight w:val="196"/>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cash flow commodity hedge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March 31, 2023</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12,667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69,955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286,777</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(26,064)</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305,795</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18,454</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18,454</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0" w:type="dxa"/>
            <w:vAlign w:val="bottom"/>
          </w:tcPr>
          <w:p>
            <w:pPr>
              <w:spacing w:after="0"/>
              <w:rPr>
                <w:sz w:val="1"/>
                <w:szCs w:val="1"/>
                <w:color w:val="auto"/>
              </w:rPr>
            </w:pPr>
          </w:p>
        </w:tc>
      </w:tr>
      <w:tr>
        <w:trPr>
          <w:trHeight w:val="196"/>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cash flow commodity hedge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28"/>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June 30, 2023</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324,070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2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103,796</w:t>
            </w:r>
          </w:p>
        </w:tc>
        <w:tc>
          <w:tcPr>
            <w:tcW w:w="10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28,090</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mark-to-market gain on derivative contracts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expense,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(96,986)</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178,161</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(15,304)</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105,314</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(18,789)</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9"/>
        </w:trPr>
        <w:tc>
          <w:tcPr>
            <w:tcW w:w="6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w:t>
            </w:r>
          </w:p>
        </w:tc>
      </w:tr>
      <w:tr>
        <w:trPr>
          <w:trHeight w:val="223"/>
        </w:trPr>
        <w:tc>
          <w:tcPr>
            <w:tcW w:w="6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80,042</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3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101,954</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332,012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183,355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Our major subsidiaries, all of which are wholly owned, include Powell Electrical Systems, Inc.; Powell (UK) Limited; Powell Canada Inc.; and Powell Industries International, B.V.</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serve the oil and gas and petrochemical markets that include onshore and offshore production, hydrogen, carbon capture, liquefied natural gas (LNG) facilities and terminals, pipelines, refineries and petrochemical plants. Additional markets include electric utility, light rail traction power, and commercial and other industrial markets that include end markets such as data centers, mining and metals, and pulp and paper.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Powell and our wholly 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thereto of Powell and its subsidiaries included in Powell’s Annual Report on Form 10-K for the year ended September 30, 2023, which was filed with the Securities and Exchange Commission (SEC) on December 6,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2024 and Fiscal 2023 used throughout this report shall mean the current fiscal year ending September 30, 2024 and the prior fiscal year ended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and Disclosure Rules Issued but Not Yet Adopted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public entities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chief operating decision maker (CODM) on an annual and interim basis. It also requires that public entities disclose the title and position of the CODM and an explanation of how the CODM uses the reported measures in assessing segment performance and resource allocation. Additionally, it requires that all existing annual disclosures about segment profit or loss and assets must be provided on an interim basis and clarifies that single 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financial statements. Early adoption is permitted. We are currently evaluating the impacts of the new standard.</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are permitted. We are currently evaluating the impacts of the new standard.</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March 2024, the SEC adopted final rules designed to enhance and standardize disclosures related to the risks and impacts of climate-related matters. The final rules require registrants to disclose certain climate-related information in registration statements and annual reports. Such information relates to climate-related risks and risk management processes for, and governance and oversight activities of such risks. The final rules also include requirements to disclose the financial effects of severe weather events and other natural conditions in the audited financial statements. In addition, larger registrants will be required to disclose information about greenhouse gas emissions, which will be subject to a phased-in assurance requirement. These disclosure requirements will be effective for the Company's fiscal year beginning October 1, 2025. In April 2024, the SEC voluntarily stayed the final rules as a result of pending legal challenges. We are currently evaluating the impacts of the final rules on our consolidated financial statements and related disclosures.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600" w:type="dxa"/>
            <w:vAlign w:val="bottom"/>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4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46,223</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103,796</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28,090</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w:t>
            </w: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12,106</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9"/>
        </w:trPr>
        <w:tc>
          <w:tcPr>
            <w:tcW w:w="4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1820" w:type="dxa"/>
            <w:vAlign w:val="bottom"/>
            <w:gridSpan w:val="2"/>
            <w:shd w:val="clear" w:color="auto" w:fill="CFF0FC"/>
          </w:tcPr>
          <w:p>
            <w:pPr>
              <w:jc w:val="right"/>
              <w:ind w:right="16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1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20" w:type="dxa"/>
            <w:vAlign w:val="bottom"/>
            <w:tcBorders>
              <w:bottom w:val="single" w:sz="8" w:color="auto"/>
            </w:tcBorders>
            <w:gridSpan w:val="2"/>
          </w:tcPr>
          <w:p>
            <w:pPr>
              <w:jc w:val="right"/>
              <w:ind w:right="16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53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21,563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95,064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92,477</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153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246,536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(150,068)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(145,687)</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ind w:right="153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96,468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97,625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under finance lease as of June 30, 2024 or September 30,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2023, we acquired intellectual property for a total consideration of $0.5 million, of which $250 thousand was paid in cash at the acquisition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36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3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30"/>
        </w:trPr>
        <w:tc>
          <w:tcPr>
            <w:tcW w:w="5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96% and 95% of revenues for the three and nine months ended June 30, 2024, respectively, and approximately 94% and 93% of revenues for the three and nine months ended June 30, 2023,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4% and 5% of revenues for the three and nine months ended June 30, 2024, respectively, and approximately 6% and 7% of revenues for the three and nine months ended June 30, 2023, respectively.</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June 30, 2024, we had backlog of $1.3 billion, of which approximately $841 million is expected to be recognized as revenue within the next twelve months.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June 30, 2024 and 2023, our operating results were positively impacted by $14.2 million and $13.2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Project cancellations on two projects increased gross profit for the nine months ended June 30, 2023 by $3.4 million. Gross unfavorable changes in contract estimates were immaterial for both the nine months ended June 30,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of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Contract assets and liabilities as of June 30, 2024 and September 30, 2023 are summarized below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7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60,621</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(282,924)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(279,796)</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(219,175)</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June 30, 2024 and September 30, 2023, primarily due to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nine months ended June 30, 2024, we recognized revenue of $228.9 million that was related to contract liabilities outstanding at September 30, 2023.</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June 30, 2024 and September 30, 2023, we had retention amounts of $6.6 million and $7.4 million, respectively. Of the retained amount at June 30, 2024, $5.9 million is expected to be collected in the next twelve months and is recorded in accounts receivable. The remaining $0.7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and nine months ended June 30, 2024 and 2023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620,537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387,531</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62,255</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 and Africa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w:t>
            </w:r>
          </w:p>
        </w:tc>
      </w:tr>
      <w:tr>
        <w:trPr>
          <w:trHeight w:val="248"/>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737,293</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490,667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99"/>
        </w:trPr>
        <w:tc>
          <w:tcPr>
            <w:tcW w:w="5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24"/>
                <w:szCs w:val="24"/>
                <w:color w:val="auto"/>
              </w:rPr>
            </w:pPr>
          </w:p>
        </w:tc>
        <w:tc>
          <w:tcPr>
            <w:tcW w:w="25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179,560</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70,372</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 utility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114,899</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74,846</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Light rail traction power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21,532</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10,424</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29,458</w:t>
            </w:r>
          </w:p>
        </w:tc>
      </w:tr>
      <w:tr>
        <w:trPr>
          <w:trHeight w:val="248"/>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192,365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737,293</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490,667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 Long-Term Debt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we entered into a third amendment (the Third Amendment) to our credit agreement with Bank of America, N.A. (as amended, the U.S. Revolver). The Third Amendment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 (a) $60 million,</w:t>
      </w:r>
    </w:p>
    <w:p>
      <w:pPr>
        <w:spacing w:after="0" w:line="3" w:lineRule="exact"/>
        <w:rPr>
          <w:sz w:val="20"/>
          <w:szCs w:val="20"/>
          <w:color w:val="auto"/>
        </w:rPr>
      </w:pPr>
    </w:p>
    <w:p>
      <w:pPr>
        <w:jc w:val="both"/>
        <w:ind w:firstLine="8"/>
        <w:spacing w:after="0" w:line="252"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 On June 26, 2024, in connection with the expected discontinuation of the publication of the Canadian Dollar Offered Rate (CDOR), we further amended the U.S. Revolver by entering into a Canadian benchmark replacement conforming changes amendment with Bank of America, N.A. that added and amended certain terms related to the replacement of the CDOR as a benchmark rate with the forward-looking term rate based on the Canadian Overnight Repo Rate Average.</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there were no amounts borrowed under the U.S. Revolver, and letters of credit outstanding were $68.4 million. There was $81.6 million available for the issuance of letters of credit and borrowings under the U.S. Revolver as of June 30,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were in compliance with all of the financial covenants of the U.S. Revolver.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$68.4 million as of June 30, 2024. We also had surety bonds totaling $422.1 million that were outstanding, with additional bonding capacity of $777.9 million available, at June 30, 2024.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$19.0 million facility agreement (Facility Agreement) between Powell (UK) Limited and a large international bank that provides Powell (UK) Limited the ability to enter into bank guarantees as well as forward exchange contracts and currency options. At June 30, 2024, we had outstanding guarantees totaling $6.4 million, with an additional capacity of $12.6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June 30, 2024,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for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June 30, 2024, certain contracts had a probable exposure to liquidated damages claims of $2.5 million, which</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could possibly increase to $2.8 million under certain circumstances. Based on our actual or projected failure to meet these various contractual commitments, $1.7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2023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and safety performance of the Company following the grant date. At June 30, 2024, there were 194,981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nine months ended June 30, 2024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9"/>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2023</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292,497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w:t>
            </w:r>
          </w:p>
        </w:tc>
      </w:tr>
      <w:tr>
        <w:trPr>
          <w:trHeight w:val="230"/>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(141,261)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30"/>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120.02</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194,981</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both the nine months ended June 30, 2024 and 2023, we recorded compensation expense of $3.4 million related to the RSUs.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Company's Compensation and Human Capital Committee revised the non-employee directors' annual restricted stock compensation from a fixed-shares arrangement to a fixed-value arrangement, retrospectively effective on October 1, 2023. Prior to October 1, 2023, each non-employee director received 2,400 restricted shares of the Company’s common stock annually. Fifty percent of the restricted stock granted to each of our non-employee directors vested immediately, while the remaining fifty percent vested on the anniversary of the grant date. Compensation expense was recognized immediately for the first fifty percent of the restricted stock granted, while compensation expense for the remaining fifty percent was recognized over the remaining vesting period. Subsequent to October 1, 2023, each non-employee director shall receive restricted shares of the Company's common stock valued at $0.1 million annually.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 In February 2024, 4,620 shares of restricted stock were issued to our non-employee directors at a price of $153.81 per share. During the nine months ended June 30, 2024 and 2023, we recorded compensation expense of $0.4 million and $0.5 million, respectively, related to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June 30, 2024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2024</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720" w:type="dxa"/>
            <w:vAlign w:val="bottom"/>
            <w:gridSpan w:val="3"/>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720" w:type="dxa"/>
            <w:vAlign w:val="bottom"/>
            <w:gridSpan w:val="3"/>
          </w:tcPr>
          <w:p>
            <w:pPr>
              <w:jc w:val="center"/>
              <w:ind w:right="52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332,012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42,033</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2023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2023</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June 30,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leases consist primarily of office and construction equipment. All of our future lease obligations are related to non-cancelable operating leases. The following table provides a summary of lease cost components for the three and nine months ended June 30, 2024 and 2023, respectively (in thousands):</w:t>
      </w: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6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30"/>
        </w:trPr>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9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June 30, 2024 and September 30, 2023,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40" w:type="dxa"/>
            <w:vAlign w:val="bottom"/>
          </w:tcPr>
          <w:p>
            <w:pPr>
              <w:spacing w:after="0"/>
              <w:rPr>
                <w:sz w:val="20"/>
                <w:szCs w:val="20"/>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23"/>
        </w:trPr>
        <w:tc>
          <w:tcPr>
            <w:tcW w:w="6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June 30, 2024 (in thousands):</w:t>
            </w: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90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4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4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4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4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4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0" w:type="dxa"/>
            <w:vAlign w:val="bottom"/>
          </w:tcPr>
          <w:p>
            <w:pPr>
              <w:spacing w:after="0"/>
              <w:rPr>
                <w:sz w:val="19"/>
                <w:szCs w:val="19"/>
                <w:color w:val="auto"/>
              </w:rPr>
            </w:pPr>
          </w:p>
        </w:tc>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30"/>
        </w:trPr>
        <w:tc>
          <w:tcPr>
            <w:tcW w:w="40" w:type="dxa"/>
            <w:vAlign w:val="bottom"/>
          </w:tcPr>
          <w:p>
            <w:pPr>
              <w:spacing w:after="0"/>
              <w:rPr>
                <w:sz w:val="19"/>
                <w:szCs w:val="19"/>
                <w:color w:val="auto"/>
              </w:rPr>
            </w:pPr>
          </w:p>
        </w:tc>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4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0"/>
        </w:trPr>
        <w:tc>
          <w:tcPr>
            <w:tcW w:w="40" w:type="dxa"/>
            <w:vAlign w:val="bottom"/>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discount rate as of June 30, 2024 was 3.82%. The weighted average remaining lease term was 2.42 years at June 30, 2024.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300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r>
      <w:tr>
        <w:trPr>
          <w:trHeight w:val="23"/>
        </w:trPr>
        <w:tc>
          <w:tcPr>
            <w:tcW w:w="4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61,796</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23,645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135,591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36,232</w:t>
            </w:r>
          </w:p>
        </w:tc>
      </w:tr>
      <w:tr>
        <w:trPr>
          <w:trHeight w:val="216"/>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15,573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31,795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8,142</w:t>
            </w:r>
          </w:p>
        </w:tc>
      </w:tr>
      <w:tr>
        <w:trPr>
          <w:trHeight w:val="162"/>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46,223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18,454</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103,796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28,090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3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25% and 23% for the three and nine months ended June 30, 2024, respectively, compared to 22% for both the three and nine months ended June 30, 2023. The effective tax rate for the three and nine months ended June 30, 2024 was favorably impacted by the estimated Research and Development Tax Credit (R&amp;D Tax Credit). The effective tax rate for the nine months ended June 30, 2024 was also favorably impacted by discrete items primarily related to the vesting of RSUs. These items were offset by an income inclusion related to U.S. global intangible income and the tax expense related to certain nondeductible expenses. The effective tax rate for the three and nine months ended June 30, 2023 approximated the U.S. federal statutory rate and was favorably impacted by the estimated R&amp;D Tax Credit and the projected utilization of net operating loss carryforwards in the U.K. that had been fully reserved with a valuation allowance. The favorable impacts were offset by state income tax expense, certain nondeductible expenses and an income inclusion related to U.S. global intangible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Acquisition of Property, Plant and Equipment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 2024, we acquired land and buildings in Houston, Texas, for a total cash purchase price of approximately $5.5 million to help further facilitate executing the current backlog as well as planning for modest future volume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Hurricane Beryl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week of July 2024, operations across our three facilities located in Houston, Texas, experienced a temporary power outage and subsequent shutdown of our operations resulting from Hurricane Beryl. These facilities resumed limited operations within the same week. We are evaluating the potential financial impact, if any, associated with this event.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30, 2024, our Board of Directors declared a quarterly cash dividend on our common stock in the amount of $0.2650 per share. The dividend is payable on September 18, 2024 to stockholders of record at the close of business on August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concerning the timing and success of specific projects, our future backlog, revenues, income, acquisitions, liquidity, capital spending, results of operations and financial condition,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and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relate to, but are not limited to, the factors detailed below, elsewhere herein and in our other SEC filings.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has had, and may continue to have, an adverse effect on our future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Catastrophic events, including natural disasters, health epidemics, acts of war and terrorism, among others, could disrupt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which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right="20" w:hanging="329"/>
        <w:spacing w:after="0" w:line="282" w:lineRule="auto"/>
        <w:tabs>
          <w:tab w:leader="none" w:pos="61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failure in our business systems or cybersecurity attacks on any of our facilities, or those of third parties, could adversely affect our business, results of operations and reputation.</w:t>
      </w:r>
    </w:p>
    <w:p>
      <w:pPr>
        <w:spacing w:after="0" w:line="53" w:lineRule="exact"/>
        <w:rPr>
          <w:rFonts w:ascii="Times New Roman" w:cs="Times New Roman" w:eastAsia="Times New Roman" w:hAnsi="Times New Roman"/>
          <w:sz w:val="18"/>
          <w:szCs w:val="18"/>
          <w:b w:val="1"/>
          <w:bCs w:val="1"/>
          <w:i w:val="1"/>
          <w:iCs w:val="1"/>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ESG initiatives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“Risk Factors” in Item 1A of Part I of our Annual Report on Form 10-K for the year ended September 30, 2023, which was filed with the SEC on December 6, 2023. We can provide no assurance that the forward-looking statements contained in this report will occur as expected, and actual results may differ materially from those included in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fiscal year ended September 30, 2023, which was filed with the SEC on December 6, 2023 and is available on the SEC’s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serve the oil and gas and petrochemical markets that include onshore and offshore production, hydrogen, carbon capture, liquefied natural gas (LNG) facilities and terminals, pipelines, refineries and petrochemical plants. Additional markets include electric utility, light rail traction power, and commercial and other industrial markets that include end markets such as data centers, mining and metals, and pulp and paper. Revenues and costs are primarily related to custom engineered-to-order equipment and systems and are accounted for under percentage-of-completion accounting, which precludes us from providing detailed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and volume information. Our backlog includes various projects that typically take a number of months to produce.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 The North American market is responding to increased international demand for LNG and gas-to-chemical processes utilizing low-cost gas feedstocks. As a result, we have been awarded a number of large LNG and petrochemical contracts in Fiscal 2023 that positively impact our backlog in Fiscal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element of our strategic focus is to strengthen our project portfolio beyond our core oil, gas and petrochemical end market sectors. Diversification efforts have resulted in growth in our backlog across the electric utility and commercial and other industrial sectors in Fiscal 2023 and continuing throughout the first nine months of Fiscal 2024. As of June 30, 2024, our backlog remained at $1.3 billion.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fiscal quarter, we experienced commodity price volatility, in addition to the ongoing supply chain delays for specific engineered components that have been persistent throughout the first nine months of Fiscal 2024. We are working closely with our suppliers to meet our customer commitments. In response to the increased cost environment and supply chain challenges, we strive to effectively manage our product pricing, delivery schedules and bid validity dates with our customers, as well as improve factory efficiencies and project execution.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week of July 2024, operations across our three facilities located in Houston, Texas, experienced a temporary power outage and subsequent shutdown of our operations resulting from Hurricane Beryl. These facilities resumed limited operations within the same week. We are evaluating the potential financial impact, if any, associated with this event.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June 30, 2024 Compared to the Quarter Ended June 30, 2023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50%, or $95.8 million, to $288.2 million in the third quarter of Fiscal 2024, primarily driven by the increase in project backlog resulting from large contracts awarded in Fiscal 2023 and strong bookings throughout the first nine months of Fiscal 2024. Domestic revenues increased by 59%, or $90.5 million, to $243.7 million in the third quarter of Fiscal 2024. International revenues increased by 14%, or $5.3 million, to $44.4 million in the third quarter of Fiscal 2024. Our international revenues include both revenues generated from our international facilities as well as revenues from export projects generated at our domestic facilities.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third quarter of Fiscal 2024, revenue from our core oil and gas market (excluding petrochemical) increased by 56%, or $40.9 million, to $114.3 million; petrochemical market revenue increased by 158%, or $34.8 million, to $56.8 million; revenue from our electric utility market increased by 30%, or $13.2 million, to $57.0 million; commercial and other industrial market revenue increased by 18%, or $6.5 million, to $42.0 million; and revenue from all other markets combined increased by 22%, or $2.2 million, to $12.7 million. These increases in revenue were driven by improved market conditions and increased capital spending in our core oil, gas and petrochemical markets, as well as our strategic effort to diversify our business into electric utility and commercial and other industrial markets. Revenue from our light rail traction power market decreased by 25%, or $1.8 million, to $5.3 million in the third quarter of Fiscal 2024 due to less project volume in this market.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92%, or $39.1 million, to $81.7 million for the third quarter of Fiscal 2024. Gross profit as a percentage of revenues increased to 28% in the third quarter of Fiscal 2024, compared to 22% in the third quarter of Fiscal 2023. This increase in gross profit is attributable to the higher volume levels across all of Powell's manufacturing facilities generating favorable volume leverage, strong project execution, and continuing effort to improve factory efficiencies while also managing product pricing that corresponds to current cost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12%, or $2.3 million, to $22.0 million in the third quarter of Fiscal 2024, primarily due to higher spending on infrastructure improvements. Selling, general and administrative expenses as a percentage of revenues decreased to 8% during the third quarter of Fiscal 2024 compared to 10% during the third quarter of Fiscal 2023, resulting from higher revenues on our existing cost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an income tax provision of $15.6 million in the third quarter of Fiscal 2024, compared to an income tax provision of $5.2 million in the third quarter of Fiscal 2023. The effective tax rate for the third quarter of Fiscal 2024 was 25%, compared to an effective tax rate of 22% for the third quarter of Fiscal 2023. For each of the three months ended June 30, 2024 and 2023, the effective tax rate was favorably impacted by the estimated Research and Development Tax Credit (R&amp;D Tax Credit). Additionally, in the third quarter of Fiscal 2023, we recognized a benefit related to the projected utilization of net operating loss carryforwards in the United Kingdom (the U.K.) that had been fully reserved with a valuation allowance. For each of the three months ended June 30, 2024 and 2023, these benefits were offset by an income inclusion related to U.S. global intangible income and certain nondeductible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Fiscal 2024, we recorded net income of $46.2 million, or $3.79 per diluted share, compared to net income of $18.5 million, or $1.52 per diluted share, in the third quarter of Fiscal 2023. This increase in net income was primarily due to the strength and quality of our backlog at the end of Fiscal 2023, as well as strong bookings throughout the first nine months of Fiscal 2024, which has led to an increase in revenue coupled with improved project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June 30, 2024 was $1.3 billion, consistent with our backlog at both March 31, 2024 and June 30, 2023. Bookings, net of cancellations and scope reductions, decreased by 30% in the third quarter of Fiscal 2024 to $356.3 million, compared to $505.4 million in the third quarter of Fiscal 2023. Despite strong bookings in the third quarter of Fiscal 2024, the decrease in bookings was due to a normalization of the oil and gas sector, with fewer large orders awarded in this sector during Fiscal 2024.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June 30, 2024 Compared to Nine Months Ended June 30, 2023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50%, or $246.6 million, to $737.3 million in the nine months ended June 30, 2024, primarily driven by the increase in project backlog resulting from large contracts awarded throughout Fiscal 2023 and strong bookings throughout the first nine months of Fiscal 2024. Domestic revenues increased by 60%, or $233.0 million, to $620.5 million in the nine months ended June 30, 2024. International revenues increased by 13%, or $13.6 million, to $116.8 million in the nine months ended June 30, 2024. Our international revenues include both revenues generated from our international facilities as well as revenues from export projects generated at our domestic facilities.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nine months ended June 30, 2024, revenue from our core oil and gas market (excluding petrochemical) increased by 68%, or $122.2 million, to $301.8 million; petrochemical market revenue increased by 92%, or $64.9 million, to $135.2 million; revenue from our electric utility market increased by 26%, or $30.3 million, to $145.2 million; commercial and other industrial market revenue increased by 36%, or $26.8 million, to $101.6 million; and revenue from all other markets combined increased by 33%, or $9.8 million, to $39.3 million. These increases in revenue were driven by improved market conditions and increased capital spending in our core oil, gas and petrochemical markets, as well as our strategic effort to diversify our business into electric utility and commercial and other industrial markets. Revenue from our light rail traction power market decreased by 34%, or $7.3 million, to $14.2 million in the first nine months of Fiscal 2024 due to less project volume in this market.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102%, or $97.1 million, to $192.7 million for the first nine months of Fiscal 2024. Gross profit as a percentage of revenues increased to 26% in the first nine months of Fiscal 2024, compared to 19% in the first nine months of Fiscal 2023. This increase in gross profit is attributable to the higher volume levels across all of Powell's manufacturing facilities generating favorable volume leverage, strong project execution, and continuing effort to improve factory efficiencies while also managing product pricing that corresponds to current cost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8%, or $4.9 million, to $63.3 million for the nine months ended June 30, 2024, primarily due to increased compensation expense and higher spending on infrastructure improvements. Selling, general and administrative expenses as a percentage of revenues decreased to 9% during the first nine months of Fiscal 2024 compared to 12% during the first nine months of Fiscal 2023, resulting from higher revenues on our existing cost 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an income tax provision of $31.8 million for the nine months ended June 30, 2024, compared to an income tax provision of $8.1 million for the nine months ended June 30, 2023. The effective tax rate for the nine months ended June 30, 2024 was 23%, compared to an effective tax rate of 22% for the nine months ended June 30, 2023. For each of the nine months ended June 30, 2024 and 2023, the effective tax rate was favorably impacted by the estimated R&amp;D Tax Credit. Additionally, in the nine months ended June 30, 2024, we recognized benefits for discrete items primarily related to the vesting of restricted stock units. In the nine months ended June 30, 2023, we recognized a benefit related to the projected utilization of net operating loss carryforwards in the U.K. that had been fully reserved with a valuation allowance. In both periods, these benefits were offset by an income inclusion related to U.S. global intangible income and certain nondeductible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nine months ended June 30, 2024, we recorded net income of $103.8 million, or $8.52 per diluted share, compared to net income of $28.1 million, or $2.32 per diluted share, in the nine months ended June 30, 2023. This increase in net income was primarily due to the strength and quality of our backlog at the end of Fiscal 2023, as well as strong bookings throughout the first nine months of Fiscal 2024, which has led to an increase in revenue coupled with improved project margins.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June 30, 2024 was $1.3 billion, consistent with our backlog at September 30, 2023. Bookings, net of cancellations and scope reductions, decreased by 36% during the nine months ended June 30, 2024 to $789.2 million, compared</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$1.2 billion during the nine months ended June 30, 2023. Despite strong bookings in the first nine months of Fiscal 2024, the decrease in bookings was due to a normalization of the oil and gas sector with fewer large orders awarded in this sector during Fiscal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order activity in most of our core markets remains active and diversification efforts outside of our core oil, gas and petrochemical markets continue to be a positive catalyst. We believe the fundamentals of the U.S. natural gas market, through abundant supply and low cost, will continue to support investments in LNG, related gas processing, and petrochemical processes. We continue to monitor the Biden administration's efforts to pause or limit LNG exports, which may impact the timing of future project activity. We have achieved strong bookings in electric utility and commercial markets through the first nine months of Fiscal 2024 in the U.S., Canada and the U.K., largely driven by the markets where our operations are based. Our backlog remained at $1.3 billion as of June 30, 2024, of which approximately $841 million is expected to be recognized as revenue within the next twelve months. Although current commercial activity remains active in most of the sectors that we compete in, we remain attentive to the macro environment and geopolitical events that may have an impact on future market activity.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 key component parts and commodities. We continue to remain focused on the variables that impact our markets as well as cost management, labor availability and supply chain challenges.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planned capital spending of approximately $11 million on a facility expansion project at our products factory in Houston. We expect to complete the expansion project by mid-Fiscal 2025. Additionally, on July 1, 2024, we acquired land and buildings in Houston, Texas, for $5.5 million to help further facilitate executing the current backlog as well as planning for modest future volume growth.</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current assets exceeded current liabilities by 1.8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$374.0 million at June 30, 2024, compared to $279.0 million at September 30, 2023. This increase in cash, cash equivalents and short-term investments was primarily driven by our improved earnings due to increased project margins and volumes, as well as favorable timing of contract billing milestones on many of our large projects. We typically allocate a significant percentage of the progress billing to the early stages of the contract. We believe that our cash, cash equivalents and short-term investments, as well as available borrowings under the U.S. Revolver, will be sufficient to support our future operating activities, working capital requirements, payment of dividends and capital spending, as well as research and development initiatives for the next twelve months and beyond.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we entered into the Third Amendment to the U.S. Revolver. The Third Amendment added Texas Capital Bank as Syndication Agent and a lender, increased the amount of the revolving line of credit from $125.0 million to $150.0 million, and extended the expiry date to October 4, 2028. The aggregate commitment of $150.0 million consists of $100.0 million committed by Bank of America and $50.0 million committed by Texas Capital Bank. As amended by the Third Amendment, the lesser of (a) $60 million, (b) 60% of available cash, and (c) the aggregate face amount of the issued but undrawn letters of credit that are not cash-secured, shall be deducted from consolidated funded indebtedness, when calculating the consolidated net leverage ratio. We have the option to cash collateralize all or a portion of the letters of credit outstanding, which would favorably impact the consolidated funded indebtedness calculation and the consolidated net leverage ratio. 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June 26, 2024, in connection with the expected discontinuation of the publication of the Canadian Dollar Offered Rate (CDOR), we further amended the U.S. Revolver by entering into a Canadian benchmark replacement conforming changes amendment with Bank of America, N.A. that added and amended certain terms related to the replacement of the CDOR as a benchmark rate with the forward-looking term rate based on the Canadian Overnight Repo Rate Average.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were no amounts borrowed under the U.S. Revolver, and letters of credit outstanding were $68.4 million. There was $81.6 million available for the issuance of letters of credit and borrowings under the U.S. Revolver as of June 30, 2024. For further information regarding our debt, see Notes E and F of Notes to Condensed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$76.1 million of our cash, cash equivalents and short-term investments at June 30, 2024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activities provided net cash of $114.7 million during the nine months ended June 30, 2024 and provided net cash of $105.3 million during the same period in Fiscal 2023. Cash flow from operations is primarily influenced by project volume and margins, as well as the associated working capital requirements, the timing of milestone payments from our customers, and payment terms with our suppliers. This increase in operating cash flow was primarily due to higher net income resulting from increased project volume and improved project margins, partially offset by working capital impact as we allocate capital to the projects in the order book.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$13.0 million during the nine months ended June 30, 2024 and used $15.4 million during the same period in Fiscal 2023. The decrease in cash used in investing activities was primarily due to net purchases of short-term investments of $9.2 million in the first nine months of Fiscal 2024 compared to net purchases of short-term investments of $11.4 million in the same period of Fiscal 2023. In December 2023, we acquired intellectual property for a total consideration of $0.5 million, of which $250 thousand was paid in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$16.0 million during the nine months ended June 30, 2024 and $9.9 million during the same period in Fiscal 2023. The increase in cash used in financing activities was primarily due to cash payments related to shares withheld in lieu of employee tax withholding, largely driven by the significant increase in our share price in the first nine months of Fiscal 2024 compared to the same period of Fiscal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2023, which was filed with the SEC on December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as of and for the three and nine months ended June 30, 2024, as compared to the information previously reported under Part II, Item 7A within our Annual Report on Form 10-K for the fiscal year ended September 30,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third quarter of Fiscal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for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fiscal quarter, none of our directors or officers adopted or terminated any "Rule 10b5-1 trading arrangements" or "non-Rule 10b5-1 trading arrangements,"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5">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7">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48">
        <w:r>
          <w:rPr>
            <w:rFonts w:ascii="Times New Roman" w:cs="Times New Roman" w:eastAsia="Times New Roman" w:hAnsi="Times New Roman"/>
            <w:sz w:val="17"/>
            <w:szCs w:val="17"/>
            <w:u w:val="single" w:color="auto"/>
            <w:color w:val="0000FF"/>
          </w:rPr>
          <w:t>Amendment No. 1 to Amended and Restated Bylaws of Powell Industries, Inc. (filed as Exhibit 3.1 to our Form 8-K filed February</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u w:val="single" w:color="auto"/>
            <w:color w:val="0000FF"/>
          </w:rPr>
          <w:t>26, 2021,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89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xml:space="preserve">— </w:t>
      </w:r>
      <w:r>
        <w:rPr>
          <w:rFonts w:ascii="Times New Roman" w:cs="Times New Roman" w:eastAsia="Times New Roman" w:hAnsi="Times New Roman"/>
          <w:sz w:val="18"/>
          <w:szCs w:val="18"/>
          <w:u w:val="single" w:color="auto"/>
          <w:color w:val="0000FF"/>
        </w:rPr>
        <w:t>Canadian Benchmark Replacement Conforming Changes Amendment, dated June 26, 2024, by and between the Company,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Borrower, and Bank of America, N.A., as Administrative Agent.</w:t>
      </w:r>
    </w:p>
    <w:p>
      <w:pPr>
        <w:spacing w:after="0" w:line="149"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The following financial statements from the Company’s Quarterly Report on Form 10-Q for the quarter ended June 30, 2024, 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50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The cover page from the Company’s Quarterly Report on Form 10-Q for the quarter ended June 30, 2024,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0458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00" w:type="dxa"/>
            <w:vAlign w:val="bottom"/>
          </w:tcPr>
          <w:p>
            <w:pPr>
              <w:spacing w:after="0"/>
              <w:rPr>
                <w:sz w:val="19"/>
                <w:szCs w:val="19"/>
                <w:color w:val="auto"/>
              </w:rPr>
            </w:pPr>
          </w:p>
        </w:tc>
        <w:tc>
          <w:tcPr>
            <w:tcW w:w="78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300" w:type="dxa"/>
            <w:vAlign w:val="bottom"/>
          </w:tcPr>
          <w:p>
            <w:pPr>
              <w:spacing w:after="0"/>
              <w:rPr>
                <w:sz w:val="20"/>
                <w:szCs w:val="20"/>
                <w:color w:val="auto"/>
              </w:rPr>
            </w:pPr>
          </w:p>
        </w:tc>
        <w:tc>
          <w:tcPr>
            <w:tcW w:w="78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26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29"/>
        </w:trPr>
        <w:tc>
          <w:tcPr>
            <w:tcW w:w="3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0"/>
        </w:trPr>
        <w:tc>
          <w:tcPr>
            <w:tcW w:w="33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3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08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CANADIAN BENCHMARK REPLACEMENT CONFORMING CHANGES AMENDMENT</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THIS CANADIAN BENCHMARK REPLACEMENT CONFORMING CHANGES AMENDMENT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June 26, 2024, is entered into among POWELL INDUSTRIES,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BANK OF AMERICA,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Borrower, the lenders from time to time party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Bank of America, N.A., as Administrative Agent, inter alios, have entered into that certain Amended and Restated Credit Agreement dated as of September 27, 2019 (as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certain loans and/or other extensions of credit (the “</w:t>
      </w:r>
      <w:r>
        <w:rPr>
          <w:rFonts w:ascii="Times New Roman" w:cs="Times New Roman" w:eastAsia="Times New Roman" w:hAnsi="Times New Roman"/>
          <w:sz w:val="20"/>
          <w:szCs w:val="20"/>
          <w:u w:val="single" w:color="auto"/>
          <w:color w:val="auto"/>
        </w:rPr>
        <w:t>Alternative Currency Term Rate Loans</w:t>
      </w:r>
      <w:r>
        <w:rPr>
          <w:rFonts w:ascii="Times New Roman" w:cs="Times New Roman" w:eastAsia="Times New Roman" w:hAnsi="Times New Roman"/>
          <w:sz w:val="20"/>
          <w:szCs w:val="20"/>
          <w:color w:val="auto"/>
        </w:rPr>
        <w:t>”) under the Credit Agreement denominated in Canadian Dollars incur or are permitted to incur interest, fees, commissions or other amounts based on the Canadian Dollar Offered Rate (“</w:t>
      </w:r>
      <w:r>
        <w:rPr>
          <w:rFonts w:ascii="Times New Roman" w:cs="Times New Roman" w:eastAsia="Times New Roman" w:hAnsi="Times New Roman"/>
          <w:sz w:val="20"/>
          <w:szCs w:val="20"/>
          <w:u w:val="single" w:color="auto"/>
          <w:color w:val="auto"/>
        </w:rPr>
        <w:t>CDOR”)</w:t>
      </w:r>
      <w:r>
        <w:rPr>
          <w:rFonts w:ascii="Times New Roman" w:cs="Times New Roman" w:eastAsia="Times New Roman" w:hAnsi="Times New Roman"/>
          <w:sz w:val="20"/>
          <w:szCs w:val="20"/>
          <w:color w:val="auto"/>
        </w:rPr>
        <w:t xml:space="preserve"> in accordance with the terms of the Credit Agreement; and</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CDOR has been or will be replaced with the benchmark set forth in Appendix A in accordance with the Credit Agreement and, in connection therewith, the Administrative Agent is exercising its right to make certain conforming changes in connection with the implementation of the applicable benchmark replacement as set forth herein.</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accordance with the terms of the Credit Agreement, this Agreement is entered into by the Administrative Agent and the Borrower:</w:t>
      </w:r>
    </w:p>
    <w:p>
      <w:pPr>
        <w:spacing w:after="0" w:line="160" w:lineRule="exact"/>
        <w:rPr>
          <w:sz w:val="20"/>
          <w:szCs w:val="20"/>
          <w:color w:val="auto"/>
        </w:rPr>
      </w:pPr>
    </w:p>
    <w:p>
      <w:pPr>
        <w:ind w:right="20" w:firstLine="656"/>
        <w:spacing w:after="0" w:line="269" w:lineRule="auto"/>
        <w:tabs>
          <w:tab w:leader="none" w:pos="112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(including on any Appendix attached hereto) shall have the meanings provided to such terms in the Credit Agreement, as amended by this Agreement.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8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Notwithstanding any provision of the Credit Agreement or any other document related thereto (the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to the contrary, the terms set forth on Appendix A shall apply to the Alternative Currency Term Rate Loans. For the avoidance of doubt, to the extent provisions in the Credit Agreement apply to Alternative Currency Term Rate Loans and such provisions are not specifically addressed by Appendix A, the provisions in the Credit Agreement shall continue to apply to such Alternative Currency Term Rate Loans.</w:t>
      </w:r>
    </w:p>
    <w:p>
      <w:pPr>
        <w:spacing w:after="0" w:line="192" w:lineRule="exact"/>
        <w:rPr>
          <w:sz w:val="20"/>
          <w:szCs w:val="20"/>
          <w:color w:val="auto"/>
        </w:rPr>
      </w:pPr>
    </w:p>
    <w:p>
      <w:pPr>
        <w:ind w:firstLine="656"/>
        <w:spacing w:after="0" w:line="269" w:lineRule="auto"/>
        <w:tabs>
          <w:tab w:leader="none" w:pos="10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Loan Documents</w:t>
      </w:r>
      <w:r>
        <w:rPr>
          <w:rFonts w:ascii="Times New Roman" w:cs="Times New Roman" w:eastAsia="Times New Roman" w:hAnsi="Times New Roman"/>
          <w:sz w:val="20"/>
          <w:szCs w:val="20"/>
          <w:color w:val="auto"/>
        </w:rPr>
        <w:t>. In the event of any conflict between the terms of this Agreement and the terms of the Credit Agreement or the other Loan Documents, the terms hereof shall control.</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This Agreement shall become effective on the earlier of (i) the date that all Available Tenors of CDOR have either permanently or indefinitely ceased to be provided by RBSL or (ii) June 28, 2024 (such date,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upon proper execution by the Administrative Agent and the Borrower of a counterpart of this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2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As of the Amendment Effective Date, the Administrative Agent hereby notifies the Borrower and the Lenders of (i) the implementation of the Canadian Benchmark Replacement and (ii) the effectiveness of the Canadian Benchmark Replacement Conforming Changes, in each case,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40"/>
          </w:cols>
          <w:pgMar w:left="320" w:top="104" w:right="339" w:bottom="1440" w:gutter="0" w:footer="0" w:header="0"/>
        </w:sectPr>
      </w:pPr>
    </w:p>
    <w:bookmarkStart w:id="32" w:name="page33"/>
    <w:bookmarkEnd w:id="32"/>
    <w:p>
      <w:pPr>
        <w:spacing w:after="0" w:line="283" w:lineRule="auto"/>
        <w:rPr>
          <w:sz w:val="20"/>
          <w:szCs w:val="20"/>
          <w:color w:val="auto"/>
        </w:rPr>
      </w:pPr>
      <w:r>
        <w:rPr>
          <w:rFonts w:ascii="Times New Roman" w:cs="Times New Roman" w:eastAsia="Times New Roman" w:hAnsi="Times New Roman"/>
          <w:sz w:val="20"/>
          <w:szCs w:val="20"/>
          <w:color w:val="auto"/>
        </w:rPr>
        <w:t>to this Agreement. To the extent the Credit Agreement requires the Administrative Agent to provide notice that any of the foregoing events has occurred, this Agreement constitutes such notice.</w:t>
      </w:r>
    </w:p>
    <w:p>
      <w:pPr>
        <w:spacing w:after="0" w:line="146" w:lineRule="exact"/>
        <w:rPr>
          <w:sz w:val="20"/>
          <w:szCs w:val="20"/>
          <w:color w:val="auto"/>
        </w:rPr>
      </w:pPr>
    </w:p>
    <w:p>
      <w:pPr>
        <w:jc w:val="both"/>
        <w:ind w:firstLine="656"/>
        <w:spacing w:after="0" w:line="258" w:lineRule="auto"/>
        <w:tabs>
          <w:tab w:leader="none" w:pos="115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Expenses</w:t>
      </w:r>
      <w:r>
        <w:rPr>
          <w:rFonts w:ascii="Times New Roman" w:cs="Times New Roman" w:eastAsia="Times New Roman" w:hAnsi="Times New Roman"/>
          <w:sz w:val="20"/>
          <w:szCs w:val="20"/>
          <w:color w:val="auto"/>
        </w:rPr>
        <w:t>. The Borrower agrees to reimburse the Administrative Agent for all reasonable fees, charges and disbursements of the Administrative Agent in connection with the preparation, execution and delivery of this Agreement, including all reasonable fees, charges and disbursements of counsel to the Administrative Agent (paid directly to such counsel if requested by the Administrative Agent).</w:t>
      </w:r>
    </w:p>
    <w:p>
      <w:pPr>
        <w:spacing w:after="0" w:line="185"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94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and the obligations of the Borrower under the Loan Documents, are hereby ratified and confirmed and shall remain in full force and effect according to their terms. This Agreement is a Loan Document.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Collateral Documents continue to be in full force and effect and are not impaired or adversely affected in any manner whatsoever, (v) confirms its grant of security interests pursuant to the Collateral Documents to which it is a party as Collateral for the Obligations, and (vi) acknowledges that all Liens granted (or purported to be granted) pursuant to the Collateral Documents remain and continue in full force and effect in respect of, and to secure, the Obligations.</w:t>
      </w:r>
    </w:p>
    <w:p>
      <w:pPr>
        <w:spacing w:after="0" w:line="1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represents and warrants that:</w:t>
      </w:r>
    </w:p>
    <w:p>
      <w:pPr>
        <w:spacing w:after="0" w:line="215"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63"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such Person of this Agreement is within such Person’s organizational powers and has been duly authorized by all necessary organizational, partnership, member or other action, as applicable, as may be necessary or required.</w:t>
      </w:r>
    </w:p>
    <w:p>
      <w:pPr>
        <w:spacing w:after="0" w:line="181"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476"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such Person, and constitutes a valid and binding obligation of such Person, enforceable against it in accordance with the terms hereof, except as may be limited by applicable bankruptcy, insolvency, reorganization, moratorium, or similar laws affecting the enforcement of creditors’ rights generally and by general principles of equity.</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85"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such Person of this Agreement and performance by such Person of this Agreement have been duly authorized by all necessary corporate or other organizational action, and do not and will not</w:t>
      </w:r>
    </w:p>
    <w:p>
      <w:pPr>
        <w:jc w:val="both"/>
        <w:ind w:left="1300" w:firstLine="4"/>
        <w:spacing w:after="0" w:line="268" w:lineRule="auto"/>
        <w:tabs>
          <w:tab w:leader="none" w:pos="1589"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contravene the terms of its certificate or articles of incorporation or organization or other applicable constitutive documents, (ii) conflict with or result in any breach or contravention of, or the creation of any lien under, or require any payment to be made under (x) any contractual obligation to which such Person is a party or affecting such Person or the properties of such Person or any subsidiary thereof or (y) any order, injunction, writ or decree of any governmental authority or any arbitral award to which such Person or any subsidiary thereof or its property is subject or (c) violate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40"/>
          </w:cols>
          <w:pgMar w:left="320" w:top="1413" w:right="339" w:bottom="1440" w:gutter="0" w:footer="0" w:header="0"/>
        </w:sectPr>
      </w:pPr>
    </w:p>
    <w:bookmarkStart w:id="33" w:name="page34"/>
    <w:bookmarkEnd w:id="33"/>
    <w:p>
      <w:pPr>
        <w:jc w:val="both"/>
        <w:ind w:left="1280" w:firstLine="652"/>
        <w:spacing w:after="0" w:line="253" w:lineRule="auto"/>
        <w:tabs>
          <w:tab w:leader="none" w:pos="2412"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and after giving effect to this Agreement, (A) all representations and warranties of such Person set forth in the Loan Documents are true and correct in all material respects (and in all respects if any such representation or warranty is already qualified by materiality (after giving effect to such materiality qualification)) on and as of the Amendment Effective Date (except to the extent that such representations and warranties specifically refer to an earlier date, in which case they were true and correct in all material respects (and in all respects if any such representation or warranty is already qualified by materiality (after giving effect to such materiality qualification)) as of such earlier date), and (B) no Event of Default exists.</w:t>
      </w:r>
    </w:p>
    <w:p>
      <w:pPr>
        <w:spacing w:after="0" w:line="179" w:lineRule="exact"/>
        <w:rPr>
          <w:rFonts w:ascii="Times New Roman" w:cs="Times New Roman" w:eastAsia="Times New Roman" w:hAnsi="Times New Roman"/>
          <w:sz w:val="20"/>
          <w:szCs w:val="20"/>
          <w:color w:val="auto"/>
        </w:rPr>
      </w:pPr>
    </w:p>
    <w:p>
      <w:pPr>
        <w:jc w:val="both"/>
        <w:ind w:left="640" w:firstLine="644"/>
        <w:spacing w:after="0" w:line="253" w:lineRule="auto"/>
        <w:tabs>
          <w:tab w:leader="none" w:pos="192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79" w:lineRule="exact"/>
        <w:rPr>
          <w:rFonts w:ascii="Times New Roman" w:cs="Times New Roman" w:eastAsia="Times New Roman" w:hAnsi="Times New Roman"/>
          <w:sz w:val="20"/>
          <w:szCs w:val="20"/>
          <w:color w:val="auto"/>
        </w:rPr>
      </w:pPr>
    </w:p>
    <w:p>
      <w:pPr>
        <w:jc w:val="both"/>
        <w:ind w:left="640" w:firstLine="644"/>
        <w:spacing w:after="0" w:line="258" w:lineRule="auto"/>
        <w:tabs>
          <w:tab w:leader="none" w:pos="192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85" w:lineRule="exact"/>
        <w:rPr>
          <w:rFonts w:ascii="Times New Roman" w:cs="Times New Roman" w:eastAsia="Times New Roman" w:hAnsi="Times New Roman"/>
          <w:sz w:val="20"/>
          <w:szCs w:val="20"/>
          <w:color w:val="auto"/>
        </w:rPr>
      </w:pPr>
    </w:p>
    <w:p>
      <w:pPr>
        <w:ind w:left="640" w:firstLine="644"/>
        <w:spacing w:after="0" w:line="269" w:lineRule="auto"/>
        <w:tabs>
          <w:tab w:leader="none" w:pos="193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the Credit Agreement with respect to governing law, submission to jurisdiction, waiver of venue and waiver of jury trial are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and the parties hereto agree to such terms.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20"/>
          </w:cols>
          <w:pgMar w:left="340" w:top="1413"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20"/>
          <w:szCs w:val="20"/>
          <w:color w:val="auto"/>
        </w:rPr>
        <w:t>The Administrative Agent has caused a counterpart of this Agreement to be duly executed and delivered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BANK OF AMERICA, N.A.,</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6500" w:type="dxa"/>
            <w:vAlign w:val="bottom"/>
            <w:gridSpan w:val="5"/>
          </w:tcPr>
          <w:p>
            <w:pPr>
              <w:ind w:left="1660"/>
              <w:spacing w:after="0"/>
              <w:rPr>
                <w:sz w:val="20"/>
                <w:szCs w:val="20"/>
                <w:color w:val="auto"/>
              </w:rPr>
            </w:pPr>
            <w:r>
              <w:rPr>
                <w:rFonts w:ascii="Times New Roman" w:cs="Times New Roman" w:eastAsia="Times New Roman" w:hAnsi="Times New Roman"/>
                <w:sz w:val="20"/>
                <w:szCs w:val="20"/>
                <w:color w:val="auto"/>
              </w:rPr>
              <w:t>By: /s/ Melanie Brichant</w:t>
            </w:r>
          </w:p>
        </w:tc>
      </w:tr>
      <w:tr>
        <w:trPr>
          <w:trHeight w:val="20"/>
        </w:trPr>
        <w:tc>
          <w:tcPr>
            <w:tcW w:w="1580" w:type="dxa"/>
            <w:vAlign w:val="bottom"/>
          </w:tcPr>
          <w:p>
            <w:pPr>
              <w:spacing w:after="0" w:line="20" w:lineRule="exact"/>
              <w:rPr>
                <w:sz w:val="1"/>
                <w:szCs w:val="1"/>
                <w:color w:val="auto"/>
              </w:rPr>
            </w:pPr>
          </w:p>
        </w:tc>
        <w:tc>
          <w:tcPr>
            <w:tcW w:w="20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54"/>
        </w:trPr>
        <w:tc>
          <w:tcPr>
            <w:tcW w:w="1580" w:type="dxa"/>
            <w:vAlign w:val="bottom"/>
          </w:tcPr>
          <w:p>
            <w:pPr>
              <w:spacing w:after="0"/>
              <w:rPr>
                <w:sz w:val="22"/>
                <w:szCs w:val="22"/>
                <w:color w:val="auto"/>
              </w:rPr>
            </w:pPr>
          </w:p>
        </w:tc>
        <w:tc>
          <w:tcPr>
            <w:tcW w:w="224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Name:</w:t>
            </w:r>
          </w:p>
        </w:tc>
        <w:tc>
          <w:tcPr>
            <w:tcW w:w="42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Melanie Brichant</w:t>
            </w:r>
          </w:p>
        </w:tc>
      </w:tr>
      <w:tr>
        <w:trPr>
          <w:trHeight w:val="258"/>
        </w:trPr>
        <w:tc>
          <w:tcPr>
            <w:tcW w:w="1580" w:type="dxa"/>
            <w:vAlign w:val="bottom"/>
          </w:tcPr>
          <w:p>
            <w:pPr>
              <w:spacing w:after="0"/>
              <w:rPr>
                <w:sz w:val="22"/>
                <w:szCs w:val="22"/>
                <w:color w:val="auto"/>
              </w:rPr>
            </w:pPr>
          </w:p>
        </w:tc>
        <w:tc>
          <w:tcPr>
            <w:tcW w:w="224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Title:</w:t>
            </w:r>
          </w:p>
        </w:tc>
        <w:tc>
          <w:tcPr>
            <w:tcW w:w="42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Assistant Vice President</w:t>
            </w:r>
          </w:p>
        </w:tc>
      </w:tr>
      <w:tr>
        <w:trPr>
          <w:trHeight w:val="538"/>
        </w:trPr>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BORROWER:</w:t>
            </w:r>
          </w:p>
        </w:tc>
        <w:tc>
          <w:tcPr>
            <w:tcW w:w="6500" w:type="dxa"/>
            <w:vAlign w:val="bottom"/>
            <w:gridSpan w:val="5"/>
          </w:tcPr>
          <w:p>
            <w:pPr>
              <w:ind w:left="400"/>
              <w:spacing w:after="0"/>
              <w:rPr>
                <w:sz w:val="20"/>
                <w:szCs w:val="20"/>
                <w:color w:val="auto"/>
              </w:rPr>
            </w:pPr>
            <w:r>
              <w:rPr>
                <w:rFonts w:ascii="Times New Roman" w:cs="Times New Roman" w:eastAsia="Times New Roman" w:hAnsi="Times New Roman"/>
                <w:sz w:val="20"/>
                <w:szCs w:val="20"/>
                <w:color w:val="auto"/>
              </w:rPr>
              <w:t>POWELL INDUSTRIES, INC.,</w:t>
            </w:r>
          </w:p>
        </w:tc>
      </w:tr>
      <w:tr>
        <w:trPr>
          <w:trHeight w:val="258"/>
        </w:trPr>
        <w:tc>
          <w:tcPr>
            <w:tcW w:w="1580" w:type="dxa"/>
            <w:vAlign w:val="bottom"/>
          </w:tcPr>
          <w:p>
            <w:pPr>
              <w:spacing w:after="0"/>
              <w:rPr>
                <w:sz w:val="22"/>
                <w:szCs w:val="22"/>
                <w:color w:val="auto"/>
              </w:rPr>
            </w:pPr>
          </w:p>
        </w:tc>
        <w:tc>
          <w:tcPr>
            <w:tcW w:w="6500" w:type="dxa"/>
            <w:vAlign w:val="bottom"/>
            <w:gridSpan w:val="5"/>
          </w:tcPr>
          <w:p>
            <w:pPr>
              <w:ind w:left="166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615"/>
        </w:trPr>
        <w:tc>
          <w:tcPr>
            <w:tcW w:w="1580" w:type="dxa"/>
            <w:vAlign w:val="bottom"/>
          </w:tcPr>
          <w:p>
            <w:pPr>
              <w:spacing w:after="0"/>
              <w:rPr>
                <w:sz w:val="24"/>
                <w:szCs w:val="24"/>
                <w:color w:val="auto"/>
              </w:rPr>
            </w:pPr>
          </w:p>
        </w:tc>
        <w:tc>
          <w:tcPr>
            <w:tcW w:w="6500" w:type="dxa"/>
            <w:vAlign w:val="bottom"/>
            <w:gridSpan w:val="5"/>
          </w:tcPr>
          <w:p>
            <w:pPr>
              <w:ind w:left="1660"/>
              <w:spacing w:after="0"/>
              <w:rPr>
                <w:sz w:val="20"/>
                <w:szCs w:val="20"/>
                <w:color w:val="auto"/>
              </w:rPr>
            </w:pPr>
            <w:r>
              <w:rPr>
                <w:rFonts w:ascii="Times New Roman" w:cs="Times New Roman" w:eastAsia="Times New Roman" w:hAnsi="Times New Roman"/>
                <w:sz w:val="20"/>
                <w:szCs w:val="20"/>
                <w:color w:val="auto"/>
              </w:rPr>
              <w:t>By: /s/ Michael W. Metcalf</w:t>
            </w:r>
          </w:p>
        </w:tc>
      </w:tr>
      <w:tr>
        <w:trPr>
          <w:trHeight w:val="20"/>
        </w:trPr>
        <w:tc>
          <w:tcPr>
            <w:tcW w:w="1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2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81"/>
        </w:trPr>
        <w:tc>
          <w:tcPr>
            <w:tcW w:w="1580" w:type="dxa"/>
            <w:vAlign w:val="bottom"/>
          </w:tcPr>
          <w:p>
            <w:pPr>
              <w:spacing w:after="0"/>
              <w:rPr>
                <w:sz w:val="24"/>
                <w:szCs w:val="24"/>
                <w:color w:val="auto"/>
              </w:rPr>
            </w:pPr>
          </w:p>
        </w:tc>
        <w:tc>
          <w:tcPr>
            <w:tcW w:w="224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Name:</w:t>
            </w:r>
          </w:p>
        </w:tc>
        <w:tc>
          <w:tcPr>
            <w:tcW w:w="42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Michael W. Metcalf</w:t>
            </w:r>
          </w:p>
        </w:tc>
      </w:tr>
      <w:tr>
        <w:trPr>
          <w:trHeight w:val="258"/>
        </w:trPr>
        <w:tc>
          <w:tcPr>
            <w:tcW w:w="1580" w:type="dxa"/>
            <w:vAlign w:val="bottom"/>
          </w:tcPr>
          <w:p>
            <w:pPr>
              <w:spacing w:after="0"/>
              <w:rPr>
                <w:sz w:val="22"/>
                <w:szCs w:val="22"/>
                <w:color w:val="auto"/>
              </w:rPr>
            </w:pPr>
          </w:p>
        </w:tc>
        <w:tc>
          <w:tcPr>
            <w:tcW w:w="2240" w:type="dxa"/>
            <w:vAlign w:val="bottom"/>
            <w:gridSpan w:val="2"/>
          </w:tcPr>
          <w:p>
            <w:pPr>
              <w:ind w:left="1660"/>
              <w:spacing w:after="0"/>
              <w:rPr>
                <w:sz w:val="20"/>
                <w:szCs w:val="20"/>
                <w:color w:val="auto"/>
              </w:rPr>
            </w:pPr>
            <w:r>
              <w:rPr>
                <w:rFonts w:ascii="Times New Roman" w:cs="Times New Roman" w:eastAsia="Times New Roman" w:hAnsi="Times New Roman"/>
                <w:sz w:val="20"/>
                <w:szCs w:val="20"/>
                <w:color w:val="auto"/>
              </w:rPr>
              <w:t>Title:</w:t>
            </w:r>
          </w:p>
        </w:tc>
        <w:tc>
          <w:tcPr>
            <w:tcW w:w="42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40"/>
          </w:cols>
          <w:pgMar w:left="320" w:top="1413" w:right="33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Appendix A</w:t>
      </w:r>
    </w:p>
    <w:p>
      <w:pPr>
        <w:spacing w:after="0" w:line="25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TERMS APPLICABLE TO ALTERNATIVE CURRENCY TERM RATE LOANS</w:t>
      </w:r>
    </w:p>
    <w:p>
      <w:pPr>
        <w:spacing w:after="0" w:line="243"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The following terms shall have the meanings set forth below:</w:t>
      </w:r>
    </w:p>
    <w:p>
      <w:pPr>
        <w:spacing w:after="0" w:line="229"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means, with respect to any currency, the Administrative Agent’s address and, as appropriate, account specified in the Credit Agreement with respect to such currency, or such other address or account with respect to such currency as the Administrative Agent may from time to time notify the Borrower and the Lenders.</w:t>
      </w:r>
    </w:p>
    <w:p>
      <w:pPr>
        <w:spacing w:after="0" w:line="181" w:lineRule="exact"/>
        <w:rPr>
          <w:sz w:val="20"/>
          <w:szCs w:val="20"/>
          <w:color w:val="auto"/>
        </w:rPr>
      </w:pPr>
    </w:p>
    <w:p>
      <w:pPr>
        <w:jc w:val="both"/>
        <w:ind w:left="640"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extension of credit under the Credit Agreement denominated in Canadian Dollars, the rate per annum equal to the forward-looking term rate based on CORRA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xml:space="preserve">”) on the Rate Determination Date with a term equivalent to such Interest Period plus the Term CORRA Adjustment for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Term Rate shall be less than zero, such rate shall be deemed zero for purposes of this Agreement.</w:t>
      </w:r>
    </w:p>
    <w:p>
      <w:pPr>
        <w:spacing w:after="0" w:line="193" w:lineRule="exact"/>
        <w:rPr>
          <w:sz w:val="20"/>
          <w:szCs w:val="20"/>
          <w:color w:val="auto"/>
        </w:rPr>
      </w:pPr>
    </w:p>
    <w:p>
      <w:pPr>
        <w:jc w:val="both"/>
        <w:ind w:left="6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Loan that bears interest at a rate based on the definition of “Alternative Currency Term Rate.” All Alternative Currency Term Rate Loans must be denominated in Canadian Dollars.</w:t>
      </w:r>
    </w:p>
    <w:p>
      <w:pPr>
        <w:spacing w:after="0" w:line="173"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the Applicable Rate, Applicable Margin or any similar or analogous definition in the Credit Agreement.</w:t>
      </w:r>
    </w:p>
    <w:p>
      <w:pPr>
        <w:spacing w:after="0" w:line="146"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the Base Rate, Alternative Base Rate, ABR, Prime Rate or any similar or analogous definition in the Credit Agreement.</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means a Loan that bears interest at a rate based on the Base Rate.</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Committed Borrowing, Borrowing, or any similar or analogous definition in the Credit Agreement.</w:t>
      </w:r>
    </w:p>
    <w:p>
      <w:pPr>
        <w:spacing w:after="0" w:line="216"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60" w:lineRule="exact"/>
        <w:rPr>
          <w:sz w:val="20"/>
          <w:szCs w:val="20"/>
          <w:color w:val="auto"/>
        </w:rPr>
      </w:pPr>
    </w:p>
    <w:p>
      <w:pPr>
        <w:jc w:val="both"/>
        <w:ind w:left="1280" w:firstLine="652"/>
        <w:spacing w:after="0" w:line="261" w:lineRule="auto"/>
        <w:tabs>
          <w:tab w:leader="none" w:pos="238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Term Rate Loan, means any such day on which dealings in deposits in Canadian Dollars are conducted by and between banks in the applicable offshore interbank market for such currency; and</w:t>
      </w:r>
    </w:p>
    <w:p>
      <w:pPr>
        <w:spacing w:after="0" w:line="167" w:lineRule="exact"/>
        <w:rPr>
          <w:rFonts w:ascii="Times New Roman" w:cs="Times New Roman" w:eastAsia="Times New Roman" w:hAnsi="Times New Roman"/>
          <w:sz w:val="20"/>
          <w:szCs w:val="20"/>
          <w:color w:val="auto"/>
        </w:rPr>
      </w:pPr>
    </w:p>
    <w:p>
      <w:pPr>
        <w:jc w:val="both"/>
        <w:ind w:left="1280" w:firstLine="652"/>
        <w:spacing w:after="0" w:line="268" w:lineRule="auto"/>
        <w:tabs>
          <w:tab w:leader="none" w:pos="242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Canadian Dollars in respect of an Alternative Currency Term Rate Loan, or any other dealings in Canadian Dollars to be carried out pursuant to this Agreement in respect of any such Alternative Currency Term Rate Loan (other than any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20"/>
          </w:cols>
          <w:pgMar w:left="340" w:top="1413" w:right="339" w:bottom="1440" w:gutter="0" w:footer="0" w:header="0"/>
        </w:sectPr>
      </w:pPr>
    </w:p>
    <w:bookmarkStart w:id="36" w:name="page37"/>
    <w:bookmarkEnd w:id="36"/>
    <w:p>
      <w:pPr>
        <w:ind w:left="1280"/>
        <w:spacing w:after="0" w:line="283" w:lineRule="auto"/>
        <w:rPr>
          <w:sz w:val="20"/>
          <w:szCs w:val="20"/>
          <w:color w:val="auto"/>
        </w:rPr>
      </w:pPr>
      <w:r>
        <w:rPr>
          <w:rFonts w:ascii="Times New Roman" w:cs="Times New Roman" w:eastAsia="Times New Roman" w:hAnsi="Times New Roman"/>
          <w:sz w:val="20"/>
          <w:szCs w:val="20"/>
          <w:color w:val="auto"/>
        </w:rPr>
        <w:t>settings), means any such day on which banks are open for foreign exchange business in the principal financial center of the country of such currency.</w:t>
      </w:r>
    </w:p>
    <w:p>
      <w:pPr>
        <w:spacing w:after="0" w:line="133" w:lineRule="exact"/>
        <w:rPr>
          <w:sz w:val="20"/>
          <w:szCs w:val="20"/>
          <w:color w:val="auto"/>
        </w:rPr>
      </w:pPr>
    </w:p>
    <w:p>
      <w:pPr>
        <w:jc w:val="both"/>
        <w:ind w:left="6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Benchmark Replacement</w:t>
      </w:r>
      <w:r>
        <w:rPr>
          <w:rFonts w:ascii="Times New Roman" w:cs="Times New Roman" w:eastAsia="Times New Roman" w:hAnsi="Times New Roman"/>
          <w:sz w:val="20"/>
          <w:szCs w:val="20"/>
          <w:color w:val="auto"/>
        </w:rPr>
        <w:t>” means the Canadian Benchmark Replacement or any similar or analogous definition in the Credit Agreement.</w:t>
      </w:r>
    </w:p>
    <w:p>
      <w:pPr>
        <w:spacing w:after="0" w:line="188" w:lineRule="exact"/>
        <w:rPr>
          <w:sz w:val="20"/>
          <w:szCs w:val="20"/>
          <w:color w:val="auto"/>
        </w:rPr>
      </w:pPr>
    </w:p>
    <w:p>
      <w:pPr>
        <w:jc w:val="both"/>
        <w:ind w:left="640"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Benchmark Replacement Conforming Changes</w:t>
      </w:r>
      <w:r>
        <w:rPr>
          <w:rFonts w:ascii="Times New Roman" w:cs="Times New Roman" w:eastAsia="Times New Roman" w:hAnsi="Times New Roman"/>
          <w:sz w:val="20"/>
          <w:szCs w:val="20"/>
          <w:color w:val="auto"/>
        </w:rPr>
        <w:t>” means, with respect to any Canadian Benchmark Replacement, any technical, administrative or operational changes (including changes to the definition of “Business Day”, the definition of</w:t>
      </w:r>
    </w:p>
    <w:p>
      <w:pPr>
        <w:spacing w:after="0" w:line="1" w:lineRule="exact"/>
        <w:rPr>
          <w:sz w:val="20"/>
          <w:szCs w:val="20"/>
          <w:color w:val="auto"/>
        </w:rPr>
      </w:pPr>
    </w:p>
    <w:p>
      <w:pPr>
        <w:jc w:val="both"/>
        <w:ind w:left="640" w:right="20"/>
        <w:spacing w:after="0" w:line="204" w:lineRule="auto"/>
        <w:rPr>
          <w:sz w:val="20"/>
          <w:szCs w:val="20"/>
          <w:color w:val="auto"/>
        </w:rPr>
      </w:pPr>
      <w:r>
        <w:rPr>
          <w:rFonts w:ascii="Times New Roman" w:cs="Times New Roman" w:eastAsia="Times New Roman" w:hAnsi="Times New Roman"/>
          <w:sz w:val="20"/>
          <w:szCs w:val="20"/>
          <w:color w:val="auto"/>
        </w:rPr>
        <w:t>“Interest Period”, the definition of “Alternative Currency Daily Rate”, the definition of “Alternative Currency Term Rate”, timing and frequency of determining rates and making payments of interest, timing of borrowing requests or prepayment, conversion or</w:t>
      </w:r>
    </w:p>
    <w:p>
      <w:pPr>
        <w:ind w:left="640"/>
        <w:spacing w:after="0" w:line="211" w:lineRule="auto"/>
        <w:rPr>
          <w:sz w:val="20"/>
          <w:szCs w:val="20"/>
          <w:color w:val="auto"/>
        </w:rPr>
      </w:pPr>
      <w:r>
        <w:rPr>
          <w:rFonts w:ascii="Times New Roman" w:cs="Times New Roman" w:eastAsia="Times New Roman" w:hAnsi="Times New Roman"/>
          <w:sz w:val="20"/>
          <w:szCs w:val="20"/>
          <w:color w:val="auto"/>
        </w:rPr>
        <w:t>continuation notices, the applicability and length of lookback periods, the day basis for calculating interest for Alternative Currency</w:t>
      </w:r>
    </w:p>
    <w:p>
      <w:pPr>
        <w:spacing w:after="0" w:line="1" w:lineRule="exact"/>
        <w:rPr>
          <w:sz w:val="20"/>
          <w:szCs w:val="20"/>
          <w:color w:val="auto"/>
        </w:rPr>
      </w:pPr>
    </w:p>
    <w:p>
      <w:pPr>
        <w:jc w:val="both"/>
        <w:ind w:left="640"/>
        <w:spacing w:after="0" w:line="204" w:lineRule="auto"/>
        <w:rPr>
          <w:sz w:val="20"/>
          <w:szCs w:val="20"/>
          <w:color w:val="auto"/>
        </w:rPr>
      </w:pPr>
      <w:r>
        <w:rPr>
          <w:rFonts w:ascii="Times New Roman" w:cs="Times New Roman" w:eastAsia="Times New Roman" w:hAnsi="Times New Roman"/>
          <w:sz w:val="20"/>
          <w:szCs w:val="20"/>
          <w:color w:val="auto"/>
        </w:rPr>
        <w:t>Term Rate Loans, the applicability of breakage provisions, and other technical, administrative or operational matters) that the Administrative Agent decides may be appropriate to reflect the adoption and implementation of such Canadian Benchmark</w:t>
      </w:r>
    </w:p>
    <w:p>
      <w:pPr>
        <w:ind w:left="640"/>
        <w:spacing w:after="0" w:line="211" w:lineRule="auto"/>
        <w:rPr>
          <w:sz w:val="20"/>
          <w:szCs w:val="20"/>
          <w:color w:val="auto"/>
        </w:rPr>
      </w:pPr>
      <w:r>
        <w:rPr>
          <w:rFonts w:ascii="Times New Roman" w:cs="Times New Roman" w:eastAsia="Times New Roman" w:hAnsi="Times New Roman"/>
          <w:sz w:val="20"/>
          <w:szCs w:val="20"/>
          <w:color w:val="auto"/>
        </w:rPr>
        <w:t>Replacement and to permit the administration thereof by the Administrative Agent in a manner substantially consistent with market</w:t>
      </w:r>
    </w:p>
    <w:p>
      <w:pPr>
        <w:spacing w:after="0" w:line="1" w:lineRule="exact"/>
        <w:rPr>
          <w:sz w:val="20"/>
          <w:szCs w:val="20"/>
          <w:color w:val="auto"/>
        </w:rPr>
      </w:pPr>
    </w:p>
    <w:p>
      <w:pPr>
        <w:jc w:val="both"/>
        <w:ind w:left="640" w:right="20"/>
        <w:spacing w:after="0" w:line="215" w:lineRule="auto"/>
        <w:rPr>
          <w:sz w:val="20"/>
          <w:szCs w:val="20"/>
          <w:color w:val="auto"/>
        </w:rPr>
      </w:pPr>
      <w:r>
        <w:rPr>
          <w:rFonts w:ascii="Times New Roman" w:cs="Times New Roman" w:eastAsia="Times New Roman" w:hAnsi="Times New Roman"/>
          <w:sz w:val="19"/>
          <w:szCs w:val="19"/>
          <w:color w:val="auto"/>
        </w:rPr>
        <w:t>practice (or, if the Administrative Agent decides that adoption of any portion of such market practice is not administratively feasible or if the Administrative Agent determines that no market practice for the administration of such Canadian Benchmark Replacement</w:t>
      </w:r>
    </w:p>
    <w:p>
      <w:pPr>
        <w:jc w:val="both"/>
        <w:ind w:left="640"/>
        <w:spacing w:after="0" w:line="228" w:lineRule="auto"/>
        <w:rPr>
          <w:sz w:val="20"/>
          <w:szCs w:val="20"/>
          <w:color w:val="auto"/>
        </w:rPr>
      </w:pPr>
      <w:r>
        <w:rPr>
          <w:rFonts w:ascii="Times New Roman" w:cs="Times New Roman" w:eastAsia="Times New Roman" w:hAnsi="Times New Roman"/>
          <w:sz w:val="20"/>
          <w:szCs w:val="20"/>
          <w:color w:val="auto"/>
        </w:rPr>
        <w:t>exists, in such other manner of administration as the Administrative Agent decides is reasonably necessary in connection with the administration of this Agreement and the other Loan Documents).</w:t>
      </w:r>
    </w:p>
    <w:p>
      <w:pPr>
        <w:spacing w:after="0" w:line="176" w:lineRule="exact"/>
        <w:rPr>
          <w:sz w:val="20"/>
          <w:szCs w:val="20"/>
          <w:color w:val="auto"/>
        </w:rPr>
      </w:pPr>
    </w:p>
    <w:p>
      <w:pPr>
        <w:jc w:val="both"/>
        <w:ind w:left="640"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Benchmark Transition Event</w:t>
      </w:r>
      <w:r>
        <w:rPr>
          <w:rFonts w:ascii="Times New Roman" w:cs="Times New Roman" w:eastAsia="Times New Roman" w:hAnsi="Times New Roman"/>
          <w:sz w:val="20"/>
          <w:szCs w:val="20"/>
          <w:color w:val="auto"/>
        </w:rPr>
        <w:t>” means the Canadian Benchmark Replacement Transition Event or any similar or analogous definition in the Credit Agreement.</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CDOR Rate</w:t>
      </w:r>
      <w:r>
        <w:rPr>
          <w:rFonts w:ascii="Times New Roman" w:cs="Times New Roman" w:eastAsia="Times New Roman" w:hAnsi="Times New Roman"/>
          <w:sz w:val="20"/>
          <w:szCs w:val="20"/>
          <w:color w:val="auto"/>
        </w:rPr>
        <w:t>” means CDOR, CDOR Rate or any similar or analogous definition in the Credit Agreement.</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CDOR Rate Loans</w:t>
      </w:r>
      <w:r>
        <w:rPr>
          <w:rFonts w:ascii="Times New Roman" w:cs="Times New Roman" w:eastAsia="Times New Roman" w:hAnsi="Times New Roman"/>
          <w:sz w:val="20"/>
          <w:szCs w:val="20"/>
          <w:color w:val="auto"/>
        </w:rPr>
        <w:t>” means a Loan that bears interest at a rate based on the CDOR Rate.</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means a Committed Loan Notice, Loan Notice, Borrowing Notice, Continuation/Conversion</w:t>
      </w:r>
    </w:p>
    <w:p>
      <w:pPr>
        <w:jc w:val="both"/>
        <w:ind w:left="640"/>
        <w:spacing w:after="0" w:line="221" w:lineRule="auto"/>
        <w:rPr>
          <w:sz w:val="20"/>
          <w:szCs w:val="20"/>
          <w:color w:val="auto"/>
        </w:rPr>
      </w:pPr>
      <w:r>
        <w:rPr>
          <w:rFonts w:ascii="Times New Roman" w:cs="Times New Roman" w:eastAsia="Times New Roman" w:hAnsi="Times New Roman"/>
          <w:sz w:val="20"/>
          <w:szCs w:val="20"/>
          <w:color w:val="auto"/>
        </w:rPr>
        <w:t>Notice, or any similar or analogous definition in the Credit Agreement, and such term shall be deemed to include the Committed Loan Notice attached hereto as Exhibit A.</w:t>
      </w:r>
    </w:p>
    <w:p>
      <w:pPr>
        <w:spacing w:after="0" w:line="202"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4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the Dollar Equivalent or any similar or analogous definition in the Credit Agreement.</w:t>
      </w:r>
    </w:p>
    <w:p>
      <w:pPr>
        <w:spacing w:after="0" w:line="21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as to any Alternative Currency Term Rate Loan, the last day of each Interest Period applicable to such Loan and the applicable maturity date set forth in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an Alternative Currency Term Rate Loan exceeds three months, the respective dates that fall every three months after the beginning of such Interest Period shall also be Interest Payment Dates.</w:t>
      </w:r>
    </w:p>
    <w:p>
      <w:pPr>
        <w:spacing w:after="0" w:line="18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means as to each Alternative Currency Term Rate Loan, the period commencing on the date such Alternative Currency Term Rate Loan is disbursed or converted to or continued as an Alternative Currency Term Rate Loan and ending on the date one or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20"/>
          </w:cols>
          <w:pgMar w:left="340" w:top="1413" w:right="339" w:bottom="1440" w:gutter="0" w:footer="0" w:header="0"/>
        </w:sectPr>
      </w:pPr>
    </w:p>
    <w:bookmarkStart w:id="37" w:name="page38"/>
    <w:bookmarkEnd w:id="37"/>
    <w:p>
      <w:pPr>
        <w:ind w:left="640" w:right="20"/>
        <w:spacing w:after="0" w:line="283" w:lineRule="auto"/>
        <w:rPr>
          <w:sz w:val="20"/>
          <w:szCs w:val="20"/>
          <w:color w:val="auto"/>
        </w:rPr>
      </w:pPr>
      <w:r>
        <w:rPr>
          <w:rFonts w:ascii="Times New Roman" w:cs="Times New Roman" w:eastAsia="Times New Roman" w:hAnsi="Times New Roman"/>
          <w:sz w:val="20"/>
          <w:szCs w:val="20"/>
          <w:color w:val="auto"/>
        </w:rPr>
        <w:t xml:space="preserve">months thereafter, as selected by the Borrower in its Committed Loan Notice (in the case of each requested Interest Period, subject to availability);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46" w:lineRule="exact"/>
        <w:rPr>
          <w:sz w:val="20"/>
          <w:szCs w:val="20"/>
          <w:color w:val="auto"/>
        </w:rPr>
      </w:pPr>
    </w:p>
    <w:p>
      <w:pPr>
        <w:jc w:val="both"/>
        <w:ind w:left="1280" w:firstLine="652"/>
        <w:spacing w:after="0" w:line="261" w:lineRule="auto"/>
        <w:tabs>
          <w:tab w:leader="none" w:pos="237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an Alternative Currency Term Rate Loan, such Business Day falls in another calendar month, in which case such Interest Period shall end on the next preceding Business Day;</w:t>
      </w:r>
    </w:p>
    <w:p>
      <w:pPr>
        <w:spacing w:after="0" w:line="181" w:lineRule="exact"/>
        <w:rPr>
          <w:rFonts w:ascii="Times New Roman" w:cs="Times New Roman" w:eastAsia="Times New Roman" w:hAnsi="Times New Roman"/>
          <w:sz w:val="20"/>
          <w:szCs w:val="20"/>
          <w:color w:val="auto"/>
        </w:rPr>
      </w:pPr>
    </w:p>
    <w:p>
      <w:pPr>
        <w:jc w:val="both"/>
        <w:ind w:left="1280" w:firstLine="652"/>
        <w:spacing w:after="0" w:line="261" w:lineRule="auto"/>
        <w:tabs>
          <w:tab w:leader="none" w:pos="237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an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Times New Roman" w:cs="Times New Roman" w:eastAsia="Times New Roman" w:hAnsi="Times New Roman"/>
          <w:sz w:val="20"/>
          <w:szCs w:val="20"/>
          <w:color w:val="auto"/>
        </w:rPr>
      </w:pPr>
    </w:p>
    <w:p>
      <w:pPr>
        <w:ind w:left="2340" w:hanging="408"/>
        <w:spacing w:after="0"/>
        <w:tabs>
          <w:tab w:leader="none" w:pos="23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applicable maturity date set forth in the Credit Agreement.</w:t>
      </w:r>
    </w:p>
    <w:p>
      <w:pPr>
        <w:spacing w:after="0" w:line="212" w:lineRule="exact"/>
        <w:rPr>
          <w:sz w:val="20"/>
          <w:szCs w:val="20"/>
          <w:color w:val="auto"/>
        </w:rPr>
      </w:pPr>
    </w:p>
    <w:p>
      <w:pPr>
        <w:jc w:val="both"/>
        <w:ind w:left="640"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means two (2) Business Days prior to the commencement of such Interest Period (or such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2" w:lineRule="exact"/>
        <w:rPr>
          <w:sz w:val="20"/>
          <w:szCs w:val="20"/>
          <w:color w:val="auto"/>
        </w:rPr>
      </w:pPr>
    </w:p>
    <w:p>
      <w:pPr>
        <w:jc w:val="both"/>
        <w:ind w:left="64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the Required Lenders, Requisite Lenders, Majority Lenders or any similar or analogous definition in the Credit Agreement.</w:t>
      </w:r>
    </w:p>
    <w:p>
      <w:pPr>
        <w:spacing w:after="0" w:line="17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means, with respect to any Loan, each of the following: (a) each date of a Borrowing of an Alternative Currency Term Rate Loan, (b) each date of a continuation of an Alternative Currency Term Rate Loan pursuant to the terms of the Credit Agreement, and (c) such additional dates as the Administrative Agent shall determine or the Required Lenders shall require.</w:t>
      </w:r>
    </w:p>
    <w:p>
      <w:pPr>
        <w:spacing w:after="0" w:line="181" w:lineRule="exact"/>
        <w:rPr>
          <w:sz w:val="20"/>
          <w:szCs w:val="20"/>
          <w:color w:val="auto"/>
        </w:rPr>
      </w:pPr>
    </w:p>
    <w:p>
      <w:pPr>
        <w:jc w:val="both"/>
        <w:ind w:left="640"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Adjustment</w:t>
      </w:r>
      <w:r>
        <w:rPr>
          <w:rFonts w:ascii="Times New Roman" w:cs="Times New Roman" w:eastAsia="Times New Roman" w:hAnsi="Times New Roman"/>
          <w:sz w:val="20"/>
          <w:szCs w:val="20"/>
          <w:color w:val="auto"/>
        </w:rPr>
        <w:t>” means (i) 0.29547% (29.547 basis points) for an Interest Period of one-month’s duration and 0.32138% (32.138 basis points) for an Interest Period of three-months’ duration.</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an Alternative Currency Term Rate Loan.</w:t>
      </w:r>
    </w:p>
    <w:p>
      <w:pPr>
        <w:spacing w:after="0" w:line="216" w:lineRule="exact"/>
        <w:rPr>
          <w:sz w:val="20"/>
          <w:szCs w:val="20"/>
          <w:color w:val="auto"/>
        </w:rPr>
      </w:pPr>
    </w:p>
    <w:p>
      <w:pPr>
        <w:ind w:left="-20" w:right="20" w:firstLine="656"/>
        <w:spacing w:after="0" w:line="283" w:lineRule="auto"/>
        <w:tabs>
          <w:tab w:leader="none" w:pos="101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Applicable to Alternative Currency Term Rate Loans</w:t>
      </w:r>
      <w:r>
        <w:rPr>
          <w:rFonts w:ascii="Times New Roman" w:cs="Times New Roman" w:eastAsia="Times New Roman" w:hAnsi="Times New Roman"/>
          <w:sz w:val="20"/>
          <w:szCs w:val="20"/>
          <w:color w:val="auto"/>
        </w:rPr>
        <w:t>. From and after the Amendment Effective Date, the parties hereto agree as follows, solely with respect to Alternative Currency Term Rate Loans:</w:t>
      </w:r>
    </w:p>
    <w:p>
      <w:pPr>
        <w:spacing w:after="0" w:line="159" w:lineRule="exact"/>
        <w:rPr>
          <w:rFonts w:ascii="Times New Roman" w:cs="Times New Roman" w:eastAsia="Times New Roman" w:hAnsi="Times New Roman"/>
          <w:sz w:val="20"/>
          <w:szCs w:val="20"/>
          <w:color w:val="auto"/>
        </w:rPr>
      </w:pPr>
    </w:p>
    <w:p>
      <w:pPr>
        <w:jc w:val="both"/>
        <w:ind w:left="640" w:firstLine="644"/>
        <w:spacing w:after="0" w:line="254" w:lineRule="auto"/>
        <w:tabs>
          <w:tab w:leader="none" w:pos="174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Alternative Currencies</w:t>
      </w:r>
      <w:r>
        <w:rPr>
          <w:rFonts w:ascii="Times New Roman" w:cs="Times New Roman" w:eastAsia="Times New Roman" w:hAnsi="Times New Roman"/>
          <w:sz w:val="20"/>
          <w:szCs w:val="20"/>
          <w:color w:val="auto"/>
        </w:rPr>
        <w:t xml:space="preserve">. (i) Canadian Dollars shall not be considered a currency for which there is a published CDOR Rate, and (ii) any request for a new Loan denominated in Canadian Dollars, or to continue an existing Loan denominated in Canadian Dollars, shall be deemed to be a request for a new Loan bearing interest at the Alternative Currency Term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to the extent any Loan bearing interest at the CDOR Rate is outstanding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20"/>
          </w:cols>
          <w:pgMar w:left="340" w:top="1413" w:right="339" w:bottom="1440" w:gutter="0" w:footer="0" w:header="0"/>
        </w:sectPr>
      </w:pPr>
    </w:p>
    <w:bookmarkStart w:id="38" w:name="page39"/>
    <w:bookmarkEnd w:id="38"/>
    <w:p>
      <w:pPr>
        <w:ind w:left="640"/>
        <w:spacing w:after="0" w:line="283" w:lineRule="auto"/>
        <w:rPr>
          <w:sz w:val="20"/>
          <w:szCs w:val="20"/>
          <w:color w:val="auto"/>
        </w:rPr>
      </w:pPr>
      <w:r>
        <w:rPr>
          <w:rFonts w:ascii="Times New Roman" w:cs="Times New Roman" w:eastAsia="Times New Roman" w:hAnsi="Times New Roman"/>
          <w:sz w:val="20"/>
          <w:szCs w:val="20"/>
          <w:color w:val="auto"/>
        </w:rPr>
        <w:t>Amendment Effective Date, such Loan shall continue to bear interest at the CDOR Rate until the end of the current Interest Period or payment period applicable to such Loan.</w:t>
      </w:r>
    </w:p>
    <w:p>
      <w:pPr>
        <w:spacing w:after="0" w:line="146" w:lineRule="exact"/>
        <w:rPr>
          <w:sz w:val="20"/>
          <w:szCs w:val="20"/>
          <w:color w:val="auto"/>
        </w:rPr>
      </w:pPr>
    </w:p>
    <w:p>
      <w:pPr>
        <w:ind w:left="1760" w:hanging="476"/>
        <w:spacing w:after="0"/>
        <w:tabs>
          <w:tab w:leader="none" w:pos="1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References to CDOR Rate and CDOR Rate Loans in the Credit Agreement and Loan Documents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280" w:firstLine="652"/>
        <w:spacing w:after="0" w:line="261" w:lineRule="auto"/>
        <w:tabs>
          <w:tab w:leader="none" w:pos="246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the CDOR Rate and CDOR Rate Loans in provisions of the Credit Agreement and the other Loan Documents that are not specifically addressed herein (other than the definitions of CDOR Rate and CDOR Rate Loan) shall be deemed to include the Alternative Currency Term Rate, and Alternative Currency Term Rate Loans, as applicable.</w:t>
      </w:r>
    </w:p>
    <w:p>
      <w:pPr>
        <w:spacing w:after="0" w:line="181" w:lineRule="exact"/>
        <w:rPr>
          <w:rFonts w:ascii="Times New Roman" w:cs="Times New Roman" w:eastAsia="Times New Roman" w:hAnsi="Times New Roman"/>
          <w:sz w:val="20"/>
          <w:szCs w:val="20"/>
          <w:color w:val="auto"/>
        </w:rPr>
      </w:pPr>
    </w:p>
    <w:p>
      <w:pPr>
        <w:jc w:val="both"/>
        <w:ind w:left="1280" w:firstLine="652"/>
        <w:spacing w:after="0" w:line="253" w:lineRule="auto"/>
        <w:tabs>
          <w:tab w:leader="none" w:pos="246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requirement for the Borrower to compensate Lenders for losses in the Credit Agreement resulting from any continuation, conversion, payment or prepayment of any Alternative Currency Term Rate Loan on a day other than the last day of any Interest Period (as defined in the Credit Agreement), references to the Interest Period (as defined in the Credit Agreement) shall be deemed to include any relevant interest payment date or payment period for an Alternative Currency Term Rate Loan.</w:t>
      </w:r>
    </w:p>
    <w:p>
      <w:pPr>
        <w:spacing w:after="0" w:line="191" w:lineRule="exact"/>
        <w:rPr>
          <w:rFonts w:ascii="Times New Roman" w:cs="Times New Roman" w:eastAsia="Times New Roman" w:hAnsi="Times New Roman"/>
          <w:sz w:val="20"/>
          <w:szCs w:val="20"/>
          <w:color w:val="auto"/>
        </w:rPr>
      </w:pPr>
    </w:p>
    <w:p>
      <w:pPr>
        <w:ind w:left="640" w:firstLine="644"/>
        <w:spacing w:after="0" w:line="269" w:lineRule="auto"/>
        <w:tabs>
          <w:tab w:leader="none" w:pos="190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Borrowings and Continuations of Alternative Currency Term Rate Loans</w:t>
      </w:r>
      <w:r>
        <w:rPr>
          <w:rFonts w:ascii="Times New Roman" w:cs="Times New Roman" w:eastAsia="Times New Roman" w:hAnsi="Times New Roman"/>
          <w:sz w:val="20"/>
          <w:szCs w:val="20"/>
          <w:color w:val="auto"/>
        </w:rPr>
        <w:t>. In addition to any other borrowing requirements set forth in the Credit Agreement:</w:t>
      </w:r>
    </w:p>
    <w:p>
      <w:pPr>
        <w:spacing w:after="0" w:line="172" w:lineRule="exact"/>
        <w:rPr>
          <w:rFonts w:ascii="Times New Roman" w:cs="Times New Roman" w:eastAsia="Times New Roman" w:hAnsi="Times New Roman"/>
          <w:sz w:val="20"/>
          <w:szCs w:val="20"/>
          <w:color w:val="auto"/>
        </w:rPr>
      </w:pPr>
    </w:p>
    <w:p>
      <w:pPr>
        <w:jc w:val="both"/>
        <w:ind w:left="1280" w:firstLine="652"/>
        <w:spacing w:after="0" w:line="248" w:lineRule="auto"/>
        <w:tabs>
          <w:tab w:leader="none" w:pos="2367"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Alternative Currency Term Rate Loans</w:t>
      </w:r>
      <w:r>
        <w:rPr>
          <w:rFonts w:ascii="Times New Roman" w:cs="Times New Roman" w:eastAsia="Times New Roman" w:hAnsi="Times New Roman"/>
          <w:sz w:val="20"/>
          <w:szCs w:val="20"/>
          <w:color w:val="auto"/>
        </w:rPr>
        <w:t xml:space="preserve">. Each Borrowing of Alternative Currency Term Rate Loans, and each continuation of a Alternative Currency Term Rate Loan shall be made upon the Borrower’s irrevocable notice to the Administrative Agent, which may be given by (A) telephone or (B) a Committed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Administrative Agent of a Committed Loan Notice. Each such Committed Loan Notice must be received by the Administrative Agent not later than 11:00 a.m. (Eastern time) three Business Days prior to the requested date of any Borrowing of or any continuation of Alternative Currency Term Rate Loans. Each Borrowing of or continuation of Alternative Currency Term Rate Loans shall be in a principal amount of the Dollar Equivalent of $500,000 or a whole multiple of the Dollar Equivalent of $100,000 in excess thereof. Each Committed Loan Notice shall specify (i) whether the Borrower is requesting a Borrowing or a continuation of Alternative Currency Term Rate Loans, (ii) the requested date of the Borrowing or continuation, as the case may be (which shall be a Business Day), (iii) the currency and principal amount of Loans to be borrowed or continued, (iv) the Type of Loans to be borrowed, (v) if applicable, the duration of the Interest Period with respect thereto. If the Borrower fails to specify a currency in a Committed Loan Notice requesting a Borrowing, then the Loans so requested shall be made in Dollars. If the Borrower fails to specify a Type of Loan in a Committed Loan Notice or if such Borrower fails to give a timely notice requesting a continuation, then the applicable Loans shall be made as Base Rate Loans denominated in Dollars;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a failure to timely request a continuation of Alternative Currency Term Rate Loans, such Loans shall be continued as Alternative Currency Term Rate Loans in their original currency with an Interest Period of one (1) month. If the Borrower requests a Borrowing of or continuation of Alternative Currency Term Rate Loans in any such Committed Loan Notice, but fails to specify an Interest Period, it will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20"/>
          </w:cols>
          <w:pgMar w:left="340" w:top="1413" w:right="339" w:bottom="1440" w:gutter="0" w:footer="0" w:header="0"/>
        </w:sectPr>
      </w:pPr>
    </w:p>
    <w:bookmarkStart w:id="39" w:name="page40"/>
    <w:bookmarkEnd w:id="39"/>
    <w:p>
      <w:pPr>
        <w:jc w:val="both"/>
        <w:ind w:left="1280"/>
        <w:spacing w:after="0" w:line="261" w:lineRule="auto"/>
        <w:rPr>
          <w:sz w:val="20"/>
          <w:szCs w:val="20"/>
          <w:color w:val="auto"/>
        </w:rPr>
      </w:pPr>
      <w:r>
        <w:rPr>
          <w:rFonts w:ascii="Times New Roman" w:cs="Times New Roman" w:eastAsia="Times New Roman" w:hAnsi="Times New Roman"/>
          <w:sz w:val="20"/>
          <w:szCs w:val="20"/>
          <w:color w:val="auto"/>
        </w:rPr>
        <w:t>specified an Interest Period of one month. Except as otherwise specified in the Credit Agreement, no Alternative Currency Term Rate Loan may be converted into or continued as a Loan denominated in a different currency, but instead must be repaid in the original currency of such Alternative Currency Term Rate Loan and reborrowed in the other currency.</w:t>
      </w:r>
    </w:p>
    <w:p>
      <w:pPr>
        <w:spacing w:after="0" w:line="181" w:lineRule="exact"/>
        <w:rPr>
          <w:sz w:val="20"/>
          <w:szCs w:val="20"/>
          <w:color w:val="auto"/>
        </w:rPr>
      </w:pPr>
    </w:p>
    <w:p>
      <w:pPr>
        <w:jc w:val="both"/>
        <w:ind w:left="1280" w:firstLine="652"/>
        <w:spacing w:after="0" w:line="261" w:lineRule="auto"/>
        <w:tabs>
          <w:tab w:leader="none" w:pos="2529"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For purposes of a Borrowing of Alternative Currency Term Rate Loans, or a continuation of and Alternative Currency Term Rate Loan, the Borrower shall use the Committed Loan Notice attached hereto as Exhibit A.</w:t>
      </w:r>
    </w:p>
    <w:p>
      <w:pPr>
        <w:spacing w:after="0" w:line="181"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280" w:firstLine="254"/>
        <w:spacing w:after="0" w:line="261" w:lineRule="auto"/>
        <w:tabs>
          <w:tab w:leader="none" w:pos="196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the Credit Agreement with respect to default interest,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81" w:lineRule="exact"/>
        <w:rPr>
          <w:sz w:val="20"/>
          <w:szCs w:val="20"/>
          <w:color w:val="auto"/>
        </w:rPr>
      </w:pPr>
    </w:p>
    <w:p>
      <w:pPr>
        <w:jc w:val="both"/>
        <w:ind w:left="1280" w:firstLine="225"/>
        <w:spacing w:after="0" w:line="253" w:lineRule="auto"/>
        <w:tabs>
          <w:tab w:leader="none" w:pos="1963"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on each Alternative Currency Term Rate Loan shall be due and payable in arrears on each Interest Payment Date applicable thereto and at such other times as may be specified in the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prepayment of any Alternative Currency Term Rate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Interest hereunder shall be due and payable in accordance with the terms hereof before and after judgment, and before and after the commencement of any proceeding under any debtor relief law.</w:t>
      </w:r>
    </w:p>
    <w:p>
      <w:pPr>
        <w:spacing w:after="0" w:line="192" w:lineRule="exact"/>
        <w:rPr>
          <w:rFonts w:ascii="Times New Roman" w:cs="Times New Roman" w:eastAsia="Times New Roman" w:hAnsi="Times New Roman"/>
          <w:sz w:val="20"/>
          <w:szCs w:val="20"/>
          <w:color w:val="auto"/>
        </w:rPr>
      </w:pPr>
    </w:p>
    <w:p>
      <w:pPr>
        <w:jc w:val="both"/>
        <w:ind w:left="640" w:firstLine="644"/>
        <w:spacing w:after="0" w:line="261" w:lineRule="auto"/>
        <w:tabs>
          <w:tab w:leader="none" w:pos="174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Canadian Benchmark Replacements</w:t>
      </w:r>
      <w:r>
        <w:rPr>
          <w:rFonts w:ascii="Times New Roman" w:cs="Times New Roman" w:eastAsia="Times New Roman" w:hAnsi="Times New Roman"/>
          <w:sz w:val="20"/>
          <w:szCs w:val="20"/>
          <w:color w:val="auto"/>
        </w:rPr>
        <w:t>. The provisions in the Credit Agreement addressing the replacement of a current Canadian Benchmark and Canadian Benchmark Transition Events shall be deemed to apply to Alternative Currency Term Rate Loans and Term CORRA,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20"/>
          </w:cols>
          <w:pgMar w:left="340" w:top="141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LOAN NOTICE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(Alternative Currency Term Rate Loans)</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Date: June 26,2024</w:t>
      </w:r>
      <w:r>
        <w:rPr>
          <w:rFonts w:ascii="Times New Roman" w:cs="Times New Roman" w:eastAsia="Times New Roman" w:hAnsi="Times New Roman"/>
          <w:sz w:val="25"/>
          <w:szCs w:val="25"/>
          <w:color w:val="auto"/>
          <w:vertAlign w:val="superscript"/>
        </w:rPr>
        <w:t>1</w:t>
      </w: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19"/>
          <w:szCs w:val="19"/>
          <w:color w:val="auto"/>
        </w:rPr>
        <w:t>Bank of America, N.A., as Administrative Agent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Reference is made to that certain Amended and Restated Credit Agreement dated as of September 27, 2019 (as amended, restated, extended, supplemented or otherwise modified in writing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terms defined therein being used herein as therein defined), among POWELL INDUSTRIES,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thereto, the Lenders from time to time party thereto, and Bank of America, N.A., as Administrative Agent.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hereby requests (select one)</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[Revolving Facility]</w:t>
      </w:r>
    </w:p>
    <w:p>
      <w:pPr>
        <w:spacing w:after="0" w:line="276" w:lineRule="exact"/>
        <w:rPr>
          <w:sz w:val="20"/>
          <w:szCs w:val="20"/>
          <w:color w:val="auto"/>
        </w:rPr>
      </w:pPr>
    </w:p>
    <w:tbl>
      <w:tblPr>
        <w:tblLayout w:type="fixed"/>
        <w:tblInd w:w="210" w:type="dxa"/>
        <w:tblCellMar>
          <w:top w:w="0" w:type="dxa"/>
          <w:left w:w="0" w:type="dxa"/>
          <w:bottom w:w="0" w:type="dxa"/>
          <w:right w:w="0" w:type="dxa"/>
        </w:tblCellMar>
      </w:tblPr>
      <w:tr>
        <w:trPr>
          <w:trHeight w:val="230"/>
        </w:trPr>
        <w:tc>
          <w:tcPr>
            <w:tcW w:w="520" w:type="dxa"/>
            <w:vAlign w:val="bottom"/>
            <w:tcBorders>
              <w:top w:val="single" w:sz="8" w:color="auto"/>
              <w:left w:val="single" w:sz="8" w:color="auto"/>
            </w:tcBorders>
          </w:tcPr>
          <w:p>
            <w:pPr>
              <w:spacing w:after="0"/>
              <w:rPr>
                <w:sz w:val="19"/>
                <w:szCs w:val="19"/>
                <w:color w:val="auto"/>
              </w:rPr>
            </w:pPr>
          </w:p>
        </w:tc>
        <w:tc>
          <w:tcPr>
            <w:tcW w:w="1300" w:type="dxa"/>
            <w:vAlign w:val="bottom"/>
            <w:tcBorders>
              <w:top w:val="single" w:sz="8" w:color="auto"/>
              <w:right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150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1720" w:type="dxa"/>
            <w:vAlign w:val="bottom"/>
            <w:tcBorders>
              <w:top w:val="single" w:sz="8" w:color="auto"/>
              <w:right w:val="single" w:sz="8" w:color="auto"/>
            </w:tcBorders>
            <w:gridSpan w:val="3"/>
          </w:tcPr>
          <w:p>
            <w:pPr>
              <w:ind w:left="480"/>
              <w:spacing w:after="0"/>
              <w:rPr>
                <w:sz w:val="20"/>
                <w:szCs w:val="20"/>
                <w:color w:val="auto"/>
              </w:rPr>
            </w:pPr>
            <w:r>
              <w:rPr>
                <w:rFonts w:ascii="Times New Roman" w:cs="Times New Roman" w:eastAsia="Times New Roman" w:hAnsi="Times New Roman"/>
                <w:sz w:val="20"/>
                <w:szCs w:val="20"/>
                <w:b w:val="1"/>
                <w:bCs w:val="1"/>
                <w:color w:val="auto"/>
              </w:rPr>
              <w:t>Indicate:</w:t>
            </w:r>
          </w:p>
        </w:tc>
        <w:tc>
          <w:tcPr>
            <w:tcW w:w="202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Indicate:</w:t>
            </w:r>
          </w:p>
        </w:tc>
        <w:tc>
          <w:tcPr>
            <w:tcW w:w="2060" w:type="dxa"/>
            <w:vAlign w:val="bottom"/>
            <w:tcBorders>
              <w:top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For Term CORRA</w:t>
            </w: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223"/>
        </w:trPr>
        <w:tc>
          <w:tcPr>
            <w:tcW w:w="1820" w:type="dxa"/>
            <w:vAlign w:val="bottom"/>
            <w:tcBorders>
              <w:left w:val="single" w:sz="8" w:color="auto"/>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b w:val="1"/>
                <w:bCs w:val="1"/>
                <w:color w:val="auto"/>
                <w:w w:val="98"/>
              </w:rPr>
              <w:t>Borrowing,</w:t>
            </w:r>
          </w:p>
        </w:tc>
        <w:tc>
          <w:tcPr>
            <w:tcW w:w="1500" w:type="dxa"/>
            <w:vAlign w:val="bottom"/>
            <w:tcBorders>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b w:val="1"/>
                <w:bCs w:val="1"/>
                <w:color w:val="auto"/>
                <w:w w:val="98"/>
              </w:rPr>
              <w:t>Borrower Name</w:t>
            </w:r>
          </w:p>
        </w:tc>
        <w:tc>
          <w:tcPr>
            <w:tcW w:w="1480" w:type="dxa"/>
            <w:vAlign w:val="bottom"/>
            <w:tcBorders>
              <w:right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Requested</w:t>
            </w:r>
          </w:p>
        </w:tc>
        <w:tc>
          <w:tcPr>
            <w:tcW w:w="1720" w:type="dxa"/>
            <w:vAlign w:val="bottom"/>
            <w:tcBorders>
              <w:right w:val="single" w:sz="8" w:color="auto"/>
            </w:tcBorders>
            <w:gridSpan w:val="3"/>
          </w:tcPr>
          <w:p>
            <w:pPr>
              <w:ind w:left="460"/>
              <w:spacing w:after="0" w:line="223" w:lineRule="exact"/>
              <w:rPr>
                <w:sz w:val="20"/>
                <w:szCs w:val="20"/>
                <w:color w:val="auto"/>
              </w:rPr>
            </w:pPr>
            <w:r>
              <w:rPr>
                <w:rFonts w:ascii="Times New Roman" w:cs="Times New Roman" w:eastAsia="Times New Roman" w:hAnsi="Times New Roman"/>
                <w:sz w:val="20"/>
                <w:szCs w:val="20"/>
                <w:b w:val="1"/>
                <w:bCs w:val="1"/>
                <w:color w:val="auto"/>
              </w:rPr>
              <w:t>Currency</w:t>
            </w:r>
          </w:p>
        </w:tc>
        <w:tc>
          <w:tcPr>
            <w:tcW w:w="2020" w:type="dxa"/>
            <w:vAlign w:val="bottom"/>
            <w:tcBorders>
              <w:right w:val="single" w:sz="8" w:color="auto"/>
            </w:tcBorders>
            <w:gridSpan w:val="3"/>
          </w:tcPr>
          <w:p>
            <w:pPr>
              <w:jc w:val="center"/>
              <w:ind w:right="20"/>
              <w:spacing w:after="0" w:line="223" w:lineRule="exact"/>
              <w:rPr>
                <w:sz w:val="20"/>
                <w:szCs w:val="20"/>
                <w:color w:val="auto"/>
              </w:rPr>
            </w:pPr>
            <w:r>
              <w:rPr>
                <w:rFonts w:ascii="Times New Roman" w:cs="Times New Roman" w:eastAsia="Times New Roman" w:hAnsi="Times New Roman"/>
                <w:sz w:val="20"/>
                <w:szCs w:val="20"/>
                <w:b w:val="1"/>
                <w:bCs w:val="1"/>
                <w:color w:val="auto"/>
                <w:w w:val="97"/>
              </w:rPr>
              <w:t>Term CORRA Loan</w:t>
            </w:r>
          </w:p>
        </w:tc>
        <w:tc>
          <w:tcPr>
            <w:tcW w:w="240" w:type="dxa"/>
            <w:vAlign w:val="bottom"/>
          </w:tcPr>
          <w:p>
            <w:pPr>
              <w:spacing w:after="0"/>
              <w:rPr>
                <w:sz w:val="19"/>
                <w:szCs w:val="19"/>
                <w:color w:val="auto"/>
              </w:rPr>
            </w:pPr>
          </w:p>
        </w:tc>
        <w:tc>
          <w:tcPr>
            <w:tcW w:w="1820" w:type="dxa"/>
            <w:vAlign w:val="bottom"/>
            <w:tcBorders>
              <w:right w:val="single" w:sz="8" w:color="auto"/>
            </w:tcBorders>
            <w:gridSpan w:val="4"/>
          </w:tcPr>
          <w:p>
            <w:pPr>
              <w:jc w:val="center"/>
              <w:ind w:right="260"/>
              <w:spacing w:after="0" w:line="223" w:lineRule="exact"/>
              <w:rPr>
                <w:sz w:val="20"/>
                <w:szCs w:val="20"/>
                <w:color w:val="auto"/>
              </w:rPr>
            </w:pPr>
            <w:r>
              <w:rPr>
                <w:rFonts w:ascii="Times New Roman" w:cs="Times New Roman" w:eastAsia="Times New Roman" w:hAnsi="Times New Roman"/>
                <w:sz w:val="20"/>
                <w:szCs w:val="20"/>
                <w:b w:val="1"/>
                <w:bCs w:val="1"/>
                <w:color w:val="auto"/>
                <w:w w:val="98"/>
              </w:rPr>
              <w:t>Loans Indicate:</w:t>
            </w:r>
          </w:p>
        </w:tc>
      </w:tr>
      <w:tr>
        <w:trPr>
          <w:trHeight w:val="237"/>
        </w:trPr>
        <w:tc>
          <w:tcPr>
            <w:tcW w:w="18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Conversion or</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right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43"/>
        </w:trPr>
        <w:tc>
          <w:tcPr>
            <w:tcW w:w="182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Continuation</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Interest Period (e.g., 1</w:t>
            </w:r>
          </w:p>
        </w:tc>
      </w:tr>
      <w:tr>
        <w:trPr>
          <w:trHeight w:val="243"/>
        </w:trPr>
        <w:tc>
          <w:tcPr>
            <w:tcW w:w="52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Borders>
              <w:righ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or 3 month interest</w:t>
            </w:r>
          </w:p>
        </w:tc>
      </w:tr>
      <w:tr>
        <w:trPr>
          <w:trHeight w:val="262"/>
        </w:trPr>
        <w:tc>
          <w:tcPr>
            <w:tcW w:w="520" w:type="dxa"/>
            <w:vAlign w:val="bottom"/>
            <w:tcBorders>
              <w:left w:val="single" w:sz="8" w:color="auto"/>
            </w:tcBorders>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Borders>
              <w:right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period)</w:t>
            </w:r>
          </w:p>
        </w:tc>
      </w:tr>
      <w:tr>
        <w:trPr>
          <w:trHeight w:val="21"/>
        </w:trPr>
        <w:tc>
          <w:tcPr>
            <w:tcW w:w="520" w:type="dxa"/>
            <w:vAlign w:val="bottom"/>
            <w:tcBorders>
              <w:left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r>
      <w:tr>
        <w:trPr>
          <w:trHeight w:val="318"/>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r>
      <w:tr>
        <w:trPr>
          <w:trHeight w:val="318"/>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r>
      <w:tr>
        <w:trPr>
          <w:trHeight w:val="345"/>
        </w:trPr>
        <w:tc>
          <w:tcPr>
            <w:tcW w:w="52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Borrowing, if any, requested herein complies with the requirements set forth in the Credit Agreement.</w:t>
      </w:r>
    </w:p>
    <w:p>
      <w:pPr>
        <w:spacing w:after="0" w:line="2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POWELL INDUSTRIES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INC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-10795</wp:posOffset>
            </wp:positionV>
            <wp:extent cx="7537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39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Michael W. Metcalf</w:t>
      </w:r>
    </w:p>
    <w:p>
      <w:pPr>
        <w:spacing w:after="0" w:line="13" w:lineRule="exact"/>
        <w:rPr>
          <w:sz w:val="20"/>
          <w:szCs w:val="20"/>
          <w:color w:val="auto"/>
        </w:rPr>
      </w:pPr>
    </w:p>
    <w:p>
      <w:pPr>
        <w:ind w:left="3240"/>
        <w:spacing w:after="0"/>
        <w:tabs>
          <w:tab w:leader="none" w:pos="3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1714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560" w:firstLine="8"/>
        <w:spacing w:after="0" w:line="229" w:lineRule="auto"/>
        <w:tabs>
          <w:tab w:leader="none" w:pos="103"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auto"/>
        </w:rPr>
        <w:t>Note to Borrower</w:t>
      </w:r>
      <w:r>
        <w:rPr>
          <w:rFonts w:ascii="Times New Roman" w:cs="Times New Roman" w:eastAsia="Times New Roman" w:hAnsi="Times New Roman"/>
          <w:sz w:val="18"/>
          <w:szCs w:val="18"/>
          <w:color w:val="auto"/>
        </w:rPr>
        <w:t>. All requests submitted under a single Committed Loan Notice must be effective on the same date. If multiple effective dates are needed, multiple Committed Loan Notices will need to be prepared and signed.</w:t>
      </w:r>
    </w:p>
    <w:p>
      <w:pPr>
        <w:ind w:right="260"/>
        <w:spacing w:after="0" w:line="21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 to Borrower</w:t>
      </w:r>
      <w:r>
        <w:rPr>
          <w:rFonts w:ascii="Times New Roman" w:cs="Times New Roman" w:eastAsia="Times New Roman" w:hAnsi="Times New Roman"/>
          <w:sz w:val="18"/>
          <w:szCs w:val="18"/>
          <w:color w:val="auto"/>
        </w:rPr>
        <w:t>. For multiple borrowings, conversions and/or continuations for a particular facility, fill out a new row for each borrowing/conversion and/or continuation.</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4863-4483-5784 v.2</w:t>
      </w:r>
    </w:p>
    <w:p>
      <w:pPr>
        <w:sectPr>
          <w:pgSz w:w="11900" w:h="16838" w:orient="portrait"/>
          <w:cols w:equalWidth="0" w:num="1">
            <w:col w:w="11240"/>
          </w:cols>
          <w:pgMar w:left="320" w:top="1413" w:right="33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8" w:lineRule="exact"/>
        <w:rPr>
          <w:rFonts w:ascii="Times New Roman" w:cs="Times New Roman" w:eastAsia="Times New Roman" w:hAnsi="Times New Roman"/>
          <w:sz w:val="16"/>
          <w:szCs w:val="16"/>
          <w:color w:val="auto"/>
        </w:rPr>
      </w:pPr>
    </w:p>
    <w:p>
      <w:pPr>
        <w:ind w:left="660" w:right="300" w:hanging="328"/>
        <w:spacing w:after="0" w:line="280"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300" w:right="340" w:hanging="320"/>
        <w:spacing w:after="0" w:line="298" w:lineRule="auto"/>
        <w:tabs>
          <w:tab w:leader="none" w:pos="130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President and Chief Executive Officer</w:t>
      </w: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7"/>
          <w:szCs w:val="17"/>
          <w:color w:val="auto"/>
        </w:rPr>
        <w:t>July 31, 2024</w:t>
      </w:r>
    </w:p>
    <w:p>
      <w:pPr>
        <w:sectPr>
          <w:pgSz w:w="11900" w:h="16838" w:orient="portrait"/>
          <w:cols w:equalWidth="0" w:num="1">
            <w:col w:w="11240"/>
          </w:cols>
          <w:pgMar w:left="320" w:top="89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261"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5"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jc w:val="both"/>
        <w:ind w:left="660" w:right="340" w:hanging="328"/>
        <w:spacing w:after="0" w:line="272"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Times New Roman" w:cs="Times New Roman" w:eastAsia="Times New Roman" w:hAnsi="Times New Roman"/>
          <w:sz w:val="16"/>
          <w:szCs w:val="16"/>
          <w:color w:val="auto"/>
        </w:rPr>
      </w:pPr>
    </w:p>
    <w:p>
      <w:pPr>
        <w:ind w:left="1300" w:right="40" w:hanging="320"/>
        <w:spacing w:after="0" w:line="272" w:lineRule="auto"/>
        <w:tabs>
          <w:tab w:leader="none" w:pos="129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6"/>
          <w:szCs w:val="16"/>
          <w:color w:val="auto"/>
        </w:rPr>
      </w:pPr>
    </w:p>
    <w:p>
      <w:pPr>
        <w:ind w:left="1300" w:right="140" w:hanging="320"/>
        <w:spacing w:after="0" w:line="263" w:lineRule="auto"/>
        <w:tabs>
          <w:tab w:leader="none" w:pos="130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Times New Roman" w:cs="Times New Roman" w:eastAsia="Times New Roman" w:hAnsi="Times New Roman"/>
          <w:sz w:val="16"/>
          <w:szCs w:val="16"/>
          <w:color w:val="auto"/>
        </w:rPr>
      </w:pPr>
    </w:p>
    <w:p>
      <w:pPr>
        <w:ind w:left="1300" w:right="180" w:hanging="320"/>
        <w:spacing w:after="0" w:line="280" w:lineRule="auto"/>
        <w:tabs>
          <w:tab w:leader="none" w:pos="129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300" w:right="180" w:hanging="320"/>
        <w:spacing w:after="0" w:line="263" w:lineRule="auto"/>
        <w:tabs>
          <w:tab w:leader="none" w:pos="130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Times New Roman" w:cs="Times New Roman" w:eastAsia="Times New Roman" w:hAnsi="Times New Roman"/>
          <w:sz w:val="16"/>
          <w:szCs w:val="16"/>
          <w:color w:val="auto"/>
        </w:rPr>
      </w:pPr>
    </w:p>
    <w:p>
      <w:pPr>
        <w:ind w:left="660" w:right="300" w:hanging="328"/>
        <w:spacing w:after="0" w:line="298"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140" w:hanging="320"/>
        <w:spacing w:after="0" w:line="280" w:lineRule="auto"/>
        <w:tabs>
          <w:tab w:leader="none" w:pos="1291"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1300" w:right="340" w:hanging="320"/>
        <w:spacing w:after="0" w:line="280" w:lineRule="auto"/>
        <w:tabs>
          <w:tab w:leader="none" w:pos="130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4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40"/>
        <w:spacing w:after="0" w:line="211"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7"/>
          <w:szCs w:val="17"/>
          <w:color w:val="auto"/>
        </w:rPr>
        <w:t>July 31, 2024</w:t>
      </w:r>
    </w:p>
    <w:p>
      <w:pPr>
        <w:sectPr>
          <w:pgSz w:w="11900" w:h="16838" w:orient="portrait"/>
          <w:cols w:equalWidth="0" w:num="1">
            <w:col w:w="11240"/>
          </w:cols>
          <w:pgMar w:left="320" w:top="89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8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color w:val="auto"/>
        </w:rPr>
        <w:t xml:space="preserve">In connection with this Quarterly Report (the “Report”) on Form 10-Q of Powell Industries, Inc. (the “Company”) for the quarter ended </w:t>
      </w:r>
      <w:r>
        <w:rPr>
          <w:rFonts w:ascii="Times New Roman" w:cs="Times New Roman" w:eastAsia="Times New Roman" w:hAnsi="Times New Roman"/>
          <w:sz w:val="17"/>
          <w:szCs w:val="17"/>
          <w:color w:val="auto"/>
        </w:rPr>
        <w:t>June 30, 2024</w:t>
      </w:r>
      <w:r>
        <w:rPr>
          <w:rFonts w:ascii="Times New Roman" w:cs="Times New Roman" w:eastAsia="Times New Roman" w:hAnsi="Times New Roman"/>
          <w:sz w:val="16"/>
          <w:szCs w:val="16"/>
          <w:color w:val="auto"/>
        </w:rPr>
        <w:t>,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4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ind w:left="5640"/>
        <w:spacing w:after="0" w:line="211" w:lineRule="auto"/>
        <w:rPr>
          <w:sz w:val="20"/>
          <w:szCs w:val="20"/>
          <w:color w:val="auto"/>
        </w:rPr>
      </w:pPr>
      <w:r>
        <w:rPr>
          <w:rFonts w:ascii="Times New Roman" w:cs="Times New Roman" w:eastAsia="Times New Roman" w:hAnsi="Times New Roman"/>
          <w:sz w:val="16"/>
          <w:szCs w:val="16"/>
          <w:color w:val="auto"/>
        </w:rPr>
        <w:t>Brett A. Cope</w:t>
      </w:r>
    </w:p>
    <w:p>
      <w:pPr>
        <w:ind w:left="56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Date: </w:t>
      </w:r>
      <w:r>
        <w:rPr>
          <w:rFonts w:ascii="Times New Roman" w:cs="Times New Roman" w:eastAsia="Times New Roman" w:hAnsi="Times New Roman"/>
          <w:sz w:val="17"/>
          <w:szCs w:val="17"/>
          <w:color w:val="auto"/>
        </w:rPr>
        <w:t>July 31, 2024</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this Quarterly Report (the “Report”) on Form 10-Q of Powell Industries, Inc. (the “Company”) for the quarter ended </w:t>
      </w:r>
      <w:r>
        <w:rPr>
          <w:rFonts w:ascii="Times New Roman" w:cs="Times New Roman" w:eastAsia="Times New Roman" w:hAnsi="Times New Roman"/>
          <w:sz w:val="16"/>
          <w:szCs w:val="16"/>
          <w:color w:val="auto"/>
        </w:rPr>
        <w:t>June 30, 2024</w:t>
      </w:r>
      <w:r>
        <w:rPr>
          <w:rFonts w:ascii="Times New Roman" w:cs="Times New Roman" w:eastAsia="Times New Roman" w:hAnsi="Times New Roman"/>
          <w:sz w:val="18"/>
          <w:szCs w:val="18"/>
          <w:color w:val="auto"/>
        </w:rPr>
        <w:t>,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8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Michael W. Metcalf</w:t>
      </w:r>
    </w:p>
    <w:p>
      <w:pPr>
        <w:ind w:left="5620"/>
        <w:spacing w:after="0" w:line="211" w:lineRule="auto"/>
        <w:rPr>
          <w:sz w:val="20"/>
          <w:szCs w:val="20"/>
          <w:color w:val="auto"/>
        </w:rPr>
      </w:pPr>
      <w:r>
        <w:rPr>
          <w:rFonts w:ascii="Times New Roman" w:cs="Times New Roman" w:eastAsia="Times New Roman" w:hAnsi="Times New Roman"/>
          <w:sz w:val="16"/>
          <w:szCs w:val="16"/>
          <w:color w:val="auto"/>
        </w:rPr>
        <w:t>Executive Vice President</w:t>
      </w:r>
    </w:p>
    <w:p>
      <w:pPr>
        <w:ind w:left="56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July 31,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2"/>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4"/>
    </w:lvl>
  </w:abstractNum>
  <w:abstractNum w:abstractNumId="12">
    <w:nsid w:val="628C895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
    <w:nsid w:val="333AB105"/>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4">
    <w:nsid w:val="721DA317"/>
    <w:multiLevelType w:val="hybridMultilevel"/>
    <w:lvl w:ilvl="0">
      <w:lvlJc w:val="left"/>
      <w:lvlText w:val="%1"/>
      <w:numFmt w:val="lowerLetter"/>
      <w:start w:val="1"/>
    </w:lvl>
    <w:lvl w:ilvl="1">
      <w:lvlJc w:val="left"/>
      <w:lvlText w:val="(%2)"/>
      <w:numFmt w:val="lowerRoman"/>
      <w:start w:val="4"/>
    </w:lvl>
  </w:abstractNum>
  <w:abstractNum w:abstractNumId="15">
    <w:nsid w:val="2443A858"/>
    <w:multiLevelType w:val="hybridMultilevel"/>
    <w:lvl w:ilvl="0">
      <w:lvlJc w:val="left"/>
      <w:lvlText w:val="(%1)"/>
      <w:numFmt w:val="lowerLetter"/>
      <w:start w:val="4"/>
    </w:lvl>
    <w:lvl w:ilvl="1">
      <w:lvlJc w:val="left"/>
      <w:lvlText w:val="%2"/>
      <w:numFmt w:val="lowerRoman"/>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decimal"/>
      <w:start w:val="2"/>
    </w:lvl>
    <w:lvl w:ilvl="1">
      <w:lvlJc w:val="left"/>
      <w:lvlText w:val="(%2)"/>
      <w:numFmt w:val="lowerLetter"/>
      <w:start w:val="1"/>
    </w:lvl>
  </w:abstractNum>
  <w:abstractNum w:abstractNumId="19">
    <w:nsid w:val="8EDBDAB"/>
    <w:multiLevelType w:val="hybridMultilevel"/>
    <w:lvl w:ilvl="0">
      <w:lvlJc w:val="left"/>
      <w:lvlText w:val="(%1)"/>
      <w:numFmt w:val="lowerLetter"/>
      <w:start w:val="2"/>
    </w:lvl>
    <w:lvl w:ilvl="1">
      <w:lvlJc w:val="left"/>
      <w:lvlText w:val="(%2)"/>
      <w:numFmt w:val="lowerRoman"/>
      <w:start w:val="1"/>
    </w:lvl>
  </w:abstractNum>
  <w:abstractNum w:abstractNumId="20">
    <w:nsid w:val="79838CB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1">
    <w:nsid w:val="4353D0CD"/>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1"/>
    </w:lvl>
  </w:abstractNum>
  <w:abstractNum w:abstractNumId="22">
    <w:nsid w:val="B03E0C6"/>
    <w:multiLevelType w:val="hybridMultilevel"/>
    <w:lvl w:ilvl="0">
      <w:lvlJc w:val="left"/>
      <w:lvlText w:val="%1"/>
      <w:numFmt w:val="lowerLetter"/>
      <w:start w:val="1"/>
    </w:lvl>
    <w:lvl w:ilvl="1">
      <w:lvlJc w:val="left"/>
      <w:lvlText w:val="(%2)"/>
      <w:numFmt w:val="lowerLetter"/>
      <w:start w:val="35"/>
    </w:lvl>
  </w:abstractNum>
  <w:abstractNum w:abstractNumId="23">
    <w:nsid w:val="189A769B"/>
    <w:multiLevelType w:val="hybridMultilevel"/>
    <w:lvl w:ilvl="0">
      <w:lvlJc w:val="left"/>
      <w:lvlText w:val="(%1)"/>
      <w:numFmt w:val="lowerLetter"/>
      <w:start w:val="5"/>
    </w:lvl>
    <w:lvl w:ilvl="1">
      <w:lvlJc w:val="left"/>
      <w:lvlText w:val="%2"/>
      <w:numFmt w:val="lowerLetter"/>
      <w:start w:val="1"/>
    </w:lvl>
  </w:abstractNum>
  <w:abstractNum w:abstractNumId="24">
    <w:nsid w:val="54E49EB4"/>
    <w:multiLevelType w:val="hybridMultilevel"/>
    <w:lvl w:ilvl="0">
      <w:lvlJc w:val="left"/>
      <w:lvlText w:val="1"/>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45" Type="http://schemas.openxmlformats.org/officeDocument/2006/relationships/hyperlink" Target="https://www.sec.gov/Archives/edgar/data/80420/000008042004000044/exhibit3_1.htm" TargetMode="External"/><Relationship Id="rId47" Type="http://schemas.openxmlformats.org/officeDocument/2006/relationships/hyperlink" Target="https://www.sec.gov/Archives/edgar/data/80420/000119312512421889/d424375dex31.htm" TargetMode="External"/><Relationship Id="rId48" Type="http://schemas.openxmlformats.org/officeDocument/2006/relationships/hyperlink" Target="https://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2024-07-31T13:35:02Z</dcterms:created>
  <dcterms:modified xsi:type="dcterms:W3CDTF">2024-07-31T13:35:02Z</dcterms:modified>
</cp:coreProperties>
</file>