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18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120650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Trading Symbol</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Common Stock, par value $0.01 per share</w:t>
            </w: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POWL</w:t>
            </w:r>
          </w:p>
        </w:tc>
        <w:tc>
          <w:tcPr>
            <w:tcW w:w="454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8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August 5, 2019, there were 11,566,748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314" w:gutter="0" w:footer="0" w:header="0"/>
        </w:sect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314"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1"/>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680" w:type="dxa"/>
            <w:vAlign w:val="bottom"/>
            <w:tcBorders>
              <w:top w:val="single" w:sz="8" w:color="0000EE"/>
            </w:tcBorders>
            <w:gridSpan w:val="2"/>
          </w:tcPr>
          <w:p>
            <w:pPr>
              <w:spacing w:after="0"/>
              <w:rPr>
                <w:sz w:val="21"/>
                <w:szCs w:val="21"/>
                <w:color w:val="auto"/>
              </w:rPr>
            </w:pPr>
          </w:p>
        </w:tc>
        <w:tc>
          <w:tcPr>
            <w:tcW w:w="530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480" w:type="dxa"/>
            <w:vAlign w:val="bottom"/>
            <w:tcBorders>
              <w:top w:val="single" w:sz="8" w:color="0000EE"/>
            </w:tcBorders>
            <w:gridSpan w:val="16"/>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7"/>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Part II — Other Information</w:t>
              </w:r>
            </w:hyperlink>
          </w:p>
        </w:tc>
        <w:tc>
          <w:tcPr>
            <w:tcW w:w="846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6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1A. Risk Factors</w:t>
              </w:r>
            </w:hyperlink>
          </w:p>
        </w:tc>
        <w:tc>
          <w:tcPr>
            <w:tcW w:w="898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10040" w:type="dxa"/>
            <w:vAlign w:val="bottom"/>
            <w:gridSpan w:val="17"/>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9420" w:type="dxa"/>
            <w:vAlign w:val="bottom"/>
            <w:gridSpan w:val="1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5"/>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2018</w:t>
            </w: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36,584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13,170</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19,154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less allowance for doubtful accounts of $205 and $157</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108,551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92,548</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82,545</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21,352</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3,775</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276,662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128,764</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8,476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5,987</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5,937</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11,087</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437,106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429,951</w:t>
            </w:r>
          </w:p>
        </w:tc>
      </w:tr>
      <w:tr>
        <w:trPr>
          <w:trHeight w:val="73"/>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1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40,714</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16,078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22,274</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product warranty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897</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7,786</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129,801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117,849</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6,497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5,902</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141,447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128,307</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F)</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w w:val="90"/>
              </w:rPr>
              <w:t>Common stock, par value $.01; 30,000,000 shares authorized; 12,358,566 and 12,280,556 shares issued, respectively</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56,769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285,891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291,530</w:t>
            </w: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806,018 shares at cost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(21,779)</w:t>
            </w:r>
          </w:p>
        </w:tc>
      </w:tr>
      <w:tr>
        <w:trPr>
          <w:trHeight w:val="47"/>
        </w:trPr>
        <w:tc>
          <w:tcPr>
            <w:tcW w:w="79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295,659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301,644</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437,106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429,951</w:t>
            </w:r>
          </w:p>
        </w:tc>
      </w:tr>
      <w:tr>
        <w:trPr>
          <w:trHeight w:val="33"/>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122,130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368,676</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313,819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111,873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103,755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310,255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272,469</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41,350</w:t>
            </w:r>
          </w:p>
        </w:tc>
      </w:tr>
      <w:tr>
        <w:trPr>
          <w:trHeight w:val="297"/>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48,462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4,926</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Insurance proceeds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w:t>
            </w:r>
          </w:p>
        </w:tc>
      </w:tr>
      <w:tr>
        <w:trPr>
          <w:trHeight w:val="297"/>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r>
      <w:tr>
        <w:trPr>
          <w:trHeight w:val="291"/>
        </w:trPr>
        <w:tc>
          <w:tcPr>
            <w:tcW w:w="55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3,352</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550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11,514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11,503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11,503</w:t>
            </w:r>
          </w:p>
        </w:tc>
      </w:tr>
      <w:tr>
        <w:trPr>
          <w:trHeight w:val="297"/>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r>
      <w:tr>
        <w:trPr>
          <w:trHeight w:val="27"/>
        </w:trPr>
        <w:tc>
          <w:tcPr>
            <w:tcW w:w="5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0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(2,543)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(4,132)</w:t>
            </w:r>
          </w:p>
        </w:tc>
      </w:tr>
      <w:tr>
        <w:trPr>
          <w:trHeight w:val="27"/>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6,041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(2,242)</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22"/>
                <w:szCs w:val="22"/>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301,644</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12,322</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57,258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285,843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(25,867)</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292,358</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8"/>
              <w:spacing w:after="0" w:line="157"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Issuance of restricted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84"/>
        </w:trPr>
        <w:tc>
          <w:tcPr>
            <w:tcW w:w="1700" w:type="dxa"/>
            <w:vAlign w:val="bottom"/>
          </w:tcPr>
          <w:p>
            <w:pPr>
              <w:ind w:left="20"/>
              <w:spacing w:after="0"/>
              <w:rPr>
                <w:sz w:val="20"/>
                <w:szCs w:val="20"/>
                <w:color w:val="auto"/>
              </w:rPr>
            </w:pPr>
            <w:r>
              <w:rPr>
                <w:rFonts w:ascii="Arial" w:cs="Arial" w:eastAsia="Arial" w:hAnsi="Arial"/>
                <w:sz w:val="14"/>
                <w:szCs w:val="14"/>
                <w:color w:val="auto"/>
              </w:rPr>
              <w:t>Balance, March 31,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12,353</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57,511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283,805</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292,294</w:t>
            </w:r>
          </w:p>
        </w:tc>
        <w:tc>
          <w:tcPr>
            <w:tcW w:w="0" w:type="dxa"/>
            <w:vAlign w:val="bottom"/>
          </w:tcPr>
          <w:p>
            <w:pPr>
              <w:spacing w:after="0"/>
              <w:rPr>
                <w:sz w:val="1"/>
                <w:szCs w:val="1"/>
                <w:color w:val="auto"/>
              </w:rPr>
            </w:pPr>
          </w:p>
        </w:tc>
      </w:tr>
      <w:tr>
        <w:trPr>
          <w:trHeight w:val="66"/>
        </w:trPr>
        <w:tc>
          <w:tcPr>
            <w:tcW w:w="1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5,089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5,089</w:t>
            </w:r>
          </w:p>
        </w:tc>
        <w:tc>
          <w:tcPr>
            <w:tcW w:w="0" w:type="dxa"/>
            <w:vAlign w:val="bottom"/>
          </w:tcPr>
          <w:p>
            <w:pPr>
              <w:spacing w:after="0"/>
              <w:rPr>
                <w:sz w:val="1"/>
                <w:szCs w:val="1"/>
                <w:color w:val="auto"/>
              </w:rPr>
            </w:pPr>
          </w:p>
        </w:tc>
      </w:tr>
      <w:tr>
        <w:trPr>
          <w:trHeight w:val="80"/>
        </w:trPr>
        <w:tc>
          <w:tcPr>
            <w:tcW w:w="1700" w:type="dxa"/>
            <w:vAlign w:val="bottom"/>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Foreign currency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w w:val="97"/>
              </w:rPr>
              <w:t>Shares withheld in lieu of</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170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74"/>
        </w:trPr>
        <w:tc>
          <w:tcPr>
            <w:tcW w:w="1700" w:type="dxa"/>
            <w:vAlign w:val="bottom"/>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4"/>
                <w:szCs w:val="14"/>
                <w:color w:val="auto"/>
              </w:rPr>
              <w:t>Balance, June 30,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12,359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57,838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285,891</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295,659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00"/>
          </w:cols>
          <w:pgMar w:left="1360" w:top="580" w:right="1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22"/>
                <w:szCs w:val="22"/>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310,598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321,296</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(5,662)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(5,662)</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(2,977)</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12,257</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54,960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301,959</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(19,068)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312,974</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(3,330)</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ind w:right="8"/>
              <w:spacing w:after="0" w:line="157" w:lineRule="exact"/>
              <w:rPr>
                <w:sz w:val="20"/>
                <w:szCs w:val="20"/>
                <w:color w:val="auto"/>
              </w:rPr>
            </w:pPr>
            <w:r>
              <w:rPr>
                <w:rFonts w:ascii="Arial" w:cs="Arial" w:eastAsia="Arial" w:hAnsi="Arial"/>
                <w:sz w:val="14"/>
                <w:szCs w:val="14"/>
                <w:color w:val="auto"/>
              </w:rPr>
              <w:t>998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1700" w:type="dxa"/>
            <w:vAlign w:val="bottom"/>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(2,976)</w:t>
            </w: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Balance, March 31,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12,269</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55,958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295,653</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306,392</w:t>
            </w:r>
          </w:p>
        </w:tc>
        <w:tc>
          <w:tcPr>
            <w:tcW w:w="0" w:type="dxa"/>
            <w:vAlign w:val="bottom"/>
          </w:tcPr>
          <w:p>
            <w:pPr>
              <w:spacing w:after="0"/>
              <w:rPr>
                <w:sz w:val="1"/>
                <w:szCs w:val="1"/>
                <w:color w:val="auto"/>
              </w:rPr>
            </w:pPr>
          </w:p>
        </w:tc>
      </w:tr>
      <w:tr>
        <w:trPr>
          <w:trHeight w:val="66"/>
        </w:trPr>
        <w:tc>
          <w:tcPr>
            <w:tcW w:w="17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7"/>
        </w:trPr>
        <w:tc>
          <w:tcPr>
            <w:tcW w:w="1700" w:type="dxa"/>
            <w:vAlign w:val="bottom"/>
          </w:tcPr>
          <w:p>
            <w:pPr>
              <w:ind w:left="160"/>
              <w:spacing w:after="0" w:line="157" w:lineRule="exact"/>
              <w:rPr>
                <w:sz w:val="20"/>
                <w:szCs w:val="20"/>
                <w:color w:val="auto"/>
              </w:rPr>
            </w:pPr>
            <w:r>
              <w:rPr>
                <w:rFonts w:ascii="Arial" w:cs="Arial" w:eastAsia="Arial" w:hAnsi="Arial"/>
                <w:sz w:val="14"/>
                <w:szCs w:val="14"/>
                <w:color w:val="auto"/>
              </w:rPr>
              <w:t>Issuance of restricted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60"/>
              <w:spacing w:after="0"/>
              <w:rPr>
                <w:sz w:val="20"/>
                <w:szCs w:val="20"/>
                <w:color w:val="auto"/>
              </w:rPr>
            </w:pPr>
            <w:r>
              <w:rPr>
                <w:rFonts w:ascii="Arial" w:cs="Arial" w:eastAsia="Arial" w:hAnsi="Arial"/>
                <w:sz w:val="14"/>
                <w:szCs w:val="14"/>
                <w:color w:val="auto"/>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70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74"/>
        </w:trPr>
        <w:tc>
          <w:tcPr>
            <w:tcW w:w="1700" w:type="dxa"/>
            <w:vAlign w:val="bottom"/>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Balance, June 30,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12,276</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56,235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292,974</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(22,886)</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301,447</w:t>
            </w: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200"/>
          </w:cols>
          <w:pgMar w:left="1360" w:top="580" w:right="1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Nine months ended June 30,</w:t>
            </w:r>
          </w:p>
        </w:tc>
        <w:tc>
          <w:tcPr>
            <w:tcW w:w="128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(8,691)</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Adjustments to reconcile net loss to net cash provided by (used in)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9,655</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Bad debt expense</w:t>
            </w:r>
          </w:p>
        </w:tc>
        <w:tc>
          <w:tcPr>
            <w:tcW w:w="1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Gain on amended supply agreement</w:t>
            </w:r>
          </w:p>
        </w:tc>
        <w:tc>
          <w:tcPr>
            <w:tcW w:w="13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(16,350)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(19,252)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Contract assets and liabilities, net</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42,954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924</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355</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33,935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(26,057)</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(20,712)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31,444</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 net</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(3,922)</w:t>
            </w:r>
          </w:p>
        </w:tc>
      </w:tr>
      <w:tr>
        <w:trPr>
          <w:trHeight w:val="27"/>
        </w:trPr>
        <w:tc>
          <w:tcPr>
            <w:tcW w:w="6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(9,912)</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93,210</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88,585</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63,662</w:t>
            </w:r>
          </w:p>
        </w:tc>
      </w:tr>
      <w:tr>
        <w:trPr>
          <w:trHeight w:val="20"/>
        </w:trPr>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products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light rail traction power and other heavy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2018, which was filed with the Securities and Exchange Commission (SEC) on December 12,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2019 and Fiscal 2018 used throughout this report shall mean our fiscal years ended September 30, 2019 and 2018,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the assets recognized from costs incurred to obtain or fulfill a contract. Effective October 1, 2018, we adopted this standard using the modified retrospective basis. After evaluating the impact of this new standard on contracts outstanding as of October 1, 2018, we determined that no adjustment to retained earnings was necessary. See Note D for further discussion of revenue.</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This would be our fiscal year ending September 30, 2020. In Fiscal 2018, we acquired new lease software designed to assist with our compliance of this new topic. We are still evaluating the impact this new topic will have on our consolidated financial position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issued a new topic on the statement of cash flows that changes the presentation of restricted cash and cash equivalents on the statement of cash flows. Restricted cash and restricted cash equivalents is to be included with cash and cash equivalents when reconciling the beginning-of-period and end-of-period total amounts shown on the statement of cash flows. We adopted this topic in Fiscal 2019 and our Condensed Consolidated Cash Flow Statements for all periods reflect this presentation.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We adopted this topic in Fiscal 2019 and it has not had a material impact on our consolidated financial position or results of operations.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ectPr>
          <w:pgSz w:w="11900" w:h="16838" w:orient="portrait"/>
          <w:cols w:equalWidth="0" w:num="1">
            <w:col w:w="11420"/>
          </w:cols>
          <w:pgMar w:left="240" w:top="692" w:right="239" w:bottom="1440" w:gutter="0" w:footer="0" w:header="0"/>
        </w:sectPr>
      </w:pPr>
    </w:p>
    <w:p>
      <w:pPr>
        <w:spacing w:after="0" w:line="253" w:lineRule="exact"/>
        <w:rPr>
          <w:sz w:val="20"/>
          <w:szCs w:val="20"/>
          <w:color w:val="auto"/>
        </w:rPr>
      </w:pPr>
    </w:p>
    <w:p>
      <w:pPr>
        <w:jc w:val="center"/>
        <w:ind w:left="44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23495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5220"/>
        <w:spacing w:after="0"/>
        <w:tabs>
          <w:tab w:leader="none" w:pos="692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123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31115</wp:posOffset>
            </wp:positionV>
            <wp:extent cx="20751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86" w:lineRule="exact"/>
        <w:rPr>
          <w:sz w:val="20"/>
          <w:szCs w:val="20"/>
          <w:color w:val="auto"/>
        </w:rPr>
      </w:pPr>
    </w:p>
    <w:p>
      <w:pPr>
        <w:sectPr>
          <w:pgSz w:w="11900" w:h="16838" w:orient="portrait"/>
          <w:cols w:equalWidth="0" w:num="2">
            <w:col w:w="8020" w:space="720"/>
            <w:col w:w="2680"/>
          </w:cols>
          <w:pgMar w:left="240" w:top="692" w:right="2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r>
      <w:tr>
        <w:trPr>
          <w:trHeight w:val="23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11,579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11,514</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11,503</w:t>
            </w:r>
          </w:p>
        </w:tc>
      </w:tr>
      <w:tr>
        <w:trPr>
          <w:trHeight w:val="27"/>
        </w:trPr>
        <w:tc>
          <w:tcPr>
            <w:tcW w:w="4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w:t>
            </w:r>
          </w:p>
        </w:tc>
        <w:tc>
          <w:tcPr>
            <w:tcW w:w="5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11,603</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11,587</w:t>
            </w:r>
          </w:p>
        </w:tc>
        <w:tc>
          <w:tcPr>
            <w:tcW w:w="2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11,589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11,503</w:t>
            </w:r>
          </w:p>
        </w:tc>
      </w:tr>
      <w:tr>
        <w:trPr>
          <w:trHeight w:val="23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(loss) per share:</w:t>
            </w: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4"/>
        </w:trPr>
        <w:tc>
          <w:tcPr>
            <w:tcW w:w="4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r>
      <w:tr>
        <w:trPr>
          <w:trHeight w:val="251"/>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0"/>
        </w:trPr>
        <w:tc>
          <w:tcPr>
            <w:tcW w:w="4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June 30, 2018, we incurred a net loss and therefore all potential common shares were deemed to be anti-dilutive.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0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Borders>
              <w:bottom w:val="single" w:sz="8" w:color="CFF0FC"/>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239</w:t>
            </w: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CFF0FC"/>
            </w:tcBorders>
          </w:tcPr>
          <w:p>
            <w:pPr>
              <w:spacing w:after="0"/>
              <w:rPr>
                <w:sz w:val="16"/>
                <w:szCs w:val="16"/>
                <w:color w:val="auto"/>
              </w:rPr>
            </w:pPr>
          </w:p>
        </w:tc>
        <w:tc>
          <w:tcPr>
            <w:tcW w:w="94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5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9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0"/>
              </w:rPr>
              <w:t>28,436</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20,272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94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0"/>
              </w:rPr>
              <w:t>29,484</w:t>
            </w:r>
          </w:p>
        </w:tc>
        <w:tc>
          <w:tcPr>
            <w:tcW w:w="2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21,352</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w w:val="93"/>
              </w:rPr>
              <w:t>Activity in our product warranty accrual consisted of the following (in thousands):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3020" w:type="dxa"/>
            <w:vAlign w:val="bottom"/>
            <w:tcBorders>
              <w:bottom w:val="single" w:sz="8" w:color="auto"/>
            </w:tcBorders>
            <w:gridSpan w:val="6"/>
          </w:tcPr>
          <w:p>
            <w:pPr>
              <w:jc w:val="right"/>
              <w:ind w:right="47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w w:val="97"/>
              </w:rPr>
              <w:t>Nine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2,986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640" w:type="dxa"/>
            <w:vAlign w:val="bottom"/>
            <w:tcBorders>
              <w:bottom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Increase (decrease) in warranty expense</w:t>
            </w:r>
          </w:p>
        </w:tc>
        <w:tc>
          <w:tcPr>
            <w:tcW w:w="94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9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94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3,180</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2018, we adopted the new revenue recognition standard using the modified retrospective transition method. We applied the guidance to customer contracts which were not substantially complete at that time and we determined that no adjustment to retained earnings was necessary. Financial results for reporting periods after October 1, 2018 are reported under the new guidance; however financial results for prior periods were not adjusted and will continue to be presented in accordance with the previous guidance.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revenues are generated from the manufacturing of custom engineered products and systems under long-term fixed 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these contracts is generally recognized over time utilizing the cost to 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over time as we incur costs on our contracts. Contract costs include all direct materials, labor, and indirect costs related to contract performance which may include indirect labor, supplies, tools, repairs and depreciation costs.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both the three and nine months ended June 30, 2019.</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sales orders for spare parts and replacement circuit breakers for switchgear that are obsolete or that are no longer produced by the original manufacturer. Revenues from these sales orders are recognized at a point in time when we fulfill our performance obligation to the customer which is typically upon shipment. Revenue related to sales orders represents approximately 7% of total revenues for both the three and nine months ended June 30, 2019.</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judgement. The majority of our contracts have a single performance obligation where multiple engineered products and services are combined into a single custom engineered solution. Our contracts generally include a standard assurance warranty that typically ends eighteen months after shipment. Occasionally, we provide service-type warranties that will extend the warranty period. These extended warranties qualify as a separate performance obligation.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Remaining unsatisfied performance obligations, which we refer to as backlog, represent the estimated transaction price for goods and services for which we have a material right but work has not been performed. As of June 30, 2019, we had backlog of $407.0 million, of which approximately $368.7 million is expected to be recognized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June 30, 2019 and 2018, our operating results were positively impacted by $4.3 million and $2.9 million, respectively, as a result of changes in contract estimates related to projects in progress at the beginning of the respective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These changes in estimates resulted primarily from favorable project execution and negotiations of variable consideration, discussed below, as well as other changes in facts and circumstances during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 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timing of revenue recognition, billings and cash collections affects accounts receivable, costs and estimated earnings in excess of billings on uncompleted contracts (contract assets) and billings in excess of costs and estimated earnings on uncompleted contracts (contract liabilities) in our Condensed Consolidated Balance Sheet.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assets, previously referred to as costs and estimated earnings in excess of billings on uncompleted contracts, are recorded when revenues are recognized in excess of amounts billed for fixed-price contracts as determined by the billing milestone schedule. Contract assets are transferred to accounts receivables when billing milestones have been met or we have an unconditional right to payment.</w:t>
      </w:r>
    </w:p>
    <w:p>
      <w:pPr>
        <w:spacing w:after="0" w:line="87"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Contract liabilities, previously referred to as billings in excess of costs and estimated earnings on uncompleted contracts,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June 30, 2019 and September 30, 2018 are summarized below (in thousands):</w:t>
      </w: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4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2018</w:t>
            </w:r>
          </w:p>
        </w:tc>
      </w:tr>
      <w:tr>
        <w:trPr>
          <w:trHeight w:val="250"/>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57,231</w:t>
            </w:r>
          </w:p>
        </w:tc>
        <w:tc>
          <w:tcPr>
            <w:tcW w:w="200" w:type="dxa"/>
            <w:vAlign w:val="bottom"/>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82,545</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(60,868)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(43,174)</w:t>
            </w: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contract asset (liability)</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39,371</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net contract asset (liability) at June 30, 2019 from September 30, 2018 was primarily due to our progress towards completion on our projects and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three and nine months ended June 30, 2019, we recognized revenue of approximately $2.2 million and $39.4 million, respectively, related to contract liabilities outstanding at September 30, 2018.</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June 30, 2019 and September 30, 2018, accounts receivable included retention amounts of $4.7 million and $4.2 million, respectively. Of the retained amount at June 30, 2019, $4.4 million is expected to be collected in the next twelve months.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Disaggregation of Revenue</w:t>
      </w:r>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three and nine months ended June 30, 2019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Three months ended June</w:t>
            </w:r>
          </w:p>
        </w:tc>
        <w:tc>
          <w:tcPr>
            <w:tcW w:w="2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Nine months ended June 30,</w:t>
            </w:r>
          </w:p>
        </w:tc>
      </w:tr>
      <w:tr>
        <w:trPr>
          <w:trHeight w:val="192"/>
        </w:trPr>
        <w:tc>
          <w:tcPr>
            <w:tcW w:w="7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30, 2019</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99,745</w:t>
            </w:r>
          </w:p>
        </w:tc>
        <w:tc>
          <w:tcPr>
            <w:tcW w:w="22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292,049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20,206</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45,015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and Africa</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9,659</w:t>
            </w:r>
          </w:p>
        </w:tc>
        <w:tc>
          <w:tcPr>
            <w:tcW w:w="22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1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9,155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Central and South America</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w:t>
            </w: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color w:val="auto"/>
              </w:rPr>
              <w:t>Total revenues by geographic destination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135,588</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368,676</w:t>
            </w: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1">
            <w:col w:w="11420"/>
          </w:cols>
          <w:pgMar w:left="240" w:top="800" w:right="239" w:bottom="1440" w:gutter="0" w:footer="0" w:header="0"/>
        </w:sectPr>
      </w:pPr>
    </w:p>
    <w:p>
      <w:pPr>
        <w:jc w:val="center"/>
        <w:ind w:left="7660"/>
        <w:spacing w:after="0"/>
        <w:rPr>
          <w:sz w:val="20"/>
          <w:szCs w:val="20"/>
          <w:color w:val="auto"/>
        </w:rPr>
      </w:pPr>
      <w:r>
        <w:rPr>
          <w:rFonts w:ascii="Arial" w:cs="Arial" w:eastAsia="Arial" w:hAnsi="Arial"/>
          <w:sz w:val="12"/>
          <w:szCs w:val="12"/>
          <w:b w:val="1"/>
          <w:bCs w:val="1"/>
          <w:color w:val="auto"/>
        </w:rPr>
        <w:t>Three months ended June</w:t>
      </w:r>
    </w:p>
    <w:p>
      <w:pPr>
        <w:spacing w:after="0" w:line="2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30, 2019</w:t>
      </w:r>
    </w:p>
    <w:p>
      <w:pPr>
        <w:spacing w:after="0" w:line="20" w:lineRule="exact"/>
        <w:rPr>
          <w:sz w:val="20"/>
          <w:szCs w:val="20"/>
          <w:color w:val="auto"/>
        </w:rPr>
      </w:pPr>
      <w:r>
        <w:rPr>
          <w:sz w:val="20"/>
          <w:szCs w:val="20"/>
          <w:color w:val="auto"/>
        </w:rPr>
        <w:br w:type="column"/>
      </w:r>
    </w:p>
    <w:p>
      <w:pPr>
        <w:jc w:val="center"/>
        <w:ind w:right="40"/>
        <w:spacing w:after="0" w:line="259" w:lineRule="auto"/>
        <w:rPr>
          <w:sz w:val="20"/>
          <w:szCs w:val="20"/>
          <w:color w:val="auto"/>
        </w:rPr>
      </w:pPr>
      <w:r>
        <w:rPr>
          <w:rFonts w:ascii="Arial" w:cs="Arial" w:eastAsia="Arial" w:hAnsi="Arial"/>
          <w:sz w:val="14"/>
          <w:szCs w:val="14"/>
          <w:b w:val="1"/>
          <w:bCs w:val="1"/>
          <w:color w:val="auto"/>
        </w:rPr>
        <w:t>Nine months ended June 30, 2019</w:t>
      </w:r>
    </w:p>
    <w:p>
      <w:pPr>
        <w:spacing w:after="0" w:line="1" w:lineRule="exact"/>
        <w:rPr>
          <w:sz w:val="20"/>
          <w:szCs w:val="20"/>
          <w:color w:val="auto"/>
        </w:rPr>
      </w:pPr>
    </w:p>
    <w:p>
      <w:pPr>
        <w:sectPr>
          <w:pgSz w:w="11900" w:h="16838" w:orient="portrait"/>
          <w:cols w:equalWidth="0" w:num="2">
            <w:col w:w="9260" w:space="380"/>
            <w:col w:w="178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167,954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Petrochemical</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21,086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63,387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utility</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66,066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Traction power</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18,457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52,812</w:t>
            </w:r>
          </w:p>
        </w:tc>
        <w:tc>
          <w:tcPr>
            <w:tcW w:w="0" w:type="dxa"/>
            <w:vAlign w:val="bottom"/>
          </w:tcPr>
          <w:p>
            <w:pPr>
              <w:spacing w:after="0"/>
              <w:rPr>
                <w:sz w:val="1"/>
                <w:szCs w:val="1"/>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color w:val="auto"/>
              </w:rPr>
              <w:t>Total revenues by market sector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135,588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368,676</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E. LONG-TERM DEBT</w:t>
            </w: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5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4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$75.0 million revolving credit facility (U.S. Revolver) to provide working capital support and letters of credit which expires in June 2022. The amount available under the U.S. Revolver at June 30, 2019 was reduced by $11.8 million for our outstanding letters of credit. Currently, our U.S. Revolver can only be used for letters of credit until we meet certain financial ratios. There were no loans outstanding under the U.S. Revolver as of June 30, 2019.</w:t>
      </w:r>
    </w:p>
    <w:p>
      <w:pPr>
        <w:spacing w:after="0" w:line="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 the terms of the U.S. Revolver, we are required to maintain cash in a pledged collateral account until we satisfy the following two financial ratios for two consecutive fiscal quarters: a max leverage ratio and a fixed charge coverage ratio. The max leverage ratio requires that the ratio of our consolidated funded indebtedness to our consolidated earnings before interest, taxes and depreciation (EBITDA) for the last four consecutive quarters not exceed 2.75 to 1.00. The fixed charge coverage ratio requires that the ratio of consolidated EBITDA for the last four fiscal quarters, less income taxes, capital expenditures, dividends, principal debt payments and interest charges be at least 1.25 to 1.00. If we are not in compliance with the these two ratios, we are required to maintain a cash balance in a pledged cash collateral account equal to 102% of the outstanding amount of any loans and letter of credit obligations until we meet the aforementioned required ratios. As of June 30, 2019, the balance in the cash collateral account was $16.7 million and is recorded as restricted cash in our Condensed Consolidated Balance Sheets. The portion of the cash collateral associated with the outstanding letters of credit that are due to expire beyond twelve months has been classified as non-current restricted cash on our condensed consolidated balance sheets. As of June 30, 2019, there was $63.2 million available for the issuance of letters of credit under the U.S. Revolver, subject to the cash collateral requirements mentioned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type w:val="continuous"/>
        </w:sectPr>
      </w:pPr>
    </w:p>
    <w:bookmarkStart w:id="14" w:name="page15"/>
    <w:bookmarkEnd w:id="14"/>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June 30, 2019, we were in compliance with all of the financial covenants of the U.S. Revolver.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June 30, 2019.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2.03% as of June 30,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or surety bonds which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letters of credit of $11.8 million as of June 30, 2019. We also had surety bonds totaling $152.9 million that were outstanding, with additional bonding capacity of $597.1 million available, at June 30, 2019.</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a $6.3 million facility agreement (Facility Agreement) between Powell (UK) Limited and a large international bank. This Facility Agreement provides Powell (UK) Limited the ability to enter into bank guarantees as well as forward exchange contracts and currency options. At June 30, 2019, we had outstanding guarantees totaling $3.7 million under this Facility Agreement and amounts available under this Facility Agreement were $2.6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June 30, 2019, we were in compliance with all of the financial covenants of the Facility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G.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Refer to our Annual Report on Form 10-K for the fiscal year ended September 30, 2018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and is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June 30, 2019, there were 159,216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nine months ended June 30, 2019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2018</w:t>
            </w:r>
          </w:p>
        </w:tc>
        <w:tc>
          <w:tcPr>
            <w:tcW w:w="136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190,500</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33.73</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77,150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34.89</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(97,684)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32.36</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34.27</w:t>
            </w:r>
          </w:p>
        </w:tc>
      </w:tr>
      <w:tr>
        <w:trPr>
          <w:trHeight w:val="27"/>
        </w:trPr>
        <w:tc>
          <w:tcPr>
            <w:tcW w:w="850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57"/>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June 30, 2019</w:t>
            </w: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159,216</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34.45</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June 30, 2019 and 2018, we recorded compensation expense of $1.8 million and $2.0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non-employee director receives 2,000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based on the closing price per share on the grant date. In February 2019, 14,000 shares of restricted stock were issued to our non-employee directors under the 2014 Director Plan at a price of $34.02 per share. For each of the nine months ended June 30, 2019 and 2018, we recorded compensation expense of $0.4 million, related to restricted stock.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June 30, 2019 (in thousands):</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Fair Value Measurements at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71,921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71,921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2018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36,584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36,584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25,141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amended credit agreement and is held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interest-bearing account. See Note E for further discussion on restricted cash.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Assets/Deferred Compensation </w:t>
      </w:r>
      <w:r>
        <w:rPr>
          <w:rFonts w:ascii="Arial" w:cs="Arial" w:eastAsia="Arial" w:hAnsi="Arial"/>
          <w:sz w:val="18"/>
          <w:szCs w:val="18"/>
          <w:color w:val="auto"/>
        </w:rPr>
        <w:t>– We hold investments in an irrevocable Rabbi Trust for our deferred compensation plan. The assets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 investments and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June 30,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RESTRUCTURING AND 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June 30, 2019, we recorded lease accrual adjustments of $0.7 million related to certain facility leases in Canada that are no longer utilized in our operations. We also recorded a recovery of $0.5 million in the nine months ended June 30, 2019 as a result of the favorable settlement of a claim related to the divestiture of a subsidiary in Fiscal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J.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8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(11,134)</w:t>
            </w:r>
          </w:p>
        </w:tc>
      </w:tr>
      <w:tr>
        <w:trPr>
          <w:trHeight w:val="270"/>
        </w:trPr>
        <w:tc>
          <w:tcPr>
            <w:tcW w:w="4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(2,443)</w:t>
            </w:r>
          </w:p>
        </w:tc>
      </w:tr>
      <w:tr>
        <w:trPr>
          <w:trHeight w:val="230"/>
        </w:trPr>
        <w:tc>
          <w:tcPr>
            <w:tcW w:w="48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5,089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new tax law lowered the corporate tax rate from 35% to 21% effective January 1, 2018. As a result, the U.S. federal statutory rate for Fiscal 2019 is 21%, compared to the blended statutory rate of 24.5% effective for Fiscal 2018. The effective tax rate of 14% for the third quarter of Fiscal 2019 was positively impacted by the relative amounts of income recognized in various foreign jurisdictions that were reserved with a valuation allowance. Conversely, losses recognized in foreign jurisdictions reserved with a valuation allowance negatively impacted the effective tax rate of 56% in the third quarter of Fiscal 2018.</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June 30, 2019, the effective tax rate of 22% approximated the U.S. federal statutory rate as the immaterial losses incurred by foreign operations that were reserved with a valuation allowance had a minimal impact on the effective tax rate. The effective tax rate of 22% for the nine months ended June 30, 2018 was negatively impacted by foreign tax losses reserved with a valuation allowance, as well as $0.7 million of tax expense related to the re-measurement of U.S. deferred tax assets as a result of tax reform.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K. SUBSEQUENT EVENTS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6, 2019, our Board of Directors declared a quarterly cash dividend on our common stock in the amount of $0.26 per share. The dividend is payable on September 18, 2019 to shareholders of record at the close of business on August 21,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jc w:val="both"/>
        <w:ind w:left="600"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 relationships</w:t>
      </w:r>
      <w:r>
        <w:rPr>
          <w:rFonts w:ascii="Arial" w:cs="Arial" w:eastAsia="Arial" w:hAnsi="Arial"/>
          <w:sz w:val="18"/>
          <w:szCs w:val="18"/>
          <w:color w:val="auto"/>
        </w:rPr>
        <w:t xml:space="preserve"> </w:t>
      </w:r>
      <w:r>
        <w:rPr>
          <w:rFonts w:ascii="Arial" w:cs="Arial" w:eastAsia="Arial" w:hAnsi="Arial"/>
          <w:sz w:val="18"/>
          <w:szCs w:val="18"/>
          <w:color w:val="252525"/>
        </w:rPr>
        <w:t>with customers and subject us to criminal and civil enforcement actions.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remain in compliance with covenants, or obtain waivers or amendments and our inability to borrow under our credit agreement could adversely impact our business.</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2018.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2018, which was filed with the Securities and Exchange Commission (SEC) on December 12, 2018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significant decline in oil and gas prices from peak 2014 levels, many of our customers reduced their capital budgets and cut costs, and in certain instances have delayed or canceled projects that we were pursuing. This decline in projects negatively impacted our results in Fiscal 2018. However, customers have begun to invest in projects in our key oil and gas and petrochemical markets and this shift has had a favorable impact on our orders and backlog over recent quarters, resulting in increased revenues in Fiscal 2019.</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2019 Compared to the Quarter Ended June 30, 2018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by 11%, or $13.4 million, to $135.6 million in the third quarter of Fiscal 2019, compared to the third quarter of Fiscal 2018, primarily due to an increase in orders over the past few quarters from improved market conditions, primarily in our oil and gas markets. Domestic revenues increased by 14%, or $12.3 million, to $103.6 million in the third quarter of Fiscal 2019, compared to the third quarter of Fiscal 2018. International revenues increased by 4%, or $1.1 million, to $32.0 million in the third quarter of Fiscal 2019, compared to the third quarter of Fiscal 2018, primarily driven by increased activity in our Canadian operations. Our international revenue includes both revenue generated from our international facilities as well as export revenues from our domestic facilities.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from commercial and industrial projects increased by 6%, or $5.8 million, to $99.1 million in the third quarter of Fiscal 2019, compared to the third quarter of Fiscal 2018, primarily driven by the continued strengthening of the core oil and gas and petrochemical end markets. Revenues from public and private utilities increased by 37%, or $7.1 million, to $26.4 million in the third quarter of Fiscal 2019, compared to the third quarter of Fiscal 2018 as the business nears completion of select large utility projects in the backlog. Revenues from municipal and transit projects increased by 6%, or $0.6 million, to $10.1 million in the third quarter of Fiscal 2019, compared to the third quarter of Fiscal 2018, primarily impacted by project timing and product mix as this market remains stable versus the prior year.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third quarter of Fiscal 2019 increased by 29%, or $5.3 million, to $23.7 million, compared to the third quarter of Fiscal 2018. Gross profit as a percentage of revenues increased to 17% in the third quarter of Fiscal 2019, compared to 15% in the third quarter of Fiscal 2018. Gross profit and margins increased due to improved market conditions and efficiencies resulting from increased volume in our domestic and Canadian manufacturing facilities.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6%, or $0.9 million, to $17.1 million during the third quarter of Fiscal 2019, compared to $16.2 million in the third quarter of Fiscal 2018, primarily due to increased personnel costs associated with increased project volume. Selling, general and administrative expenses, as a percentage of revenues, remained flat at 13% during the third quarter of Fiscal 2019 as compared to the third quarter of Fiscal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Fiscal 2019, we reached a final settlement with respect to a 2017 business interruption insurance claim resulting from Hurricane Harvey. The settlement resulted in insurance proceeds of $1.0 million, which is included within operating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income tax expense of $0.8 million in the third quarter of Fiscal 2019, compared to income tax expense of $0.4 million in the third quarter of Fiscal 2018. The effective tax rate for the third quarter of Fiscal 2019 was 14%, compared to an effective tax rate of 56% in the third quarter of Fiscal 2018. On December 22, 2017, the new tax law lowered the corporate tax rate from 35% to 21% effective January 1, 2018. As a result, the U.S. federal statutory rate for Fiscal 2019 is 21%, compared to the blended statutory rate of 24.5% effective for Fiscal 2018. For the three months ended June 30, 2019, the effective tax rate was positively impacted by income recognized in foreign jurisdictions that was reserved with a valuation allowance while the effective tax rate for the three months ended June 30, 2018 was negatively impacted by foreign losses recognized that we reserved with a valuation allowance.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Fiscal 2019, we recorded net income of $5.1 million, or $0.44 per diluted share, compared to net income of $0.3 million, or $0.03 per diluted share, in the third quarter of Fiscal 2018. This improvement in operating results over the prior year was primarily due to improved market conditions and efficiencies resulting from increased volume in our domestic and Canadian manufacturing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includes various projects that can take a number of months to produce. The order backlog at June 30, 2019 increased to $407.0 million, compared to $397.2 million at March 31, 2019, primarily due to increased demand from our customers in our core oil and gas and petrochemical markets. New orders placed during the third quarter of Fiscal 2019 increased to $144.8 million, compared to $139.2 million in the third quarter of Fiscal 2018, primarily due to increased demand from our customers in our core oil and gas and petrochemical markets.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2019 Compared to the Nine Months Ended June 30, 2018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by 17%, or $54.9 million, to $368.7 million for the nine months ended June 30, 2019, compared to the nine months ended June 30, 2018, primarily due to an increase in orders over the past few quarters from improved market conditions, primarily in our oil and gas markets. Domestic revenues increased by 30%, or $67.9 million, to $290.9 million for the nine months ended June 30, 2019, compared to the nine months ended June 30, 2018. International revenues decreased by 14%, or $13.1 million, to $77.8 million for the nine months ended June 30, 2019, compared to the nine months ended June 30, 2018, primarily due to a decrease in export projects from our domestic facilities. Our international revenue includes both revenue generated from our international facilities as well as export revenues from our domestic facilities.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commercial and industrial projects increased by 22%, or $49.2 million, to $273.9 million for the nine months ended June 30, 2019, compared to the nine months ended June 30, 2018, driven by the strength across the core oil and gas and petrochemical end markets. Revenues from public and private utilities decreased by 2%, or $1.4 million, to $66.1 million for the nine months ended June 30, 2019, compared to the nine months ended June 30, 2018, as the business nears completion of select large utility projects in the backlog. Revenues from municipal and transit projects increased by 33%, or $7.0 million, to $28.7 million for the nine months ended June 30, 2019, compared to the nine months ended June 30, 2018, primarily impacted by the project timing and product mix of projects at or near completion for some of our key municipal customers.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nine months ended June 30, 2019 increased by 41%, or $17.1 million, to $58.4 million, compared to the nine months ended June 30, 2018. Gross profit as a percentage of revenues increased to 16% for the nine months ended June 30, 2019, compared to 13% for the nine months ended June 30, 2018. Gross profit increased due to improved market conditions and efficiencies resulting from increased volume in our domestic and Canadian manufacturing facilities.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increased by 4%, or $1.8 million, to $50.2 million for the nine months ended June 30, 2019, compared to the nine months ended June 30, 2018, primarily due to increased personnel costs associated with increased project volume. Selling, general and administrative expenses, as a percentage of revenues, decreased to 14% during the nine months ended June 30, 2019, compared to 15% during the nine months ended June 30, 2018, primarily due to the increase in revenues and our continued focus on our cost structure.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nine months ended June 30, 2019, we reached a final settlement with respect to a 2017 business interruption insurance claim resulting from Hurricane Harvey. The settlement resulted in insurance proceeds of $1.0 million, which is included within operating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Expense/Benefit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income tax expense of $1.0 million for the nine months ended June 30, 2019 compared to an income tax benefit of $2.4 million for the nine months ended June 30, 2018. The effective tax rate for both the nine months ended June 30, 2019 and the nine months ended June 30, 2018 was 22%. For the nine months ended June 30, 2019, the effective tax rate approximated the U.S. federal statutory rate as foreign jurisdictions with losses reserved with a valuation allowance were insignificant. The effective tax rate for the same period in 2018 was negatively impacted by foreign tax losses that were reserved with a valuation allowance. The income tax benefit for the nine months ended June 30, 2018 was also negatively impacted by tax expense of $0.7 million due to the re-measurement of U.S. deferred tax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June 30, 2019, we recorded net income of $3.4 million, or $0.29 per diluted share, compared to a net loss of $8.7 million, or $0.76 per diluted share, for the nine months ended June 30, 2018. The improvement in our operating results over the prior year was primarily due to improved market conditions and efficiencies resulting from increased volume in our domestic and Canadian manufacturing facilities.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order backlog at June 30, 2019 was $407.0 million, an increase from the $260.9 million at September 30, 2018, primarily due to increased demand from our customers in our core oil and gas and petrochemical markets. New orders increased during the nine months ended June 30, 2019 to $513.9 million, compared to $380.6 million for the nine months ended June 30, 2018, primarily due to improved market conditions.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Oil and gas commodity price levels have been unstable over the last several years and our customers delayed some of their major capital investment projects. Commodity prices have stabilized and customers continue to invest in projects in our key oil and gas and petrochemical markets, and this shift in market sentiment has had a favorable impact on our orders and backlog over recent quarters.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The increased orders in Fiscal 2018 and 2019 have led to improvement in revenues and operating results that we anticipate 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continue for the remainder of Fiscal 2019. We continue to focus on maintaining our cash position, improving efficiencies in production and investing in future business opportunities.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 in project volume typically requires cash to fund operations, but we believe that our strong working capital position and available cash and short-term investments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current assets exceeded current liabilities by 2.2 times and our debt to total capitalization was 0.40%.</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cash equivalents and short-term investments increased to $78.0 million at June 30, 2019, compared to $49.8 million at September 30, 2018. We also had restricted cash held in a pledged collateral account related to our amended credit agreement (U.S. Revolver) of $16.7 million at June 30, 2019 and $25.1 million at September 30, 2018. For further information regarding our U.S. Revolver, see Note E of Notes to Condensed Consolidated Financial Statements.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U.S. Revolver is a $75.0 million revolving credit facility in the U.S. As of June 30, 2019, there were no amounts borrowed under this facility. Total letters of credit outstanding under our U.S. Revolver, which reduce our availability, were $11.8 million at June 30, 2019 and $23.1 million at September 30, 2018. Currently, our U.S. Revolver can only be used for letters of credit until we meet certain financial ratios as described in Note E of Notes to Condensed Consolidated Financial Statements. As of June 30, 2019, there was $63.2 million available for the issuance of letters of credit under the U.S. Revolver. Total long-term debt, including current maturities, totaled $1.2 million at June 30, 2019, compared to $1.6 million at September 30, 2018.</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$22.8 million of our cash and short-term investments at June 30, 2019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increased to $33.9 million during the nine months ended June 30, 2019, compared to cash used in operating activities of $26.1 million during the same period in Fiscal 2018. This increase in operating cash flow for the nine months ended June 30, 2019 was primarily due to the completion and cash collection of contractual billing milestones, the collection of accounts receivable and the receipt of a $6.6 million income tax refund. Cash flow from operations is primarily influenced by project volume, the timing of milestone payments from our customers and the payment terms with our suppliers.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during the nine months ended June 30, 2019 totaled $4.0 million compared to cash provided by investing activities of $6.8 million during the same period in Fiscal 2018. This decrease in cash provided by investing activities in the current period was primarily due to a decrease in the net maturities of short-term investments compared to the same period in the prior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$10.5 million and $9.9 million during the nine months ended June 30, 2019 and 2018, respectively. These amounts primarily consisted of cash dividends of approximately $9.0 million during the nine months ended June 30, 2019 and $8.9 million during the nine months ended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October 1, 2018, we adopted the new revenue recognition guidance which resulted in changes to our revenue recognition policy. See Note D of Notes to Condensed Consolidated Financial Statements for information on the new revenue recognition guidance and related disclosures. There have been no other material changes to our critical accounting policies as disclosed in our Annual Report on Form 10-K for the year ended September 30,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liquid natural gas terminals, as well as petrochemical, electric utility and light traction power. We maintain ongoing discussions with customers regarding contract status with respect to payment status, change orders and billing terms in an effort to monitor collections of amounts billed.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nine months ended June 30, 2019, our realized foreign exchange gain was $0.1 million and is included in selling, general and administrative expenses in the Condensed Consolidated Statements of Operations.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$23.2 million as of June 30, 2019, an increase of $1.4 million compared to September 30, 2018. This increase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meet certain covenants and are able to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20" w:hanging="818"/>
        <w:spacing w:after="0" w:line="293"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3.1</w:t>
        <w:tab/>
        <w:t xml:space="preserve">— </w:t>
      </w:r>
      <w:hyperlink r:id="rId22">
        <w:r>
          <w:rPr>
            <w:rFonts w:ascii="Arial" w:cs="Arial" w:eastAsia="Arial" w:hAnsi="Arial"/>
            <w:sz w:val="18"/>
            <w:szCs w:val="18"/>
            <w:u w:val="single" w:color="auto"/>
            <w:color w:val="0000FF"/>
          </w:rPr>
          <w:t>Certificate of Incorporation of Powell Industries, Inc. filed with the Secretary of State of the State of Delaware on February 11, 2004</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FF"/>
          </w:rPr>
          <w:t>(filed as Exhibit 3.1 to our Form 8-A/A filed November 1, 2004, and incorporated herein by reference)</w:t>
        </w:r>
        <w:r>
          <w:rPr>
            <w:rFonts w:ascii="Arial" w:cs="Arial" w:eastAsia="Arial" w:hAnsi="Arial"/>
            <w:sz w:val="18"/>
            <w:szCs w:val="18"/>
            <w:color w:val="000000"/>
          </w:rPr>
          <w:t>.</w:t>
        </w:r>
      </w:hyperlink>
    </w:p>
    <w:p>
      <w:pPr>
        <w:spacing w:after="0" w:line="210" w:lineRule="exact"/>
        <w:rPr>
          <w:sz w:val="20"/>
          <w:szCs w:val="20"/>
          <w:color w:val="auto"/>
        </w:rPr>
      </w:pPr>
    </w:p>
    <w:p>
      <w:pPr>
        <w:ind w:left="1420" w:hanging="81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23">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FF"/>
          </w:rPr>
          <w:t>incorporated herein by reference).</w:t>
        </w:r>
      </w:hyperlink>
    </w:p>
    <w:p>
      <w:pPr>
        <w:spacing w:after="0" w:line="224" w:lineRule="exact"/>
        <w:rPr>
          <w:sz w:val="20"/>
          <w:szCs w:val="20"/>
          <w:color w:val="auto"/>
        </w:rPr>
      </w:pPr>
    </w:p>
    <w:p>
      <w:pPr>
        <w:ind w:left="84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10.1</w:t>
        <w:tab/>
        <w:t>—</w:t>
      </w:r>
      <w:r>
        <w:rPr>
          <w:sz w:val="20"/>
          <w:szCs w:val="20"/>
          <w:color w:val="auto"/>
        </w:rPr>
        <w:tab/>
      </w:r>
      <w:hyperlink r:id="rId24">
        <w:r>
          <w:rPr>
            <w:rFonts w:ascii="Arial" w:cs="Arial" w:eastAsia="Arial" w:hAnsi="Arial"/>
            <w:sz w:val="16"/>
            <w:szCs w:val="16"/>
            <w:u w:val="single" w:color="auto"/>
            <w:color w:val="0000FF"/>
          </w:rPr>
          <w:t>First Amendment to Consulting and Advisory Services Agreement effective May 6, 2019 by and between the Company and Don R.</w:t>
        </w:r>
      </w:hyperlink>
    </w:p>
    <w:p>
      <w:pPr>
        <w:spacing w:after="0" w:line="23" w:lineRule="exact"/>
        <w:rPr>
          <w:sz w:val="20"/>
          <w:szCs w:val="20"/>
          <w:color w:val="auto"/>
        </w:rPr>
      </w:pPr>
    </w:p>
    <w:p>
      <w:pPr>
        <w:ind w:left="176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Madison (filed as Exhibit 10.1 to our Form 8-K filed May 8, 2019 and incorporated herein by reference).</w:t>
        </w:r>
      </w:hyperlink>
    </w:p>
    <w:p>
      <w:pPr>
        <w:spacing w:after="0" w:line="265"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29">
        <w:r>
          <w:rPr>
            <w:rFonts w:ascii="Arial" w:cs="Arial" w:eastAsia="Arial" w:hAnsi="Arial"/>
            <w:sz w:val="16"/>
            <w:szCs w:val="16"/>
            <w:u w:val="single" w:color="auto"/>
            <w:color w:val="0000FF"/>
          </w:rPr>
          <w:t>Certification of Chief Executive Officer pursuant to Rule 13a-14(a)/15d-14(a).</w:t>
        </w:r>
      </w:hyperlink>
    </w:p>
    <w:p>
      <w:pPr>
        <w:spacing w:after="0" w:line="279"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30">
        <w:r>
          <w:rPr>
            <w:rFonts w:ascii="Arial" w:cs="Arial" w:eastAsia="Arial" w:hAnsi="Arial"/>
            <w:sz w:val="16"/>
            <w:szCs w:val="16"/>
            <w:u w:val="single" w:color="auto"/>
            <w:color w:val="0000FF"/>
          </w:rPr>
          <w:t>Certification of Chief Financial Officer pursuant to Rule 13a-14(a)/15d-14(a).</w:t>
        </w:r>
      </w:hyperlink>
    </w:p>
    <w:p>
      <w:pPr>
        <w:spacing w:after="0" w:line="279" w:lineRule="exact"/>
        <w:rPr>
          <w:sz w:val="20"/>
          <w:szCs w:val="20"/>
          <w:color w:val="auto"/>
        </w:rPr>
      </w:pPr>
    </w:p>
    <w:p>
      <w:pPr>
        <w:ind w:left="1420" w:right="20" w:hanging="108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31">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1420" w:hanging="108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32">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POWELL INDUSTRIES, INC.</w:t>
            </w:r>
          </w:p>
        </w:tc>
      </w:tr>
      <w:tr>
        <w:trPr>
          <w:trHeight w:val="270"/>
        </w:trPr>
        <w:tc>
          <w:tcPr>
            <w:tcW w:w="3460" w:type="dxa"/>
            <w:vAlign w:val="bottom"/>
          </w:tcPr>
          <w:p>
            <w:pPr>
              <w:spacing w:after="0"/>
              <w:rPr>
                <w:sz w:val="23"/>
                <w:szCs w:val="23"/>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540"/>
        </w:trPr>
        <w:tc>
          <w:tcPr>
            <w:tcW w:w="3460" w:type="dxa"/>
            <w:vAlign w:val="bottom"/>
          </w:tcPr>
          <w:p>
            <w:pPr>
              <w:spacing w:after="0"/>
              <w:rPr>
                <w:sz w:val="20"/>
                <w:szCs w:val="20"/>
                <w:color w:val="auto"/>
              </w:rPr>
            </w:pPr>
            <w:r>
              <w:rPr>
                <w:rFonts w:ascii="Arial" w:cs="Arial" w:eastAsia="Arial" w:hAnsi="Arial"/>
                <w:sz w:val="18"/>
                <w:szCs w:val="18"/>
                <w:color w:val="auto"/>
              </w:rPr>
              <w:t>Date: August 7, 2019</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460" w:type="dxa"/>
            <w:vAlign w:val="bottom"/>
          </w:tcPr>
          <w:p>
            <w:pPr>
              <w:spacing w:after="0"/>
              <w:rPr>
                <w:sz w:val="24"/>
                <w:szCs w:val="24"/>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Michael W. Metcalf</w:t>
            </w:r>
          </w:p>
        </w:tc>
      </w:tr>
      <w:tr>
        <w:trPr>
          <w:trHeight w:val="27"/>
        </w:trPr>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Michael W. Metcalf</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46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28</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2019</w:t>
      </w:r>
    </w:p>
    <w:p>
      <w:pPr>
        <w:sectPr>
          <w:pgSz w:w="11900" w:h="16838" w:orient="portrait"/>
          <w:cols w:equalWidth="0" w:num="1">
            <w:col w:w="11420"/>
          </w:cols>
          <w:pgMar w:left="240" w:top="58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2019</w:t>
      </w:r>
    </w:p>
    <w:p>
      <w:pPr>
        <w:sectPr>
          <w:pgSz w:w="11900" w:h="16838" w:orient="portrait"/>
          <w:cols w:equalWidth="0" w:num="1">
            <w:col w:w="11420"/>
          </w:cols>
          <w:pgMar w:left="240" w:top="58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2019,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2019</w:t>
      </w:r>
    </w:p>
    <w:p>
      <w:pPr>
        <w:sectPr>
          <w:pgSz w:w="11900" w:h="16838" w:orient="portrait"/>
          <w:cols w:equalWidth="0" w:num="1">
            <w:col w:w="11420"/>
          </w:cols>
          <w:pgMar w:left="240" w:top="58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June 30, 2019,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2019</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2" Type="http://schemas.openxmlformats.org/officeDocument/2006/relationships/hyperlink" Target="http://www.sec.gov/Archives/edgar/data/80420/000008042004000044/exhibit3_1.htm" TargetMode="External"/><Relationship Id="rId23" Type="http://schemas.openxmlformats.org/officeDocument/2006/relationships/hyperlink" Target="http://www.sec.gov/Archives/edgar/data/80420/000119312512421889/d424375dex31.htm" TargetMode="External"/><Relationship Id="rId24" Type="http://schemas.openxmlformats.org/officeDocument/2006/relationships/hyperlink" Target="http://www.sec.gov/Archives/edgar/data/80420/000008042019000017/ex101-donmadison1st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2019-12-28T08:24:35Z</dcterms:created>
  <dcterms:modified xsi:type="dcterms:W3CDTF">2019-12-28T08:24:35Z</dcterms:modified>
</cp:coreProperties>
</file>