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277495</wp:posOffset>
            </wp:positionH>
            <wp:positionV relativeFrom="page">
              <wp:posOffset>663575</wp:posOffset>
            </wp:positionV>
            <wp:extent cx="70148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4845" cy="17145"/>
                    </a:xfrm>
                    <a:prstGeom prst="rect">
                      <a:avLst/>
                    </a:prstGeom>
                    <a:noFill/>
                  </pic:spPr>
                </pic:pic>
              </a:graphicData>
            </a:graphic>
          </wp:anchor>
        </w:drawing>
        <w:drawing>
          <wp:anchor simplePos="0" relativeHeight="251657728" behindDoc="1" locked="0" layoutInCell="0" allowOverlap="1">
            <wp:simplePos x="0" y="0"/>
            <wp:positionH relativeFrom="page">
              <wp:posOffset>277495</wp:posOffset>
            </wp:positionH>
            <wp:positionV relativeFrom="page">
              <wp:posOffset>577850</wp:posOffset>
            </wp:positionV>
            <wp:extent cx="70148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4845"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107315</wp:posOffset>
            </wp:positionV>
            <wp:extent cx="2126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5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161290</wp:posOffset>
            </wp:positionV>
            <wp:extent cx="21266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720" w:right="4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2016</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2" w:lineRule="exact"/>
        <w:rPr>
          <w:sz w:val="24"/>
          <w:szCs w:val="24"/>
          <w:color w:val="auto"/>
        </w:rPr>
      </w:pPr>
    </w:p>
    <w:tbl>
      <w:tblPr>
        <w:tblLayout w:type="fixed"/>
        <w:tblInd w:w="386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5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r>
      <w:tr>
        <w:trPr>
          <w:trHeight w:val="399"/>
        </w:trPr>
        <w:tc>
          <w:tcPr>
            <w:tcW w:w="3700" w:type="dxa"/>
            <w:vAlign w:val="bottom"/>
            <w:gridSpan w:val="4"/>
          </w:tcPr>
          <w:p>
            <w:pPr>
              <w:ind w:left="440"/>
              <w:spacing w:after="0"/>
              <w:rPr>
                <w:sz w:val="20"/>
                <w:szCs w:val="20"/>
                <w:color w:val="auto"/>
              </w:rPr>
            </w:pPr>
            <w:r>
              <w:rPr>
                <w:rFonts w:ascii="Arial" w:cs="Arial" w:eastAsia="Arial" w:hAnsi="Arial"/>
                <w:sz w:val="18"/>
                <w:szCs w:val="18"/>
                <w:b w:val="1"/>
                <w:bCs w:val="1"/>
                <w:color w:val="auto"/>
              </w:rPr>
              <w:t>Commission File Number 001-12488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102870</wp:posOffset>
            </wp:positionV>
            <wp:extent cx="2126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Powell Industries,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90170</wp:posOffset>
            </wp:positionV>
            <wp:extent cx="2126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6320" w:type="dxa"/>
            <w:vAlign w:val="bottom"/>
            <w:gridSpan w:val="3"/>
          </w:tcPr>
          <w:p>
            <w:pPr>
              <w:jc w:val="center"/>
              <w:ind w:right="3940"/>
              <w:spacing w:after="0"/>
              <w:rPr>
                <w:sz w:val="20"/>
                <w:szCs w:val="20"/>
                <w:color w:val="auto"/>
              </w:rPr>
            </w:pPr>
            <w:r>
              <w:rPr>
                <w:rFonts w:ascii="Arial" w:cs="Arial" w:eastAsia="Arial" w:hAnsi="Arial"/>
                <w:sz w:val="18"/>
                <w:szCs w:val="18"/>
                <w:b w:val="1"/>
                <w:bCs w:val="1"/>
                <w:color w:val="auto"/>
                <w:w w:val="93"/>
              </w:rPr>
              <w:t>Delaware</w:t>
            </w:r>
          </w:p>
        </w:tc>
        <w:tc>
          <w:tcPr>
            <w:tcW w:w="1300" w:type="dxa"/>
            <w:vAlign w:val="bottom"/>
          </w:tcPr>
          <w:p>
            <w:pPr>
              <w:jc w:val="center"/>
              <w:ind w:left="101"/>
              <w:spacing w:after="0"/>
              <w:rPr>
                <w:sz w:val="20"/>
                <w:szCs w:val="20"/>
                <w:color w:val="auto"/>
              </w:rPr>
            </w:pPr>
            <w:r>
              <w:rPr>
                <w:rFonts w:ascii="Arial" w:cs="Arial" w:eastAsia="Arial" w:hAnsi="Arial"/>
                <w:sz w:val="18"/>
                <w:szCs w:val="18"/>
                <w:b w:val="1"/>
                <w:bCs w:val="1"/>
                <w:color w:val="auto"/>
                <w:w w:val="91"/>
              </w:rPr>
              <w:t>88-0106100</w:t>
            </w:r>
          </w:p>
        </w:tc>
      </w:tr>
      <w:tr>
        <w:trPr>
          <w:trHeight w:val="234"/>
        </w:trPr>
        <w:tc>
          <w:tcPr>
            <w:tcW w:w="6320" w:type="dxa"/>
            <w:vAlign w:val="bottom"/>
            <w:gridSpan w:val="3"/>
          </w:tcPr>
          <w:p>
            <w:pPr>
              <w:jc w:val="center"/>
              <w:ind w:right="3940"/>
              <w:spacing w:after="0"/>
              <w:rPr>
                <w:sz w:val="20"/>
                <w:szCs w:val="20"/>
                <w:color w:val="auto"/>
              </w:rPr>
            </w:pPr>
            <w:r>
              <w:rPr>
                <w:rFonts w:ascii="Arial" w:cs="Arial" w:eastAsia="Arial" w:hAnsi="Arial"/>
                <w:sz w:val="14"/>
                <w:szCs w:val="14"/>
                <w:b w:val="1"/>
                <w:bCs w:val="1"/>
                <w:color w:val="auto"/>
                <w:w w:val="92"/>
              </w:rPr>
              <w:t>(State or other jurisdiction of</w:t>
            </w:r>
          </w:p>
        </w:tc>
        <w:tc>
          <w:tcPr>
            <w:tcW w:w="1300" w:type="dxa"/>
            <w:vAlign w:val="bottom"/>
          </w:tcPr>
          <w:p>
            <w:pPr>
              <w:jc w:val="center"/>
              <w:ind w:left="1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320" w:type="dxa"/>
            <w:vAlign w:val="bottom"/>
            <w:gridSpan w:val="3"/>
          </w:tcPr>
          <w:p>
            <w:pPr>
              <w:jc w:val="center"/>
              <w:ind w:right="3940"/>
              <w:spacing w:after="0"/>
              <w:rPr>
                <w:sz w:val="20"/>
                <w:szCs w:val="20"/>
                <w:color w:val="auto"/>
              </w:rPr>
            </w:pPr>
            <w:r>
              <w:rPr>
                <w:rFonts w:ascii="Arial" w:cs="Arial" w:eastAsia="Arial" w:hAnsi="Arial"/>
                <w:sz w:val="14"/>
                <w:szCs w:val="14"/>
                <w:b w:val="1"/>
                <w:bCs w:val="1"/>
                <w:color w:val="auto"/>
                <w:w w:val="93"/>
              </w:rPr>
              <w:t>incorporation or organization)</w:t>
            </w:r>
          </w:p>
        </w:tc>
        <w:tc>
          <w:tcPr>
            <w:tcW w:w="1300" w:type="dxa"/>
            <w:vAlign w:val="bottom"/>
          </w:tcPr>
          <w:p>
            <w:pPr>
              <w:jc w:val="center"/>
              <w:ind w:left="1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6320" w:type="dxa"/>
            <w:vAlign w:val="bottom"/>
            <w:gridSpan w:val="3"/>
          </w:tcPr>
          <w:p>
            <w:pPr>
              <w:jc w:val="center"/>
              <w:ind w:right="3920"/>
              <w:spacing w:after="0"/>
              <w:rPr>
                <w:sz w:val="20"/>
                <w:szCs w:val="20"/>
                <w:color w:val="auto"/>
              </w:rPr>
            </w:pPr>
            <w:r>
              <w:rPr>
                <w:rFonts w:ascii="Arial" w:cs="Arial" w:eastAsia="Arial" w:hAnsi="Arial"/>
                <w:sz w:val="18"/>
                <w:szCs w:val="18"/>
                <w:b w:val="1"/>
                <w:bCs w:val="1"/>
                <w:color w:val="auto"/>
                <w:w w:val="89"/>
              </w:rPr>
              <w:t>8550 Mosley Road</w:t>
            </w:r>
          </w:p>
        </w:tc>
        <w:tc>
          <w:tcPr>
            <w:tcW w:w="1300" w:type="dxa"/>
            <w:vAlign w:val="bottom"/>
          </w:tcPr>
          <w:p>
            <w:pPr>
              <w:spacing w:after="0"/>
              <w:rPr>
                <w:sz w:val="20"/>
                <w:szCs w:val="20"/>
                <w:color w:val="auto"/>
              </w:rPr>
            </w:pPr>
          </w:p>
        </w:tc>
      </w:tr>
      <w:tr>
        <w:trPr>
          <w:trHeight w:val="234"/>
        </w:trPr>
        <w:tc>
          <w:tcPr>
            <w:tcW w:w="6320" w:type="dxa"/>
            <w:vAlign w:val="bottom"/>
            <w:gridSpan w:val="3"/>
          </w:tcPr>
          <w:p>
            <w:pPr>
              <w:jc w:val="center"/>
              <w:ind w:right="3940"/>
              <w:spacing w:after="0"/>
              <w:rPr>
                <w:sz w:val="20"/>
                <w:szCs w:val="20"/>
                <w:color w:val="auto"/>
              </w:rPr>
            </w:pPr>
            <w:r>
              <w:rPr>
                <w:rFonts w:ascii="Arial" w:cs="Arial" w:eastAsia="Arial" w:hAnsi="Arial"/>
                <w:sz w:val="18"/>
                <w:szCs w:val="18"/>
                <w:b w:val="1"/>
                <w:bCs w:val="1"/>
                <w:color w:val="auto"/>
                <w:w w:val="88"/>
              </w:rPr>
              <w:t>Houston, Texas</w:t>
            </w:r>
          </w:p>
        </w:tc>
        <w:tc>
          <w:tcPr>
            <w:tcW w:w="1300" w:type="dxa"/>
            <w:vAlign w:val="bottom"/>
          </w:tcPr>
          <w:p>
            <w:pPr>
              <w:jc w:val="center"/>
              <w:ind w:left="121"/>
              <w:spacing w:after="0"/>
              <w:rPr>
                <w:sz w:val="20"/>
                <w:szCs w:val="20"/>
                <w:color w:val="auto"/>
              </w:rPr>
            </w:pPr>
            <w:r>
              <w:rPr>
                <w:rFonts w:ascii="Arial" w:cs="Arial" w:eastAsia="Arial" w:hAnsi="Arial"/>
                <w:sz w:val="18"/>
                <w:szCs w:val="18"/>
                <w:b w:val="1"/>
                <w:bCs w:val="1"/>
                <w:color w:val="auto"/>
                <w:w w:val="89"/>
              </w:rPr>
              <w:t>77075-1180</w:t>
            </w:r>
          </w:p>
        </w:tc>
      </w:tr>
      <w:tr>
        <w:trPr>
          <w:trHeight w:val="218"/>
        </w:trPr>
        <w:tc>
          <w:tcPr>
            <w:tcW w:w="6320" w:type="dxa"/>
            <w:vAlign w:val="bottom"/>
            <w:gridSpan w:val="3"/>
          </w:tcPr>
          <w:p>
            <w:pPr>
              <w:jc w:val="center"/>
              <w:ind w:right="39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00" w:type="dxa"/>
            <w:vAlign w:val="bottom"/>
          </w:tcPr>
          <w:p>
            <w:pPr>
              <w:jc w:val="center"/>
              <w:ind w:left="121"/>
              <w:spacing w:after="0"/>
              <w:rPr>
                <w:sz w:val="20"/>
                <w:szCs w:val="20"/>
                <w:color w:val="auto"/>
              </w:rPr>
            </w:pPr>
            <w:r>
              <w:rPr>
                <w:rFonts w:ascii="Arial" w:cs="Arial" w:eastAsia="Arial" w:hAnsi="Arial"/>
                <w:sz w:val="14"/>
                <w:szCs w:val="14"/>
                <w:b w:val="1"/>
                <w:bCs w:val="1"/>
                <w:color w:val="auto"/>
                <w:w w:val="95"/>
              </w:rPr>
              <w:t>(Zip Code)</w:t>
            </w:r>
          </w:p>
        </w:tc>
      </w:tr>
      <w:tr>
        <w:trPr>
          <w:trHeight w:val="277"/>
        </w:trPr>
        <w:tc>
          <w:tcPr>
            <w:tcW w:w="6320" w:type="dxa"/>
            <w:vAlign w:val="bottom"/>
            <w:gridSpan w:val="3"/>
          </w:tcPr>
          <w:p>
            <w:pPr>
              <w:jc w:val="center"/>
              <w:ind w:left="1917"/>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1300" w:type="dxa"/>
            <w:vAlign w:val="bottom"/>
          </w:tcPr>
          <w:p>
            <w:pPr>
              <w:spacing w:after="0"/>
              <w:rPr>
                <w:sz w:val="24"/>
                <w:szCs w:val="24"/>
                <w:color w:val="auto"/>
              </w:rPr>
            </w:pPr>
          </w:p>
        </w:tc>
      </w:tr>
      <w:tr>
        <w:trPr>
          <w:trHeight w:val="234"/>
        </w:trPr>
        <w:tc>
          <w:tcPr>
            <w:tcW w:w="5840" w:type="dxa"/>
            <w:vAlign w:val="bottom"/>
            <w:gridSpan w:val="2"/>
          </w:tcPr>
          <w:p>
            <w:pPr>
              <w:jc w:val="right"/>
              <w:ind w:right="1120"/>
              <w:spacing w:after="0"/>
              <w:rPr>
                <w:sz w:val="20"/>
                <w:szCs w:val="20"/>
                <w:color w:val="auto"/>
              </w:rPr>
            </w:pPr>
            <w:r>
              <w:rPr>
                <w:rFonts w:ascii="Arial" w:cs="Arial" w:eastAsia="Arial" w:hAnsi="Arial"/>
                <w:sz w:val="18"/>
                <w:szCs w:val="18"/>
                <w:b w:val="1"/>
                <w:bCs w:val="1"/>
                <w:color w:val="auto"/>
              </w:rPr>
              <w:t>(713) 944-6900</w:t>
            </w:r>
          </w:p>
        </w:tc>
        <w:tc>
          <w:tcPr>
            <w:tcW w:w="4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135"/>
        </w:trPr>
        <w:tc>
          <w:tcPr>
            <w:tcW w:w="2480" w:type="dxa"/>
            <w:vAlign w:val="bottom"/>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tcPr>
          <w:p>
            <w:pPr>
              <w:spacing w:after="0"/>
              <w:rPr>
                <w:sz w:val="11"/>
                <w:szCs w:val="11"/>
                <w:color w:val="auto"/>
              </w:rPr>
            </w:pPr>
          </w:p>
        </w:tc>
      </w:tr>
    </w:tbl>
    <w:p>
      <w:pPr>
        <w:spacing w:after="0" w:line="391" w:lineRule="exact"/>
        <w:rPr>
          <w:sz w:val="24"/>
          <w:szCs w:val="24"/>
          <w:color w:val="auto"/>
        </w:rPr>
      </w:pPr>
    </w:p>
    <w:p>
      <w:pPr>
        <w:jc w:val="both"/>
        <w:ind w:firstLine="5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jc w:val="both"/>
        <w:ind w:firstLine="5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136" w:lineRule="exact"/>
        <w:rPr>
          <w:sz w:val="24"/>
          <w:szCs w:val="24"/>
          <w:color w:val="auto"/>
        </w:rPr>
      </w:pPr>
    </w:p>
    <w:p>
      <w:pPr>
        <w:ind w:left="2900" w:right="600" w:hanging="4006"/>
        <w:spacing w:after="0" w:line="267" w:lineRule="exact"/>
        <w:tabs>
          <w:tab w:leader="none" w:pos="28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x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p>
      <w:pPr>
        <w:spacing w:after="0" w:line="142" w:lineRule="exact"/>
        <w:rPr>
          <w:sz w:val="24"/>
          <w:szCs w:val="24"/>
          <w:color w:val="auto"/>
        </w:rPr>
      </w:pPr>
    </w:p>
    <w:p>
      <w:pPr>
        <w:ind w:left="500" w:right="1400"/>
        <w:spacing w:after="0" w:line="32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At February 3, 2017, there were 11,411,638 outstanding shares of the registrant’s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171450</wp:posOffset>
            </wp:positionV>
            <wp:extent cx="70148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4845" cy="171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85725</wp:posOffset>
            </wp:positionV>
            <wp:extent cx="70148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4845" cy="8890"/>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111" w:right="2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203"/>
        </w:trPr>
        <w:tc>
          <w:tcPr>
            <w:tcW w:w="10700" w:type="dxa"/>
            <w:vAlign w:val="bottom"/>
            <w:gridSpan w:val="21"/>
          </w:tcPr>
          <w:p>
            <w:pPr>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680" w:type="dxa"/>
            <w:vAlign w:val="bottom"/>
          </w:tcPr>
          <w:p>
            <w:pPr>
              <w:jc w:val="right"/>
              <w:spacing w:after="0" w:line="202" w:lineRule="exact"/>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56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Condensed Consolidated Financial Statements</w:t>
              </w:r>
            </w:hyperlink>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50"/>
        </w:trPr>
        <w:tc>
          <w:tcPr>
            <w:tcW w:w="14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680" w:type="dxa"/>
            <w:vAlign w:val="bottom"/>
            <w:tcBorders>
              <w:top w:val="single" w:sz="8" w:color="0000EE"/>
            </w:tcBorders>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6680" w:type="dxa"/>
            <w:vAlign w:val="bottom"/>
            <w:gridSpan w:val="7"/>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6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6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38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 xml:space="preserve">Condensed Consolidated Statements of Comprehensive Income </w:t>
              </w:r>
            </w:hyperlink>
            <w:r>
              <w:rPr>
                <w:rFonts w:ascii="Arial" w:cs="Arial" w:eastAsia="Arial" w:hAnsi="Arial"/>
                <w:sz w:val="18"/>
                <w:szCs w:val="18"/>
                <w:color w:val="000000"/>
              </w:rPr>
              <w:t>(Loss)</w:t>
            </w:r>
          </w:p>
        </w:tc>
        <w:tc>
          <w:tcPr>
            <w:tcW w:w="6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34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 of Stockholders’ Equity</w:t>
              </w:r>
            </w:hyperlink>
          </w:p>
        </w:tc>
        <w:tc>
          <w:tcPr>
            <w:tcW w:w="220" w:type="dxa"/>
            <w:vAlign w:val="bottom"/>
            <w:tcBorders>
              <w:top w:val="single" w:sz="8" w:color="0000EE"/>
            </w:tcBorders>
          </w:tcPr>
          <w:p>
            <w:pPr>
              <w:spacing w:after="0"/>
              <w:rPr>
                <w:sz w:val="21"/>
                <w:szCs w:val="21"/>
                <w:color w:val="auto"/>
              </w:rPr>
            </w:pPr>
          </w:p>
        </w:tc>
        <w:tc>
          <w:tcPr>
            <w:tcW w:w="5800" w:type="dxa"/>
            <w:vAlign w:val="bottom"/>
            <w:gridSpan w:val="3"/>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6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w:t>
              </w:r>
            </w:hyperlink>
          </w:p>
        </w:tc>
        <w:tc>
          <w:tcPr>
            <w:tcW w:w="6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6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68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r>
      <w:tr>
        <w:trPr>
          <w:trHeight w:val="20"/>
        </w:trPr>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560" w:type="dxa"/>
            <w:vAlign w:val="bottom"/>
            <w:gridSpan w:val="2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20</w:t>
              </w:r>
            </w:hyperlink>
          </w:p>
        </w:tc>
      </w:tr>
      <w:tr>
        <w:trPr>
          <w:trHeight w:val="250"/>
        </w:trPr>
        <w:tc>
          <w:tcPr>
            <w:tcW w:w="140" w:type="dxa"/>
            <w:vAlign w:val="bottom"/>
          </w:tcPr>
          <w:p>
            <w:pPr>
              <w:spacing w:after="0"/>
              <w:rPr>
                <w:sz w:val="21"/>
                <w:szCs w:val="21"/>
                <w:color w:val="auto"/>
              </w:rPr>
            </w:pPr>
          </w:p>
        </w:tc>
        <w:tc>
          <w:tcPr>
            <w:tcW w:w="520" w:type="dxa"/>
            <w:vAlign w:val="bottom"/>
            <w:tcBorders>
              <w:top w:val="single" w:sz="8" w:color="0000EE"/>
            </w:tcBorders>
            <w:gridSpan w:val="3"/>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3.</w:t>
              </w:r>
            </w:hyperlink>
          </w:p>
        </w:tc>
        <w:tc>
          <w:tcPr>
            <w:tcW w:w="6480" w:type="dxa"/>
            <w:vAlign w:val="bottom"/>
            <w:tcBorders>
              <w:top w:val="single" w:sz="8" w:color="0000EE"/>
            </w:tcBorders>
            <w:gridSpan w:val="16"/>
          </w:tcPr>
          <w:p>
            <w:pPr>
              <w:ind w:left="20"/>
              <w:spacing w:after="0"/>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Disclosures About Market Risk</w:t>
              </w:r>
            </w:hyperlink>
          </w:p>
        </w:tc>
        <w:tc>
          <w:tcPr>
            <w:tcW w:w="3560" w:type="dxa"/>
            <w:vAlign w:val="bottom"/>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23</w:t>
              </w:r>
            </w:hyperlink>
          </w:p>
        </w:tc>
      </w:tr>
      <w:tr>
        <w:trPr>
          <w:trHeight w:val="250"/>
        </w:trPr>
        <w:tc>
          <w:tcPr>
            <w:tcW w:w="140" w:type="dxa"/>
            <w:vAlign w:val="bottom"/>
          </w:tcPr>
          <w:p>
            <w:pPr>
              <w:spacing w:after="0"/>
              <w:rPr>
                <w:sz w:val="21"/>
                <w:szCs w:val="21"/>
                <w:color w:val="auto"/>
              </w:rPr>
            </w:pPr>
          </w:p>
        </w:tc>
        <w:tc>
          <w:tcPr>
            <w:tcW w:w="5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4.</w:t>
              </w:r>
            </w:hyperlink>
          </w:p>
        </w:tc>
        <w:tc>
          <w:tcPr>
            <w:tcW w:w="1800" w:type="dxa"/>
            <w:vAlign w:val="bottom"/>
            <w:tcBorders>
              <w:top w:val="single" w:sz="8" w:color="0000EE"/>
              <w:bottom w:val="single" w:sz="8" w:color="0000EE"/>
            </w:tcBorders>
            <w:gridSpan w:val="7"/>
          </w:tcPr>
          <w:p>
            <w:pPr>
              <w:ind w:left="20"/>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8"/>
          </w:tcPr>
          <w:p>
            <w:pPr>
              <w:spacing w:after="0"/>
              <w:rPr>
                <w:sz w:val="21"/>
                <w:szCs w:val="21"/>
                <w:color w:val="auto"/>
              </w:rPr>
            </w:pPr>
          </w:p>
        </w:tc>
        <w:tc>
          <w:tcPr>
            <w:tcW w:w="5660" w:type="dxa"/>
            <w:vAlign w:val="bottom"/>
            <w:gridSpan w:val="2"/>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r>
      <w:tr>
        <w:trPr>
          <w:trHeight w:val="426"/>
        </w:trPr>
        <w:tc>
          <w:tcPr>
            <w:tcW w:w="2240" w:type="dxa"/>
            <w:vAlign w:val="bottom"/>
            <w:tcBorders>
              <w:bottom w:val="single" w:sz="8" w:color="0000EE"/>
            </w:tcBorders>
            <w:gridSpan w:val="9"/>
          </w:tcPr>
          <w:p>
            <w:pPr>
              <w:spacing w:after="0"/>
              <w:rPr>
                <w:rFonts w:ascii="Arial" w:cs="Arial" w:eastAsia="Arial" w:hAnsi="Arial"/>
                <w:sz w:val="18"/>
                <w:szCs w:val="18"/>
                <w:b w:val="1"/>
                <w:bCs w:val="1"/>
                <w:color w:val="0000EE"/>
                <w:w w:val="96"/>
              </w:rPr>
            </w:pPr>
            <w:hyperlink w:anchor="page24">
              <w:r>
                <w:rPr>
                  <w:rFonts w:ascii="Arial" w:cs="Arial" w:eastAsia="Arial" w:hAnsi="Arial"/>
                  <w:sz w:val="18"/>
                  <w:szCs w:val="18"/>
                  <w:b w:val="1"/>
                  <w:bCs w:val="1"/>
                  <w:color w:val="0000EE"/>
                  <w:w w:val="96"/>
                </w:rPr>
                <w:t>Part II — Other Information</w:t>
              </w:r>
            </w:hyperlink>
          </w:p>
        </w:tc>
        <w:tc>
          <w:tcPr>
            <w:tcW w:w="8460" w:type="dxa"/>
            <w:vAlign w:val="bottom"/>
            <w:gridSpan w:val="12"/>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r>
      <w:tr>
        <w:trPr>
          <w:trHeight w:val="250"/>
        </w:trPr>
        <w:tc>
          <w:tcPr>
            <w:tcW w:w="140" w:type="dxa"/>
            <w:vAlign w:val="bottom"/>
          </w:tcPr>
          <w:p>
            <w:pPr>
              <w:spacing w:after="0"/>
              <w:rPr>
                <w:sz w:val="21"/>
                <w:szCs w:val="21"/>
                <w:color w:val="auto"/>
              </w:rPr>
            </w:pPr>
          </w:p>
        </w:tc>
        <w:tc>
          <w:tcPr>
            <w:tcW w:w="5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1.</w:t>
              </w:r>
            </w:hyperlink>
          </w:p>
        </w:tc>
        <w:tc>
          <w:tcPr>
            <w:tcW w:w="1360" w:type="dxa"/>
            <w:vAlign w:val="bottom"/>
            <w:tcBorders>
              <w:bottom w:val="single" w:sz="8" w:color="0000EE"/>
            </w:tcBorders>
            <w:gridSpan w:val="4"/>
          </w:tcPr>
          <w:p>
            <w:pPr>
              <w:ind w:left="20"/>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Legal Proceedings</w:t>
              </w:r>
            </w:hyperlink>
          </w:p>
        </w:tc>
        <w:tc>
          <w:tcPr>
            <w:tcW w:w="8680" w:type="dxa"/>
            <w:vAlign w:val="bottom"/>
            <w:gridSpan w:val="13"/>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r>
      <w:tr>
        <w:trPr>
          <w:trHeight w:val="250"/>
        </w:trPr>
        <w:tc>
          <w:tcPr>
            <w:tcW w:w="140" w:type="dxa"/>
            <w:vAlign w:val="bottom"/>
          </w:tcPr>
          <w:p>
            <w:pPr>
              <w:spacing w:after="0"/>
              <w:rPr>
                <w:sz w:val="21"/>
                <w:szCs w:val="21"/>
                <w:color w:val="auto"/>
              </w:rPr>
            </w:pPr>
          </w:p>
        </w:tc>
        <w:tc>
          <w:tcPr>
            <w:tcW w:w="15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1A. Risk Factors</w:t>
              </w:r>
            </w:hyperlink>
          </w:p>
        </w:tc>
        <w:tc>
          <w:tcPr>
            <w:tcW w:w="8980" w:type="dxa"/>
            <w:vAlign w:val="bottom"/>
            <w:gridSpan w:val="14"/>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r>
      <w:tr>
        <w:trPr>
          <w:trHeight w:val="250"/>
        </w:trPr>
        <w:tc>
          <w:tcPr>
            <w:tcW w:w="140" w:type="dxa"/>
            <w:vAlign w:val="bottom"/>
          </w:tcPr>
          <w:p>
            <w:pPr>
              <w:spacing w:after="0"/>
              <w:rPr>
                <w:sz w:val="21"/>
                <w:szCs w:val="21"/>
                <w:color w:val="auto"/>
              </w:rPr>
            </w:pPr>
          </w:p>
        </w:tc>
        <w:tc>
          <w:tcPr>
            <w:tcW w:w="520" w:type="dxa"/>
            <w:vAlign w:val="bottom"/>
            <w:gridSpan w:val="3"/>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6.</w:t>
              </w:r>
            </w:hyperlink>
          </w:p>
        </w:tc>
        <w:tc>
          <w:tcPr>
            <w:tcW w:w="10040" w:type="dxa"/>
            <w:vAlign w:val="bottom"/>
            <w:gridSpan w:val="17"/>
          </w:tcPr>
          <w:p>
            <w:pPr>
              <w:ind w:left="20"/>
              <w:spacing w:after="0"/>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68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r>
      <w:tr>
        <w:trPr>
          <w:trHeight w:val="250"/>
        </w:trPr>
        <w:tc>
          <w:tcPr>
            <w:tcW w:w="140" w:type="dxa"/>
            <w:vAlign w:val="bottom"/>
          </w:tcPr>
          <w:p>
            <w:pPr>
              <w:spacing w:after="0"/>
              <w:rPr>
                <w:sz w:val="21"/>
                <w:szCs w:val="21"/>
                <w:color w:val="auto"/>
              </w:rPr>
            </w:pPr>
          </w:p>
        </w:tc>
        <w:tc>
          <w:tcPr>
            <w:tcW w:w="1140" w:type="dxa"/>
            <w:vAlign w:val="bottom"/>
            <w:tcBorders>
              <w:top w:val="single" w:sz="8" w:color="0000EE"/>
            </w:tcBorders>
            <w:gridSpan w:val="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9420" w:type="dxa"/>
            <w:vAlign w:val="bottom"/>
            <w:gridSpan w:val="15"/>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r>
      <w:tr>
        <w:trPr>
          <w:trHeight w:val="723"/>
        </w:trPr>
        <w:tc>
          <w:tcPr>
            <w:tcW w:w="1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260" w:type="dxa"/>
            <w:vAlign w:val="bottom"/>
            <w:gridSpan w:val="15"/>
          </w:tcPr>
          <w:p>
            <w:pPr>
              <w:jc w:val="right"/>
              <w:ind w:right="1420"/>
              <w:spacing w:after="0"/>
              <w:rPr>
                <w:sz w:val="20"/>
                <w:szCs w:val="20"/>
                <w:color w:val="auto"/>
              </w:rPr>
            </w:pPr>
            <w:r>
              <w:rPr>
                <w:rFonts w:ascii="Arial" w:cs="Arial" w:eastAsia="Arial" w:hAnsi="Arial"/>
                <w:sz w:val="18"/>
                <w:szCs w:val="18"/>
                <w:color w:val="auto"/>
              </w:rPr>
              <w:t>2</w:t>
            </w:r>
          </w:p>
        </w:tc>
        <w:tc>
          <w:tcPr>
            <w:tcW w:w="35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Pr>
          <w:p>
            <w:pPr>
              <w:spacing w:after="0"/>
              <w:rPr>
                <w:sz w:val="16"/>
                <w:szCs w:val="16"/>
                <w:color w:val="auto"/>
              </w:rPr>
            </w:pPr>
          </w:p>
        </w:tc>
        <w:tc>
          <w:tcPr>
            <w:tcW w:w="1520" w:type="dxa"/>
            <w:vAlign w:val="bottom"/>
          </w:tcPr>
          <w:p>
            <w:pPr>
              <w:jc w:val="right"/>
              <w:ind w:right="159"/>
              <w:spacing w:after="0"/>
              <w:rPr>
                <w:sz w:val="20"/>
                <w:szCs w:val="20"/>
                <w:color w:val="auto"/>
              </w:rPr>
            </w:pPr>
            <w:r>
              <w:rPr>
                <w:rFonts w:ascii="Arial" w:cs="Arial" w:eastAsia="Arial" w:hAnsi="Arial"/>
                <w:sz w:val="14"/>
                <w:szCs w:val="14"/>
                <w:b w:val="1"/>
                <w:bCs w:val="1"/>
                <w:color w:val="auto"/>
                <w:w w:val="96"/>
              </w:rPr>
              <w:t>September 30, 2016</w:t>
            </w:r>
          </w:p>
        </w:tc>
      </w:tr>
      <w:tr>
        <w:trPr>
          <w:trHeight w:val="236"/>
        </w:trPr>
        <w:tc>
          <w:tcPr>
            <w:tcW w:w="7900" w:type="dxa"/>
            <w:vAlign w:val="bottom"/>
            <w:tcBorders>
              <w:top w:val="single" w:sz="8" w:color="CCEEFF"/>
              <w:bottom w:val="single" w:sz="8" w:color="CCEEFF"/>
            </w:tcBorders>
            <w:shd w:val="clear" w:color="auto" w:fill="CCEEFF"/>
          </w:tcPr>
          <w:p>
            <w:pPr>
              <w:ind w:left="36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80,582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97,720</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14,874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 less allowance for doubtful accounts of $664 and $811</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88,487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101,048</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Costs and estimated earnings in excess of billings on uncompleted contracts</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59,951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66,106</w:t>
            </w: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26,521</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Income taxes receivable</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3,066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1,713</w:t>
            </w: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4,006</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Prepaid expenses</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3,830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4,569</w:t>
            </w: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2,457</w:t>
            </w:r>
          </w:p>
        </w:tc>
      </w:tr>
      <w:tr>
        <w:trPr>
          <w:trHeight w:val="217"/>
        </w:trPr>
        <w:tc>
          <w:tcPr>
            <w:tcW w:w="790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281,721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304,140</w:t>
            </w:r>
          </w:p>
        </w:tc>
      </w:tr>
      <w:tr>
        <w:trPr>
          <w:trHeight w:val="33"/>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141,450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144,977</w:t>
            </w: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Goodwill and intangible assets, net</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1,971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2,059</w:t>
            </w: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11,340</w:t>
            </w:r>
          </w:p>
        </w:tc>
      </w:tr>
      <w:tr>
        <w:trPr>
          <w:trHeight w:val="217"/>
        </w:trPr>
        <w:tc>
          <w:tcPr>
            <w:tcW w:w="7900" w:type="dxa"/>
            <w:vAlign w:val="bottom"/>
          </w:tcPr>
          <w:p>
            <w:pPr>
              <w:ind w:left="500"/>
              <w:spacing w:after="0"/>
              <w:rPr>
                <w:sz w:val="20"/>
                <w:szCs w:val="20"/>
                <w:color w:val="auto"/>
              </w:rPr>
            </w:pPr>
            <w:r>
              <w:rPr>
                <w:rFonts w:ascii="Arial" w:cs="Arial" w:eastAsia="Arial" w:hAnsi="Arial"/>
                <w:sz w:val="16"/>
                <w:szCs w:val="16"/>
                <w:color w:val="auto"/>
              </w:rPr>
              <w:t>Total Assets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436,992</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462,516</w:t>
            </w:r>
          </w:p>
        </w:tc>
      </w:tr>
      <w:tr>
        <w:trPr>
          <w:trHeight w:val="73"/>
        </w:trPr>
        <w:tc>
          <w:tcPr>
            <w:tcW w:w="79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r>
      <w:tr>
        <w:trPr>
          <w:trHeight w:val="217"/>
        </w:trPr>
        <w:tc>
          <w:tcPr>
            <w:tcW w:w="7900" w:type="dxa"/>
            <w:vAlign w:val="bottom"/>
            <w:tcBorders>
              <w:bottom w:val="single" w:sz="8" w:color="CCEEFF"/>
            </w:tcBorders>
            <w:shd w:val="clear" w:color="auto" w:fill="CCEEFF"/>
          </w:tcPr>
          <w:p>
            <w:pPr>
              <w:ind w:left="220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Current maturities of long-term debt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Income taxes payable</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1,477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1,459</w:t>
            </w: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34,985</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Accrued salaries, bonuses and commissions</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12,295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22,550</w:t>
            </w: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Billings in excess of costs and estimated earnings on uncompleted contracts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40,208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43,974</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Accrued product warranty</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4,230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4,639</w:t>
            </w: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8,212</w:t>
            </w: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Deferred credit ─ short term (Note D)</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2,029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2,029</w:t>
            </w:r>
          </w:p>
        </w:tc>
      </w:tr>
      <w:tr>
        <w:trPr>
          <w:trHeight w:val="33"/>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98,575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118,248</w:t>
            </w: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Long-term debt, net of current maturities</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1,600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2,000</w:t>
            </w: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4,840</w:t>
            </w: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472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138</w:t>
            </w: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1,466</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Deferred credit ─ long term (Note D)</w:t>
            </w:r>
          </w:p>
        </w:tc>
        <w:tc>
          <w:tcPr>
            <w:tcW w:w="200" w:type="dxa"/>
            <w:vAlign w:val="bottom"/>
          </w:tcPr>
          <w:p>
            <w:pPr>
              <w:spacing w:after="0"/>
              <w:rPr>
                <w:sz w:val="20"/>
                <w:szCs w:val="20"/>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507</w:t>
            </w:r>
          </w:p>
        </w:tc>
      </w:tr>
      <w:tr>
        <w:trPr>
          <w:trHeight w:val="33"/>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106,941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127,199</w:t>
            </w:r>
          </w:p>
        </w:tc>
      </w:tr>
      <w:tr>
        <w:trPr>
          <w:trHeight w:val="204"/>
        </w:trPr>
        <w:tc>
          <w:tcPr>
            <w:tcW w:w="7900" w:type="dxa"/>
            <w:vAlign w:val="bottom"/>
          </w:tcPr>
          <w:p>
            <w:pPr>
              <w:ind w:left="40"/>
              <w:spacing w:after="0"/>
              <w:rPr>
                <w:sz w:val="20"/>
                <w:szCs w:val="20"/>
                <w:color w:val="auto"/>
              </w:rPr>
            </w:pPr>
            <w:r>
              <w:rPr>
                <w:rFonts w:ascii="Arial" w:cs="Arial" w:eastAsia="Arial" w:hAnsi="Arial"/>
                <w:sz w:val="16"/>
                <w:szCs w:val="16"/>
                <w:color w:val="auto"/>
              </w:rPr>
              <w:t>Commitments and Contingencies (Note F)</w:t>
            </w: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Preferred stock, par value $.01; 5,000,000 shares authorized; none issued</w:t>
            </w:r>
          </w:p>
        </w:tc>
        <w:tc>
          <w:tcPr>
            <w:tcW w:w="20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2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Common stock, par value $.01; 30,000,000 shares authorized; 12,217,656 and</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12,199,511 shares issued, respectively</w:t>
            </w:r>
          </w:p>
        </w:tc>
        <w:tc>
          <w:tcPr>
            <w:tcW w:w="2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52,614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52,003</w:t>
            </w: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328,693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331,959</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Treasury stock, 806,018 shares at cost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(24,999)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(24,999)</w:t>
            </w: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(26,379)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(23,768)</w:t>
            </w:r>
          </w:p>
        </w:tc>
      </w:tr>
      <w:tr>
        <w:trPr>
          <w:trHeight w:val="217"/>
        </w:trPr>
        <w:tc>
          <w:tcPr>
            <w:tcW w:w="7900" w:type="dxa"/>
            <w:vAlign w:val="bottom"/>
          </w:tcPr>
          <w:p>
            <w:pPr>
              <w:ind w:left="50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330,051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335,317</w:t>
            </w:r>
          </w:p>
        </w:tc>
      </w:tr>
      <w:tr>
        <w:trPr>
          <w:trHeight w:val="33"/>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436,992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462,516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0"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52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w w:val="96"/>
              </w:rPr>
              <w:t>2016</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020" w:type="dxa"/>
            <w:vAlign w:val="bottom"/>
            <w:tcBorders>
              <w:bottom w:val="single" w:sz="8" w:color="CCEEFF"/>
            </w:tcBorders>
            <w:shd w:val="clear" w:color="auto" w:fill="CCEEFF"/>
          </w:tcPr>
          <w:p>
            <w:pPr>
              <w:jc w:val="right"/>
              <w:ind w:right="815"/>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110,341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149,977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95,342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126,827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23,150</w:t>
            </w:r>
          </w:p>
        </w:tc>
        <w:tc>
          <w:tcPr>
            <w:tcW w:w="0" w:type="dxa"/>
            <w:vAlign w:val="bottom"/>
          </w:tcPr>
          <w:p>
            <w:pPr>
              <w:spacing w:after="0"/>
              <w:rPr>
                <w:sz w:val="1"/>
                <w:szCs w:val="1"/>
                <w:color w:val="auto"/>
              </w:rPr>
            </w:pPr>
          </w:p>
        </w:tc>
      </w:tr>
      <w:tr>
        <w:trPr>
          <w:trHeight w:val="297"/>
        </w:trPr>
        <w:tc>
          <w:tcPr>
            <w:tcW w:w="7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19,400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Restructuring and separation expenses</w:t>
            </w:r>
          </w:p>
        </w:tc>
        <w:tc>
          <w:tcPr>
            <w:tcW w:w="10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3,797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97"/>
        </w:trPr>
        <w:tc>
          <w:tcPr>
            <w:tcW w:w="7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9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79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020" w:type="dxa"/>
            <w:vAlign w:val="bottom"/>
          </w:tcPr>
          <w:p>
            <w:pPr>
              <w:jc w:val="right"/>
              <w:ind w:right="815"/>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67"/>
        </w:trPr>
        <w:tc>
          <w:tcPr>
            <w:tcW w:w="790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79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Loss per share:</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020" w:type="dxa"/>
            <w:vAlign w:val="bottom"/>
            <w:tcBorders>
              <w:bottom w:val="single" w:sz="8" w:color="CCEEFF"/>
            </w:tcBorders>
            <w:shd w:val="clear" w:color="auto" w:fill="CCEEFF"/>
          </w:tcPr>
          <w:p>
            <w:pPr>
              <w:jc w:val="right"/>
              <w:ind w:right="815"/>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rPr>
              <w:t>Diluted</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vMerge w:val="continue"/>
          </w:tcPr>
          <w:p>
            <w:pPr>
              <w:spacing w:after="0"/>
              <w:rPr>
                <w:sz w:val="19"/>
                <w:szCs w:val="19"/>
                <w:color w:val="auto"/>
              </w:rPr>
            </w:pPr>
          </w:p>
        </w:tc>
        <w:tc>
          <w:tcPr>
            <w:tcW w:w="1020" w:type="dxa"/>
            <w:vAlign w:val="bottom"/>
          </w:tcPr>
          <w:p>
            <w:pPr>
              <w:jc w:val="right"/>
              <w:ind w:right="815"/>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67"/>
        </w:trPr>
        <w:tc>
          <w:tcPr>
            <w:tcW w:w="790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79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Weighted average shares: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11,395</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Diluted</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11,438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11,395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9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Dividends per share</w:t>
            </w:r>
          </w:p>
        </w:tc>
        <w:tc>
          <w:tcPr>
            <w:tcW w:w="1020" w:type="dxa"/>
            <w:vAlign w:val="bottom"/>
          </w:tcPr>
          <w:p>
            <w:pPr>
              <w:jc w:val="right"/>
              <w:ind w:right="815"/>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90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w w:val="93"/>
              </w:rPr>
              <w:t>Three months ended December 31,</w:t>
            </w:r>
          </w:p>
        </w:tc>
        <w:tc>
          <w:tcPr>
            <w:tcW w:w="62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22"/>
                <w:szCs w:val="2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(2,611)</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(2,538)</w:t>
            </w: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(2,911)</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(2,997)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200" w:type="dxa"/>
            <w:vAlign w:val="bottom"/>
          </w:tcPr>
          <w:p>
            <w:pPr>
              <w:spacing w:after="0"/>
              <w:rPr>
                <w:sz w:val="24"/>
                <w:szCs w:val="24"/>
                <w:color w:val="auto"/>
              </w:rPr>
            </w:pPr>
          </w:p>
        </w:tc>
        <w:tc>
          <w:tcPr>
            <w:tcW w:w="176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78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94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22"/>
                <w:szCs w:val="22"/>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2"/>
                <w:szCs w:val="2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22"/>
                <w:szCs w:val="22"/>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90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2"/>
                <w:szCs w:val="22"/>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22"/>
                <w:szCs w:val="22"/>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7"/>
        </w:trPr>
        <w:tc>
          <w:tcPr>
            <w:tcW w:w="3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September 30, 2016</w:t>
            </w:r>
          </w:p>
        </w:tc>
        <w:tc>
          <w:tcPr>
            <w:tcW w:w="8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12,199</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52,003</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331,959</w:t>
            </w: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(806)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(24,999)</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(23,768)</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335,317</w:t>
            </w:r>
          </w:p>
        </w:tc>
        <w:tc>
          <w:tcPr>
            <w:tcW w:w="0" w:type="dxa"/>
            <w:vAlign w:val="bottom"/>
          </w:tcPr>
          <w:p>
            <w:pPr>
              <w:spacing w:after="0"/>
              <w:rPr>
                <w:sz w:val="1"/>
                <w:szCs w:val="1"/>
                <w:color w:val="auto"/>
              </w:rPr>
            </w:pPr>
          </w:p>
        </w:tc>
      </w:tr>
      <w:tr>
        <w:trPr>
          <w:trHeight w:val="80"/>
        </w:trPr>
        <w:tc>
          <w:tcPr>
            <w:tcW w:w="3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00" w:type="dxa"/>
            <w:vAlign w:val="bottom"/>
          </w:tcPr>
          <w:p>
            <w:pPr>
              <w:ind w:left="280"/>
              <w:spacing w:after="0"/>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74"/>
        </w:trPr>
        <w:tc>
          <w:tcPr>
            <w:tcW w:w="3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currency translation adjustments</w:t>
            </w: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(2,611)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(2,611)</w:t>
            </w:r>
          </w:p>
        </w:tc>
        <w:tc>
          <w:tcPr>
            <w:tcW w:w="0" w:type="dxa"/>
            <w:vAlign w:val="bottom"/>
          </w:tcPr>
          <w:p>
            <w:pPr>
              <w:spacing w:after="0"/>
              <w:rPr>
                <w:sz w:val="1"/>
                <w:szCs w:val="1"/>
                <w:color w:val="auto"/>
              </w:rPr>
            </w:pPr>
          </w:p>
        </w:tc>
      </w:tr>
      <w:tr>
        <w:trPr>
          <w:trHeight w:val="161"/>
        </w:trPr>
        <w:tc>
          <w:tcPr>
            <w:tcW w:w="320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20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1,009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1,009</w:t>
            </w:r>
          </w:p>
        </w:tc>
        <w:tc>
          <w:tcPr>
            <w:tcW w:w="0" w:type="dxa"/>
            <w:vAlign w:val="bottom"/>
          </w:tcPr>
          <w:p>
            <w:pPr>
              <w:spacing w:after="0"/>
              <w:rPr>
                <w:sz w:val="1"/>
                <w:szCs w:val="1"/>
                <w:color w:val="auto"/>
              </w:rPr>
            </w:pPr>
          </w:p>
        </w:tc>
      </w:tr>
      <w:tr>
        <w:trPr>
          <w:trHeight w:val="74"/>
        </w:trPr>
        <w:tc>
          <w:tcPr>
            <w:tcW w:w="3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2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Shares withheld in lieu of employee tax</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withholding</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91"/>
        </w:trPr>
        <w:tc>
          <w:tcPr>
            <w:tcW w:w="3200" w:type="dxa"/>
            <w:vAlign w:val="bottom"/>
          </w:tcPr>
          <w:p>
            <w:pPr>
              <w:ind w:left="280"/>
              <w:spacing w:after="0"/>
              <w:rPr>
                <w:sz w:val="20"/>
                <w:szCs w:val="20"/>
                <w:color w:val="auto"/>
              </w:rPr>
            </w:pPr>
            <w:r>
              <w:rPr>
                <w:rFonts w:ascii="Arial" w:cs="Arial" w:eastAsia="Arial" w:hAnsi="Arial"/>
                <w:sz w:val="14"/>
                <w:szCs w:val="14"/>
                <w:color w:val="auto"/>
              </w:rPr>
              <w:t>Issuance of restricted stock</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Dividends paid</w:t>
            </w: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(2,966)</w:t>
            </w:r>
          </w:p>
        </w:tc>
        <w:tc>
          <w:tcPr>
            <w:tcW w:w="1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(2,966)</w:t>
            </w:r>
          </w:p>
        </w:tc>
        <w:tc>
          <w:tcPr>
            <w:tcW w:w="0" w:type="dxa"/>
            <w:vAlign w:val="bottom"/>
          </w:tcPr>
          <w:p>
            <w:pPr>
              <w:spacing w:after="0"/>
              <w:rPr>
                <w:sz w:val="1"/>
                <w:szCs w:val="1"/>
                <w:color w:val="auto"/>
              </w:rPr>
            </w:pPr>
          </w:p>
        </w:tc>
      </w:tr>
      <w:tr>
        <w:trPr>
          <w:trHeight w:val="80"/>
        </w:trPr>
        <w:tc>
          <w:tcPr>
            <w:tcW w:w="320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40"/>
              <w:spacing w:after="0"/>
              <w:rPr>
                <w:sz w:val="20"/>
                <w:szCs w:val="20"/>
                <w:color w:val="auto"/>
              </w:rPr>
            </w:pPr>
            <w:r>
              <w:rPr>
                <w:rFonts w:ascii="Arial" w:cs="Arial" w:eastAsia="Arial" w:hAnsi="Arial"/>
                <w:sz w:val="14"/>
                <w:szCs w:val="14"/>
                <w:color w:val="auto"/>
              </w:rPr>
              <w:t>Balance, December 31, 2016</w:t>
            </w:r>
          </w:p>
        </w:tc>
        <w:tc>
          <w:tcPr>
            <w:tcW w:w="8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12,218</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52,614</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328,693</w:t>
            </w:r>
          </w:p>
        </w:tc>
        <w:tc>
          <w:tcPr>
            <w:tcW w:w="100" w:type="dxa"/>
            <w:vAlign w:val="bottom"/>
          </w:tcPr>
          <w:p>
            <w:pPr>
              <w:spacing w:after="0"/>
              <w:rPr>
                <w:sz w:val="14"/>
                <w:szCs w:val="14"/>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(806)</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(24,999)</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(26,379)</w:t>
            </w:r>
          </w:p>
        </w:tc>
        <w:tc>
          <w:tcPr>
            <w:tcW w:w="100" w:type="dxa"/>
            <w:vAlign w:val="bottom"/>
          </w:tcPr>
          <w:p>
            <w:pPr>
              <w:spacing w:after="0"/>
              <w:rPr>
                <w:sz w:val="14"/>
                <w:szCs w:val="14"/>
                <w:color w:val="auto"/>
              </w:rPr>
            </w:pPr>
          </w:p>
        </w:tc>
        <w:tc>
          <w:tcPr>
            <w:tcW w:w="2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330,051</w:t>
            </w:r>
          </w:p>
        </w:tc>
        <w:tc>
          <w:tcPr>
            <w:tcW w:w="0" w:type="dxa"/>
            <w:vAlign w:val="bottom"/>
          </w:tcPr>
          <w:p>
            <w:pPr>
              <w:spacing w:after="0"/>
              <w:rPr>
                <w:sz w:val="1"/>
                <w:szCs w:val="1"/>
                <w:color w:val="auto"/>
              </w:rPr>
            </w:pPr>
          </w:p>
        </w:tc>
      </w:tr>
      <w:tr>
        <w:trPr>
          <w:trHeight w:val="65"/>
        </w:trPr>
        <w:tc>
          <w:tcPr>
            <w:tcW w:w="3200" w:type="dxa"/>
            <w:vAlign w:val="bottom"/>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w w:val="98"/>
              </w:rPr>
              <w:t>Three months ended December 31,</w:t>
            </w:r>
          </w:p>
        </w:tc>
      </w:tr>
      <w:tr>
        <w:trPr>
          <w:trHeight w:val="264"/>
        </w:trPr>
        <w:tc>
          <w:tcPr>
            <w:tcW w:w="83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3,196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2,343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Bad debt expense (recovery)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Deferred income tax expense</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Gain on amended supply agreement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18,603</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Costs and billings in excess of estimated earnings on uncompleted contracts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6,921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(1,522)</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 and income taxes payable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3,374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24,065</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Proceeds from sale of property, plant and equipment</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Increase in short-term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(629)</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on industrial development revenue bonds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Shares withheld in lieu of employee tax withholding</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(795)</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 of treasury shares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Dividends paid</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(2,992)</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15,521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97,720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43,569</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80,582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58,924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p>
      <w:pPr>
        <w:ind w:right="5320"/>
        <w:spacing w:after="0" w:line="375" w:lineRule="auto"/>
        <w:rPr>
          <w:sz w:val="20"/>
          <w:szCs w:val="20"/>
          <w:color w:val="auto"/>
        </w:rPr>
      </w:pPr>
      <w:r>
        <w:rPr>
          <w:rFonts w:ascii="Arial" w:cs="Arial" w:eastAsia="Arial" w:hAnsi="Arial"/>
          <w:sz w:val="18"/>
          <w:szCs w:val="18"/>
          <w:color w:val="auto"/>
        </w:rPr>
        <w:t xml:space="preserve">A. OVERVIEW AND SUMMARY OF SIGNIFICANT ACCOUNTING POLICIES </w:t>
      </w:r>
      <w:r>
        <w:rPr>
          <w:rFonts w:ascii="Arial" w:cs="Arial" w:eastAsia="Arial" w:hAnsi="Arial"/>
          <w:sz w:val="18"/>
          <w:szCs w:val="18"/>
          <w:i w:val="1"/>
          <w:iCs w:val="1"/>
          <w:color w:val="auto"/>
        </w:rPr>
        <w:t>Overview</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Powell Industries, Inc. (we, us, our, Powell or the Company) was incorporated in the state of Delaware in 2004 as a successor to a Nevada company incorporated in 1968. The Nevada corporation was the successor to a company founded by William E. Powell in 1947, which merged into the Company in 1977. Our major subsidiaries, all of which are wholly owned, include: Powell Electrical Systems, Inc.; Powell (UK) Limited; Powell Canada Inc. and Powell Industries International, B.V.</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develop, design, manufacture and service custom-engineered equipment and systems for the distribution, control and monitoring of electrical energy. Headquartered in Houston, Texas, we serve the oil and gas refining, offshore oil and gas production, petrochemical, pipeline, terminal, mining and metals, light rail traction power, electric utility, pulp and paper and other industrial markets.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unaudited condensed consolidated financial statements include the accounts of Powell and its wholly-owned subsidiaries. All significant intercompany accounts and transactions have been eliminated in consolidation.</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unaudited condensed consolidated financial statements have been prepared in accordance with the instructions to Form 10-Q and Rule 10-01 of Regulation S-X for interim financial information. Certain information and footnote disclosures, normally included in annual financial statements prepared in accordance with accounting principles generally accepted in the United States (U.S. GAAP), have been condensed or omitted pursuant to those rules and regulations. In the opinion of management, all adjustments, consisting only of normal recurring adjustments, necessary to fairly state the financial position, results of operations and cash flows with respect to the interim condensed consolidated financial statements have been included. The results of operations for the interim periods are not necessarily indicative of the results for the entire fiscal year. We believe that these financial statements contain all adjustments necessary so that they are not misleading. The year-end balance sheet data was derived from audited financial statements, but does not include all disclosures required by U.S. GAAP.</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unaudited condensed consolidated financial statements should be read in conjunction with the audited consolidated financial statements and notes thereto of Powell and its subsidiaries included in Powell’s Annual Report on Form 10-K for the year ended September 30, 2016, which was filed with the Securities and Exchange Commission (SEC) on December 7, 2016.</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References to Fiscal 2017, Fiscal 2016 and Fiscal 2015 used throughout this report shall mean our fiscal years ended September 30, 2017, 2016 and 2015,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management to make estimates and assumptions that affect the amounts reported in the condensed consolidated financial statements and accompanying footnotes. The most significant estimates used in our condensed consolidated financial statements affect revenue and cost recognition for construction contracts, the allowance for doubtful accounts, provision for excess and obsolete inventory, self-insurance, warranty accruals, liquidated damages and income taxes. The amounts recorded for insurance claims, warranties, legal, liquidated damages, income taxes and other contingent liabilities require judgments regarding the amount of expenses that will ultimately be incurred. We base our estimates on historical experience and on various other assumptions, as well as the specific circumstances surrounding these contingent liabilities, in evaluating the amount of liability that should be recorded. Additionally, the recognition of deferred tax assets requires estimates related to future income and other assumptions regarding timing and future profitability. Estimates may change as new events occur, additional information becomes available or operating environments change. Actual results may differ from our estimates.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2014, the Financial Accounting Standards Board (FASB) issued a new standard on revenue recognition that supersedes previously issued revenue recognition guidance. This standard provides a five-step approach to be applied to all contracts with customers and requires expanded disclosures about the nature, amount, timing and uncertainty of revenue (and the related cash flows) arising from customer contracts, significant judgments and changes in judgments used in applying the revenue model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jc w:val="both"/>
        <w:spacing w:after="0" w:line="302" w:lineRule="auto"/>
        <w:rPr>
          <w:sz w:val="20"/>
          <w:szCs w:val="20"/>
          <w:color w:val="auto"/>
        </w:rPr>
      </w:pPr>
      <w:r>
        <w:rPr>
          <w:rFonts w:ascii="Arial" w:cs="Arial" w:eastAsia="Arial" w:hAnsi="Arial"/>
          <w:sz w:val="16"/>
          <w:szCs w:val="16"/>
          <w:color w:val="auto"/>
        </w:rPr>
        <w:t>the assets recognized from costs incurred to obtain or fulfill a contract. This guidance is now effective for fiscal years, and interim periods within those years, beginning after December 15, 2017, which would be our fiscal year ending September 30, 2019. The standard permits the use of either the full retrospective or modified retrospective transition method; therefore, we are evaluating the effect that this new guidance will have on our consolidated financial statements and related disclosures. We have not yet selected a transition method nor have we determined the effect of the standard on our ongoing financial reporting.</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August 2014, the FASB issued guidance to address the diversity in practice in determining when there is substantial doubt about an entity’s ability to continue as a going concern and when and how an entity must disclose certain relevant conditions and events. This update requires an entity to evaluate whether there are conditions or events, considered in the aggregate, that raise substantial doubt about the entity’s ability to continue as a going concern for a period of one year after the date that the financial statements are issued (or available to be issued). If such conditions or events exist, an entity should disclose that there is substantial doubt about the entity’s ability to continue as a going concern for a period of one year after the date that the financial statements are issued (or available to be issued), along with the principal conditions or events that raise substantial doubt, management’s evaluation of the significance of those conditions or events in relation to the entity’s ability to meet its obligations and management’s plans that are intended to mitigate those conditions or events. This guidance impacts the disclosure and presentation of any substantial doubt about our ability to continue as a going concern, if such substantial doubt were to exist. This guidance is effective for our first quarter ended December 31, 2016 and does not have an impact on disclosures in our condensed consolidated financial statements.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2015, the FASB issued an amendment to the topic regarding income taxes which requires an entity to separate deferred income tax liabilities and assets into current and noncurrent amounts in the statement of financial position. Deferred tax liabilities and assets are classified as current or noncurrent based on the classification of the related asset or liability for financial reporting. Deferred tax liabilities and assets that are not related to an asset or liability for financial reporting are classified according to the expected reversal date of the temporary difference. To simplify the presentation of deferred income taxes, the amendments require that deferred income tax liabilities and assets be classified as noncurrent in a classified statement of financial position. This amendment is effective for annual reporting periods beginning after December 15, 2016, which would be our fiscal year ending September 30, 2018. We have no plans for early adoption. The adoption of this guidance is not expected to have a material impact on our consolidated financial position or results of operations.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February 2016, the FASB issued a new topic on leases which requires lessees to recognize lease assets and lease liabilities on the balance sheet for all leases with terms longer than twelve months. Leases will be classified as either finance or operating, with classification affecting the pattern of expense recognition in the income statement. A modified retrospective transition approach is required for lessees for capital and operating leases existing at, or entered into after, the beginning of the earliest comparative period presented in the financial statements, with certain practical expedients available. The new standard is effective for fiscal years beginning after December 15, 2018, including interim periods within those fiscal years. This would be our fiscal year ending September 30, 2020. We are currently evaluating the impact of our pending adoption of the new standard, but do not expect it to have a material impact on our consolidated financial position or results of operations.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2016, the FASB issued new guidance on stock-based compensation, which includes amendments to existing guidance for employee share-based payment accounting. We elected to early adopt this new guidance in the first quarter of Fiscal 2017. Beginning with this quarter, stock-based compensation excess tax benefits or deficiencies are reflected in the Condensed Consolidated Statement of Operations as a component of income taxes, whereas they were previously recorded in additional paid in capital in the Condensed Consolidated Statement of Stockholders’ Equity. Additionally, we will now present excess tax benefits as an operating activity in the Condensed Consolidated Statements of Cash Flows, and prior periods will be adjusted accordingly. Finally, we will continue to account for forfeitures as they occur, rather than estimate expected forfeitures.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B. EARNINGS PER SHARE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compute basic earnings per share by dividing net income (loss) by the weighted average number of common shares outstanding during the period. Diluted earnings per common and potential common share includes the weighted average of additional shares associated with the incremental effect of dilutive restricted stock and restricted stock units, as prescribed by the FASB guidance on earnings per share.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92"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The following table reconciles basic and diluted weighted average shares used in the computation of earnings per share (in thousands,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8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w w:val="92"/>
              </w:rPr>
              <w:t>Three months ended December 31,</w:t>
            </w:r>
          </w:p>
        </w:tc>
        <w:tc>
          <w:tcPr>
            <w:tcW w:w="64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22"/>
                <w:szCs w:val="2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Numerator:</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Net loss</w:t>
            </w:r>
          </w:p>
        </w:tc>
        <w:tc>
          <w:tcPr>
            <w:tcW w:w="1060" w:type="dxa"/>
            <w:vAlign w:val="bottom"/>
          </w:tcPr>
          <w:p>
            <w:pPr>
              <w:jc w:val="right"/>
              <w:ind w:right="857"/>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67"/>
        </w:trPr>
        <w:tc>
          <w:tcPr>
            <w:tcW w:w="79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r>
      <w:tr>
        <w:trPr>
          <w:trHeight w:val="231"/>
        </w:trPr>
        <w:tc>
          <w:tcPr>
            <w:tcW w:w="79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i w:val="1"/>
                <w:iCs w:val="1"/>
                <w:color w:val="auto"/>
              </w:rPr>
              <w:t>Denominator:</w:t>
            </w:r>
          </w:p>
        </w:tc>
        <w:tc>
          <w:tcPr>
            <w:tcW w:w="10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Weighted average basic shares</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11,438</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11,395</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Dilutive effect of restricted stock units</w:t>
            </w:r>
          </w:p>
        </w:tc>
        <w:tc>
          <w:tcPr>
            <w:tcW w:w="10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900" w:type="dxa"/>
            <w:vAlign w:val="bottom"/>
          </w:tcPr>
          <w:p>
            <w:pPr>
              <w:ind w:left="280"/>
              <w:spacing w:after="0"/>
              <w:rPr>
                <w:sz w:val="20"/>
                <w:szCs w:val="20"/>
                <w:color w:val="auto"/>
              </w:rPr>
            </w:pPr>
            <w:r>
              <w:rPr>
                <w:rFonts w:ascii="Arial" w:cs="Arial" w:eastAsia="Arial" w:hAnsi="Arial"/>
                <w:sz w:val="18"/>
                <w:szCs w:val="18"/>
                <w:color w:val="auto"/>
              </w:rPr>
              <w:t>Weighted average diluted shares with assumed conversions</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4"/>
              </w:rPr>
              <w:t>11,438</w:t>
            </w: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4"/>
              </w:rPr>
              <w:t>11,395</w:t>
            </w:r>
          </w:p>
        </w:tc>
      </w:tr>
      <w:tr>
        <w:trPr>
          <w:trHeight w:val="67"/>
        </w:trPr>
        <w:tc>
          <w:tcPr>
            <w:tcW w:w="79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r>
      <w:tr>
        <w:trPr>
          <w:trHeight w:val="231"/>
        </w:trPr>
        <w:tc>
          <w:tcPr>
            <w:tcW w:w="79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i w:val="1"/>
                <w:iCs w:val="1"/>
                <w:color w:val="auto"/>
              </w:rPr>
              <w:t>Net loss per share:</w:t>
            </w:r>
          </w:p>
        </w:tc>
        <w:tc>
          <w:tcPr>
            <w:tcW w:w="10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Basic</w:t>
            </w:r>
          </w:p>
        </w:tc>
        <w:tc>
          <w:tcPr>
            <w:tcW w:w="1060" w:type="dxa"/>
            <w:vAlign w:val="bottom"/>
          </w:tcPr>
          <w:p>
            <w:pPr>
              <w:jc w:val="right"/>
              <w:ind w:right="857"/>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67"/>
        </w:trPr>
        <w:tc>
          <w:tcPr>
            <w:tcW w:w="79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r>
      <w:tr>
        <w:trPr>
          <w:trHeight w:val="256"/>
        </w:trPr>
        <w:tc>
          <w:tcPr>
            <w:tcW w:w="7900" w:type="dxa"/>
            <w:vAlign w:val="bottom"/>
            <w:tcBorders>
              <w:bottom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rPr>
              <w:t>Diluted</w:t>
            </w:r>
          </w:p>
        </w:tc>
        <w:tc>
          <w:tcPr>
            <w:tcW w:w="1060" w:type="dxa"/>
            <w:vAlign w:val="bottom"/>
            <w:tcBorders>
              <w:bottom w:val="single" w:sz="8" w:color="CCEEFF"/>
            </w:tcBorders>
            <w:shd w:val="clear" w:color="auto" w:fill="CCEEFF"/>
          </w:tcPr>
          <w:p>
            <w:pPr>
              <w:jc w:val="right"/>
              <w:ind w:right="857"/>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For the quarters ended December 31, 2016 and 2015, we incurred net losses and therefore all potential common shares were deemed to be anti-dilutive.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0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C. DETAIL OF SELECTED BALANCE SHEET ACCOUNTS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Activity in our allowance for doubtful accounts receivable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Balance at beginning of period</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Bad debt expense (recovery)</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Uncollectible accounts written off, net of recoveries</w:t>
            </w:r>
          </w:p>
        </w:tc>
        <w:tc>
          <w:tcPr>
            <w:tcW w:w="20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Change due to foreign currency translation</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0"/>
        </w:trPr>
        <w:tc>
          <w:tcPr>
            <w:tcW w:w="79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i w:val="1"/>
                <w:iCs w:val="1"/>
                <w:color w:val="auto"/>
              </w:rPr>
              <w:t>Inventories: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7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00" w:type="dxa"/>
            <w:vAlign w:val="bottom"/>
          </w:tcPr>
          <w:p>
            <w:pPr>
              <w:spacing w:after="0"/>
              <w:rPr>
                <w:sz w:val="20"/>
                <w:szCs w:val="20"/>
                <w:color w:val="auto"/>
              </w:rPr>
            </w:pPr>
            <w:r>
              <w:rPr>
                <w:rFonts w:ascii="Arial" w:cs="Arial" w:eastAsia="Arial" w:hAnsi="Arial"/>
                <w:sz w:val="18"/>
                <w:szCs w:val="18"/>
                <w:color w:val="auto"/>
              </w:rPr>
              <w:t>The components of inventories are summarized below (in thousands):</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2016</w:t>
            </w:r>
          </w:p>
        </w:tc>
        <w:tc>
          <w:tcPr>
            <w:tcW w:w="180" w:type="dxa"/>
            <w:vAlign w:val="bottom"/>
          </w:tcPr>
          <w:p>
            <w:pPr>
              <w:spacing w:after="0"/>
              <w:rPr>
                <w:sz w:val="24"/>
                <w:szCs w:val="24"/>
                <w:color w:val="auto"/>
              </w:rPr>
            </w:pPr>
          </w:p>
        </w:tc>
        <w:tc>
          <w:tcPr>
            <w:tcW w:w="152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September 30, 2016</w:t>
            </w:r>
          </w:p>
        </w:tc>
        <w:tc>
          <w:tcPr>
            <w:tcW w:w="0" w:type="dxa"/>
            <w:vAlign w:val="bottom"/>
          </w:tcPr>
          <w:p>
            <w:pPr>
              <w:spacing w:after="0"/>
              <w:rPr>
                <w:sz w:val="1"/>
                <w:szCs w:val="1"/>
                <w:color w:val="auto"/>
              </w:rPr>
            </w:pPr>
          </w:p>
        </w:tc>
      </w:tr>
      <w:tr>
        <w:trPr>
          <w:trHeight w:val="250"/>
        </w:trPr>
        <w:tc>
          <w:tcPr>
            <w:tcW w:w="790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Raw materials, parts and subassemblies, net</w:t>
            </w:r>
          </w:p>
        </w:tc>
        <w:tc>
          <w:tcPr>
            <w:tcW w:w="2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23,161</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25,525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Work-in-progress</w:t>
            </w:r>
          </w:p>
        </w:tc>
        <w:tc>
          <w:tcPr>
            <w:tcW w:w="200" w:type="dxa"/>
            <w:vAlign w:val="bottom"/>
          </w:tcPr>
          <w:p>
            <w:pPr>
              <w:spacing w:after="0"/>
              <w:rPr>
                <w:sz w:val="21"/>
                <w:szCs w:val="21"/>
                <w:color w:val="auto"/>
              </w:rPr>
            </w:pPr>
          </w:p>
        </w:tc>
        <w:tc>
          <w:tcPr>
            <w:tcW w:w="1520" w:type="dxa"/>
            <w:vAlign w:val="bottom"/>
          </w:tcPr>
          <w:p>
            <w:pPr>
              <w:jc w:val="right"/>
              <w:ind w:right="35"/>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 inventories</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23,976</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26,521</w:t>
            </w:r>
          </w:p>
        </w:tc>
        <w:tc>
          <w:tcPr>
            <w:tcW w:w="0" w:type="dxa"/>
            <w:vAlign w:val="bottom"/>
          </w:tcPr>
          <w:p>
            <w:pPr>
              <w:spacing w:after="0"/>
              <w:rPr>
                <w:sz w:val="1"/>
                <w:szCs w:val="1"/>
                <w:color w:val="auto"/>
              </w:rPr>
            </w:pPr>
          </w:p>
        </w:tc>
      </w:tr>
      <w:tr>
        <w:trPr>
          <w:trHeight w:val="20"/>
        </w:trPr>
        <w:tc>
          <w:tcPr>
            <w:tcW w:w="79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and Estimated Earnings on Uncompleted Contracts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costs and estimated earnings and related amounts billed on uncompleted contracts are summarized below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2016</w:t>
            </w:r>
          </w:p>
        </w:tc>
        <w:tc>
          <w:tcPr>
            <w:tcW w:w="180" w:type="dxa"/>
            <w:vAlign w:val="bottom"/>
          </w:tcPr>
          <w:p>
            <w:pPr>
              <w:spacing w:after="0"/>
              <w:rPr>
                <w:sz w:val="16"/>
                <w:szCs w:val="16"/>
                <w:color w:val="auto"/>
              </w:rPr>
            </w:pPr>
          </w:p>
        </w:tc>
        <w:tc>
          <w:tcPr>
            <w:tcW w:w="1520" w:type="dxa"/>
            <w:vAlign w:val="bottom"/>
          </w:tcPr>
          <w:p>
            <w:pPr>
              <w:jc w:val="right"/>
              <w:ind w:right="172"/>
              <w:spacing w:after="0"/>
              <w:rPr>
                <w:sz w:val="20"/>
                <w:szCs w:val="20"/>
                <w:color w:val="auto"/>
              </w:rPr>
            </w:pPr>
            <w:r>
              <w:rPr>
                <w:rFonts w:ascii="Arial" w:cs="Arial" w:eastAsia="Arial" w:hAnsi="Arial"/>
                <w:sz w:val="14"/>
                <w:szCs w:val="14"/>
                <w:b w:val="1"/>
                <w:bCs w:val="1"/>
                <w:color w:val="auto"/>
                <w:w w:val="94"/>
              </w:rPr>
              <w:t>September 30, 2016</w:t>
            </w:r>
          </w:p>
        </w:tc>
        <w:tc>
          <w:tcPr>
            <w:tcW w:w="0" w:type="dxa"/>
            <w:vAlign w:val="bottom"/>
          </w:tcPr>
          <w:p>
            <w:pPr>
              <w:spacing w:after="0"/>
              <w:rPr>
                <w:sz w:val="1"/>
                <w:szCs w:val="1"/>
                <w:color w:val="auto"/>
              </w:rPr>
            </w:pPr>
          </w:p>
        </w:tc>
      </w:tr>
      <w:tr>
        <w:trPr>
          <w:trHeight w:val="250"/>
        </w:trPr>
        <w:tc>
          <w:tcPr>
            <w:tcW w:w="790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Costs incurred on uncompleted contracts</w:t>
            </w:r>
          </w:p>
        </w:tc>
        <w:tc>
          <w:tcPr>
            <w:tcW w:w="2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1,090,422</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1,088,921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Estimated earnings</w:t>
            </w:r>
          </w:p>
        </w:tc>
        <w:tc>
          <w:tcPr>
            <w:tcW w:w="20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350,185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350,125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1,440,607</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1,439,046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 Billings to date</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(1,420,864)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(1,416,914)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Net underbilled position</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19,743</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22,132</w:t>
            </w:r>
          </w:p>
        </w:tc>
        <w:tc>
          <w:tcPr>
            <w:tcW w:w="0" w:type="dxa"/>
            <w:vAlign w:val="bottom"/>
          </w:tcPr>
          <w:p>
            <w:pPr>
              <w:spacing w:after="0"/>
              <w:rPr>
                <w:sz w:val="1"/>
                <w:szCs w:val="1"/>
                <w:color w:val="auto"/>
              </w:rPr>
            </w:pPr>
          </w:p>
        </w:tc>
      </w:tr>
      <w:tr>
        <w:trPr>
          <w:trHeight w:val="20"/>
        </w:trPr>
        <w:tc>
          <w:tcPr>
            <w:tcW w:w="7900" w:type="dxa"/>
            <w:vAlign w:val="bottom"/>
            <w:tcBorders>
              <w:top w:val="single" w:sz="8" w:color="CFF0FC"/>
              <w:bottom w:val="single" w:sz="8" w:color="CFF0FC"/>
            </w:tcBorders>
            <w:vMerge w:val="restart"/>
          </w:tcPr>
          <w:p>
            <w:pPr>
              <w:ind w:left="40"/>
              <w:spacing w:after="0"/>
              <w:rPr>
                <w:sz w:val="20"/>
                <w:szCs w:val="20"/>
                <w:color w:val="auto"/>
              </w:rPr>
            </w:pPr>
            <w:r>
              <w:rPr>
                <w:rFonts w:ascii="Arial" w:cs="Arial" w:eastAsia="Arial" w:hAnsi="Arial"/>
                <w:sz w:val="18"/>
                <w:szCs w:val="18"/>
                <w:color w:val="auto"/>
              </w:rPr>
              <w:t>Included in the accompanying balance sheets under the following captions: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Costs and estimated earnings in excess of billings on uncompleted contracts – underbilled</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59,951</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66,106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Billings in excess of costs and estimated earnings on uncompleted contracts – overbilled</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(40,208)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(43,974)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Net underbilled position</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19,743</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22,132</w:t>
            </w:r>
          </w:p>
        </w:tc>
        <w:tc>
          <w:tcPr>
            <w:tcW w:w="0" w:type="dxa"/>
            <w:vAlign w:val="bottom"/>
          </w:tcPr>
          <w:p>
            <w:pPr>
              <w:spacing w:after="0"/>
              <w:rPr>
                <w:sz w:val="1"/>
                <w:szCs w:val="1"/>
                <w:color w:val="auto"/>
              </w:rPr>
            </w:pPr>
          </w:p>
        </w:tc>
      </w:tr>
      <w:tr>
        <w:trPr>
          <w:trHeight w:val="20"/>
        </w:trPr>
        <w:tc>
          <w:tcPr>
            <w:tcW w:w="79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i w:val="1"/>
                <w:iCs w:val="1"/>
                <w:color w:val="auto"/>
              </w:rPr>
              <w:t>Warranty Accrual</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7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00" w:type="dxa"/>
            <w:vAlign w:val="bottom"/>
          </w:tcPr>
          <w:p>
            <w:pPr>
              <w:spacing w:after="0"/>
              <w:rPr>
                <w:sz w:val="20"/>
                <w:szCs w:val="20"/>
                <w:color w:val="auto"/>
              </w:rPr>
            </w:pPr>
            <w:r>
              <w:rPr>
                <w:rFonts w:ascii="Arial" w:cs="Arial" w:eastAsia="Arial" w:hAnsi="Arial"/>
                <w:sz w:val="18"/>
                <w:szCs w:val="18"/>
                <w:color w:val="auto"/>
              </w:rPr>
              <w:t>Activity in our product warranty accrual consisted of the following (in thousands):</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9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Balance at beginning of period</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4,639</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Increase to warranty expense</w:t>
            </w:r>
          </w:p>
        </w:tc>
        <w:tc>
          <w:tcPr>
            <w:tcW w:w="20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Deduction for warranty charges</w:t>
            </w:r>
          </w:p>
        </w:tc>
        <w:tc>
          <w:tcPr>
            <w:tcW w:w="20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Change due to foreign currency translation</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4,230</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5,105</w:t>
            </w:r>
          </w:p>
        </w:tc>
        <w:tc>
          <w:tcPr>
            <w:tcW w:w="0" w:type="dxa"/>
            <w:vAlign w:val="bottom"/>
          </w:tcPr>
          <w:p>
            <w:pPr>
              <w:spacing w:after="0"/>
              <w:rPr>
                <w:sz w:val="1"/>
                <w:szCs w:val="1"/>
                <w:color w:val="auto"/>
              </w:rPr>
            </w:pPr>
          </w:p>
        </w:tc>
      </w:tr>
      <w:tr>
        <w:trPr>
          <w:trHeight w:val="20"/>
        </w:trPr>
        <w:tc>
          <w:tcPr>
            <w:tcW w:w="79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GOODWILL AND INTANGIBLE ASSETS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jc w:val="both"/>
        <w:spacing w:after="0" w:line="308" w:lineRule="auto"/>
        <w:rPr>
          <w:sz w:val="20"/>
          <w:szCs w:val="20"/>
          <w:color w:val="auto"/>
        </w:rPr>
      </w:pPr>
      <w:r>
        <w:rPr>
          <w:rFonts w:ascii="Arial" w:cs="Arial" w:eastAsia="Arial" w:hAnsi="Arial"/>
          <w:sz w:val="17"/>
          <w:szCs w:val="17"/>
          <w:color w:val="auto"/>
        </w:rPr>
        <w:t>Our intangible assets consist of goodwill, which is not being amortized, and purchased technology, which is amortized over its estimated useful life. Intangible assets balances, subject to amortization, at December 31, 2016 and September 30, 2016 consisted of the following (in thousands):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2016</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2016</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center"/>
              <w:ind w:right="124"/>
              <w:spacing w:after="0" w:line="15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Net</w:t>
            </w:r>
          </w:p>
        </w:tc>
        <w:tc>
          <w:tcPr>
            <w:tcW w:w="200" w:type="dxa"/>
            <w:vAlign w:val="bottom"/>
          </w:tcPr>
          <w:p>
            <w:pPr>
              <w:spacing w:after="0"/>
              <w:rPr>
                <w:sz w:val="13"/>
                <w:szCs w:val="13"/>
                <w:color w:val="auto"/>
              </w:rPr>
            </w:pPr>
          </w:p>
        </w:tc>
        <w:tc>
          <w:tcPr>
            <w:tcW w:w="940" w:type="dxa"/>
            <w:vAlign w:val="bottom"/>
          </w:tcPr>
          <w:p>
            <w:pPr>
              <w:jc w:val="center"/>
              <w:ind w:right="144"/>
              <w:spacing w:after="0" w:line="15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center"/>
              <w:ind w:right="124"/>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94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43"/>
        </w:trPr>
        <w:tc>
          <w:tcPr>
            <w:tcW w:w="4000" w:type="dxa"/>
            <w:vAlign w:val="bottom"/>
            <w:shd w:val="clear" w:color="auto" w:fill="CFF0FC"/>
          </w:tcPr>
          <w:p>
            <w:pPr>
              <w:ind w:left="40"/>
              <w:spacing w:after="0"/>
              <w:rPr>
                <w:sz w:val="20"/>
                <w:szCs w:val="20"/>
                <w:color w:val="auto"/>
              </w:rPr>
            </w:pPr>
            <w:r>
              <w:rPr>
                <w:rFonts w:ascii="Arial" w:cs="Arial" w:eastAsia="Arial" w:hAnsi="Arial"/>
                <w:sz w:val="18"/>
                <w:szCs w:val="18"/>
                <w:color w:val="auto"/>
              </w:rPr>
              <w:t>Purchased technology</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11,749</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(10,782)</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11,749</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(10,693)</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7"/>
        </w:trPr>
        <w:tc>
          <w:tcPr>
            <w:tcW w:w="40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 assets was $0.1 million for the three months ended December 31, 2016 and 2015.</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August 7, 2006, we purchased certain assets related to the manufacturing of ANSI medium-voltage switchgear and circuit breaker business from General Electric Company (GE). In connection with the acquisition, we entered into a 15-year supply agreement with GE pursuant to which GE would purchase from us all of their requirements for ANSI medium-voltage switchgear and circuit breakers and other related equipment and components (the Products). In connection with the acquisition, we recorded an intangible asset related to this supply agreement. On December 30, 2013, we and GE amended the supply agreement to allow GE to manufacture similar Products for sale immediately and allow them to begin purchasing Products from other suppliers beginning December 31, 2014. In return, GE paid us $10 million upon execution of the amended supply agreement and agreed to pay an additional $7 million over three years, beginning March 2015. As of December 31, 2016, the remaining balance of $2.3 million is classified as other current assets. We wrote off the intangible asset related to the original supply agreement and recorded a deferred credit in the amount of $8.1 million at December 31, 2013, the amount by which the proceeds from GE exceeded the unamortized balance of our intangible asset. We are amortizing this deferred credit over the four-year life of the agreement and have recognized gains in other income of $0.5 million for the three months ended December 31, 2016 and 2015.</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E. 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 (in thousands):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right"/>
              <w:ind w:right="417"/>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766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2016</w:t>
            </w:r>
          </w:p>
        </w:tc>
      </w:tr>
      <w:tr>
        <w:trPr>
          <w:trHeight w:val="250"/>
        </w:trPr>
        <w:tc>
          <w:tcPr>
            <w:tcW w:w="76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Industrial development revenue bonds</w:t>
            </w:r>
          </w:p>
        </w:tc>
        <w:tc>
          <w:tcPr>
            <w:tcW w:w="1300" w:type="dxa"/>
            <w:vAlign w:val="bottom"/>
            <w:tcBorders>
              <w:bottom w:val="single" w:sz="8" w:color="CFF0FC"/>
            </w:tcBorders>
            <w:shd w:val="clear" w:color="auto" w:fill="CFF0FC"/>
          </w:tcPr>
          <w:p>
            <w:pPr>
              <w:jc w:val="right"/>
              <w:ind w:right="10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88"/>
              </w:rPr>
              <w:t>2,000</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FF0FC"/>
            </w:tcBorders>
            <w:shd w:val="clear" w:color="auto" w:fill="CFF0FC"/>
          </w:tcPr>
          <w:p>
            <w:pPr>
              <w:jc w:val="right"/>
              <w:ind w:right="17"/>
              <w:spacing w:after="0"/>
              <w:rPr>
                <w:sz w:val="20"/>
                <w:szCs w:val="20"/>
                <w:color w:val="auto"/>
              </w:rPr>
            </w:pPr>
            <w:r>
              <w:rPr>
                <w:rFonts w:ascii="Arial" w:cs="Arial" w:eastAsia="Arial" w:hAnsi="Arial"/>
                <w:sz w:val="18"/>
                <w:szCs w:val="18"/>
                <w:color w:val="auto"/>
              </w:rPr>
              <w:t>2,400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13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7"/>
        </w:trPr>
        <w:tc>
          <w:tcPr>
            <w:tcW w:w="7660" w:type="dxa"/>
            <w:vAlign w:val="bottom"/>
            <w:tcBorders>
              <w:bottom w:val="single" w:sz="8" w:color="CFF0FC"/>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long-term debt and capital lease obligations</w:t>
            </w:r>
          </w:p>
        </w:tc>
        <w:tc>
          <w:tcPr>
            <w:tcW w:w="1300" w:type="dxa"/>
            <w:vAlign w:val="bottom"/>
            <w:tcBorders>
              <w:bottom w:val="single" w:sz="8" w:color="auto"/>
            </w:tcBorders>
            <w:shd w:val="clear" w:color="auto" w:fill="CFF0FC"/>
          </w:tcPr>
          <w:p>
            <w:pPr>
              <w:jc w:val="right"/>
              <w:ind w:right="10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88"/>
              </w:rPr>
              <w:t>1,600</w:t>
            </w: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8"/>
                <w:szCs w:val="18"/>
                <w:color w:val="auto"/>
              </w:rPr>
              <w:t>2,000</w:t>
            </w:r>
          </w:p>
        </w:tc>
      </w:tr>
      <w:tr>
        <w:trPr>
          <w:trHeight w:val="20"/>
        </w:trPr>
        <w:tc>
          <w:tcPr>
            <w:tcW w:w="76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Revolver</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 $75.0 million revolving credit facility (U.S. Revolver) to provide working capital support and letters of credit. The interest rate for amounts outstanding under the U.S. Revolver is a floating rate based upon the higher of the Federal Funds Rate plus 0.5%, the bank’s prime rate, or the Eurocurrency rate plus 1.00%. Once the applicable rate is determined, a margin ranging up to 1.75%, as determined by our consolidated leverage ratio, is added to the applicable rate. The U.S. Revolver provides for the issuance of letters of credit which reduce the amounts that may be borrowed under this revolver. The amount available under the U.S. Revolver was reduced by $20.3 million for our outstanding letters of credit at December 31, 2016.</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borrowings outstanding under the U.S. Revolver as of December 31, 2016. Amounts available under the U.S. Revolver were $54.7 million at December 31, 2016. The U.S. Revolver expires on December 31, 2018.</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U.S. Revolver contains certain restrictive and maintenance-type covenants, such as restrictions on the amount of capital expenditures allowed. It also contains financial covenants defining various financial measures and the levels of these measures with which we must comply, as well as a “material adverse change” clause. A “material adverse change” is defined as a material change in our operations, business, properties, liabilities or condition (financial or otherwise) or a material impairment of our ability to perform our obligations under our credit agreements.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U.S. Revolver is collateralized by a pledge of 100% of the voting capital stock of each of our domestic subsidiaries and 65% of the voting capital stock of each non-domestic subsidiary, excluding Powell Canada Inc. The U.S. Revolver provides for customary events of default and carries cross-default provisions with other existing debt agreements. If an event of default (as defined in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92" w:right="239" w:bottom="1440"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8"/>
          <w:szCs w:val="18"/>
          <w:color w:val="auto"/>
        </w:rPr>
        <w:t>U.S. Revolver) occurs and is continuing, on the terms and subject to the conditions set forth in the U.S. Revolver, amounts outstanding under the U.S. Revolver may be accelerated and may become immediately due and payable. As of December 31, 2016, we were in compliance with all of the financial covenants of the U.S. Revolver.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Canadian Revolver</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 $7.4 million credit agreement with a major international bank in Canada (the Canadian Revolver) to provide working capital support and letters of credit for our operations in Canada. The Canadian Revolver provides for the issuance of letters of credit which reduce the amounts that may be borrowed under this revolver. There were no outstanding letters of credit under the Canadian Revolver at December 31, 2016. The interest rate for amounts outstanding under the Canadian Revolver is a floating interest rate based upon either the Canadian Prime Rate, or the lender’s Bankers’ Acceptance Rate. Once the applicable rate is determined, a margin of 0.50% to 1.75%, as determined by our consolidated leverage ratio, is added to the applicable rate.</w:t>
      </w:r>
    </w:p>
    <w:p>
      <w:pPr>
        <w:spacing w:after="0" w:line="5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borrowings outstanding under the Canadian Revolver as of December 31, 2016 and amounts available under the Canadian Revolver were $7.4 million at December 31, 2016. The Canadian Revolver expires on March 31, 2018.</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principal financial covenants are consistent with those described in our U.S. Revolver. The Canadian Revolver contains a “material adverse effect” clause. A “material adverse effect” is defined as a material change in the operations of Powell or Powell Canada Inc. in relation to our financial condition, property, business operations, expected net cash flows, liabilities or capitalization.</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Canadian Revolver is secured by the assets of our Canadian operations and provides for customary events of default and carries cross-default provisions with our existing debt agreements. If an event of default (as defined in the Canadian Revolver) occurs and is continuing, per the terms and subject to the conditions set forth in the Canadian Revolver, amounts outstanding under the Canadian Revolver may be accelerated and may become immediately due and payable. As of December 31, 2016, we were in compliance with all of the financial covenants of the Canadian Revolver.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 Development Revenue Bonds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borrowed $8.0 million in October 2001 through a loan agreement funded with proceeds from tax-exempt industrial development revenue bonds (Bonds). These Bonds were issued by the Illinois Development Finance Authority and were used for the completion of our Northlake, Illinois facility. Pursuant to the Bond issuance, a reimbursement agreement between us and a major domestic bank required an issuance by the bank of an irrevocable direct-pay letter of credit (Bond LC), as collateral, to the Bonds’ trustee to guarantee payment of the Bonds’ principal and interest when due. The Bond LC is subject to both early termination and extension provisions customary to such agreements, as well as various covenants, for which we were in compliance at December 31, 2016. While the Bonds mature in 2021, the reimbursement agreement requires annual redemptions of $0.4 million that commenced on October 25, 2002. A sinking fund is used for the redemption of the Bonds. The Bonds bear interest at a floating rate determined weekly by the Bonds’ remarketing agent, which was the underwriter for the Bonds and is an affiliate of the bank. This interest rate was 0.90% as of December 31, 2016.</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F.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Note E herein for discussion of our 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 and Surety Bonds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Certain customers require us to post bank letter of credit guarantees or surety bonds. These guarantees and surety bonds assure that we will perform under the terms of our contract. In the event of default, the counterparty may demand payment from the bank under a letter of credit or performance by the surety under a bond. To date, there have been no significant expenses related to either letters of credit or surety bonds for the periods reported. We were contingently liable for secured and unsecured letters of credit of $20.3 million as of December 31, 2016. We also had surety bonds totaling $229.4 million that were outstanding, with additional bonding capacity of $520.6 million available, at December 31, 2016.</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 $6.2 million facility agreement (Facility Agreement) between Powell (UK) Limited and a large international bank. This Facility Agreement provides Powell (UK) Limited the ability to enter into bank guarantees as well as forward exchange contracts and currency options. At December 31, 2016, we had outstanding guarantees totaling $4.8 million under this Facility Agreement and amounts available under this Facility Agreement were $1.4 million. This facility expires in May 2017. The Facility Agreement provides for financial covenants and customary events of default, and carries cross-default provisions with our U.S. Revolver. If an event of default (as defined in the Facility Agreement) occurs and is continuing, per the terms and subject to the conditions set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0" w:right="2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forth therein, obligations outstanding under the Facility Agreement may be accelerated and may become or be declared immediately due and payable. As of December 31, 2016, we were in compliance with all of the financial covenants of the Facility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Liquidated Damages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Certain of our customer contracts have schedule and performance obligation clauses that, if we fail to meet them, could require us to pay liquidated damages. Each individual contract defines the conditions under which the customer may make a claim against us. As of December 31, 2016, our exposure to possible liquidated damages was $2.7 million, of which approximately $1.7 million is probable. Based on our actual or projected failure to meet these various contractual commitments, $1.5 million has been recorded as a reduction to revenue. We will attempt to obtain change orders, contract extensions or accelerate project completion which may resolve the potential for any unaccrued liquidated damage. Should we fail to achieve relief on some or all of these contractual obligations, we could be required to pay additional liquidated damages, which could negatively impact our future operating results.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G. 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Refer to our Annual Report on Form 10-K for the fiscal year ended September 30, 2016 for a full description of our existing stock-based compensation plans.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issue restricted stock units (RSUs) to certain officers and key employees of the Company. The fair value of the RSUs is based on the closing price of our common stock as reported on the NASDAQ Global Market on the grant dates. These grants vest over a three-year period from their date of issuance. Sixty percent of the grant is time-based and vests over a three-year period on each anniversary of the grant date, based on continued employment. The remaining forty percent of the grant will be earned based on the three-year earnings performance of the Company following the grant date. At December 31, 2016, there were 193,537 RSUs outstanding. The RSUs do not have voting rights but do receive dividend equivalents upon vesting; additionally, the shares of common stock underlying the RSUs are not considered issued and outstanding until vested and common stock is issued.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RSU activity (number of shares) for the three months ended December 31, 2016 is summarized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39"/>
              <w:spacing w:after="0"/>
              <w:rPr>
                <w:sz w:val="20"/>
                <w:szCs w:val="20"/>
                <w:color w:val="auto"/>
              </w:rPr>
            </w:pPr>
            <w:r>
              <w:rPr>
                <w:rFonts w:ascii="Arial" w:cs="Arial" w:eastAsia="Arial" w:hAnsi="Arial"/>
                <w:sz w:val="14"/>
                <w:szCs w:val="14"/>
                <w:b w:val="1"/>
                <w:bCs w:val="1"/>
                <w:color w:val="auto"/>
                <w:w w:val="91"/>
              </w:rPr>
              <w:t>Weighted</w:t>
            </w:r>
          </w:p>
        </w:tc>
      </w:tr>
      <w:tr>
        <w:trPr>
          <w:trHeight w:val="149"/>
        </w:trPr>
        <w:tc>
          <w:tcPr>
            <w:tcW w:w="85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49"/>
        </w:trPr>
        <w:tc>
          <w:tcPr>
            <w:tcW w:w="85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8"/>
              </w:rPr>
              <w:t>Fair Value</w:t>
            </w:r>
          </w:p>
        </w:tc>
      </w:tr>
      <w:tr>
        <w:trPr>
          <w:trHeight w:val="192"/>
        </w:trPr>
        <w:tc>
          <w:tcPr>
            <w:tcW w:w="8500" w:type="dxa"/>
            <w:vAlign w:val="bottom"/>
            <w:tcBorders>
              <w:bottom w:val="single" w:sz="8" w:color="CFF0FC"/>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4"/>
              </w:rPr>
              <w:t>Per Share</w:t>
            </w:r>
          </w:p>
        </w:tc>
      </w:tr>
      <w:tr>
        <w:trPr>
          <w:trHeight w:val="250"/>
        </w:trPr>
        <w:tc>
          <w:tcPr>
            <w:tcW w:w="85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Outstanding at September 30, 2016</w:t>
            </w:r>
          </w:p>
        </w:tc>
        <w:tc>
          <w:tcPr>
            <w:tcW w:w="13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159,988</w:t>
            </w:r>
          </w:p>
        </w:tc>
        <w:tc>
          <w:tcPr>
            <w:tcW w:w="3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43.12</w:t>
            </w:r>
          </w:p>
        </w:tc>
      </w:tr>
      <w:tr>
        <w:trPr>
          <w:trHeight w:val="243"/>
        </w:trPr>
        <w:tc>
          <w:tcPr>
            <w:tcW w:w="8500" w:type="dxa"/>
            <w:vAlign w:val="bottom"/>
          </w:tcPr>
          <w:p>
            <w:pPr>
              <w:ind w:left="28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19"/>
              <w:spacing w:after="0"/>
              <w:rPr>
                <w:sz w:val="20"/>
                <w:szCs w:val="20"/>
                <w:color w:val="auto"/>
              </w:rPr>
            </w:pPr>
            <w:r>
              <w:rPr>
                <w:rFonts w:ascii="Arial" w:cs="Arial" w:eastAsia="Arial" w:hAnsi="Arial"/>
                <w:sz w:val="18"/>
                <w:szCs w:val="18"/>
                <w:color w:val="auto"/>
              </w:rPr>
              <w:t>61,100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39.65</w:t>
            </w:r>
          </w:p>
        </w:tc>
      </w:tr>
      <w:tr>
        <w:trPr>
          <w:trHeight w:val="27"/>
        </w:trPr>
        <w:tc>
          <w:tcPr>
            <w:tcW w:w="8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Vested</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(27,551)</w:t>
            </w:r>
          </w:p>
        </w:tc>
        <w:tc>
          <w:tcPr>
            <w:tcW w:w="1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39.08</w:t>
            </w:r>
          </w:p>
        </w:tc>
      </w:tr>
      <w:tr>
        <w:trPr>
          <w:trHeight w:val="257"/>
        </w:trPr>
        <w:tc>
          <w:tcPr>
            <w:tcW w:w="8500" w:type="dxa"/>
            <w:vAlign w:val="bottom"/>
          </w:tcPr>
          <w:p>
            <w:pPr>
              <w:ind w:left="40"/>
              <w:spacing w:after="0"/>
              <w:rPr>
                <w:sz w:val="20"/>
                <w:szCs w:val="20"/>
                <w:color w:val="auto"/>
              </w:rPr>
            </w:pPr>
            <w:r>
              <w:rPr>
                <w:rFonts w:ascii="Arial" w:cs="Arial" w:eastAsia="Arial" w:hAnsi="Arial"/>
                <w:sz w:val="18"/>
                <w:szCs w:val="18"/>
                <w:color w:val="auto"/>
              </w:rPr>
              <w:t>Outstanding at December 31, 2016</w:t>
            </w: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193,537</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42.60</w:t>
            </w:r>
          </w:p>
        </w:tc>
      </w:tr>
      <w:tr>
        <w:trPr>
          <w:trHeight w:val="20"/>
        </w:trPr>
        <w:tc>
          <w:tcPr>
            <w:tcW w:w="85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December 31, 2016 and 2015, we recorded compensation expense of $0.9 million and $2.1 million, respectively, related to the RSUs. The higher compensation expense recorded in the three months ended December 31, 2015 was primarily due to the departure of our former Chief Executive Officer in December 2015 which included the accelerated vesting of 60,909 shares.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Restricted stock grants vest equally over their respective vesting period on each anniversary of the grant date and compensation expense is recognized over their respective vesting periods based on the price per share on the grant date. During the first quarter of Fiscal 2017 and Fiscal 2016, there was no restricted stock granted.</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December 31, 2016 and 2015, we recorded compensation expense of $0.1 million and $0.2 million, respectively, related to restricted stock grants.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0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H. FAIR VALUE MEASUREMENTS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measure certain financial assets and liabilities at fair value. Fair value is defined as an “exit price” which represents the amount that would be received to sell an asset or paid to transfer a liability in an orderly transaction between market participants as of the measurement date. As such, fair value is a market-based measurement that should be determined based on assumptions that market participants would use in valuing an asset or liability. The accounting guidance requires the use of valuation techniques to measure fair value that maximize the use of observable inputs and minimize the use of unobservable inputs. As a basis for considering such assumptions and inputs, a fair value hierarchy has been established which identifies and prioritizes three levels of inputs to be used in measuring fair value.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 — Observable inputs such as quoted prices (unadjusted) in active markets for identical assets or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2 — Inputs other than the quoted prices in active markets that are observable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Level 3 — Unobservable inputs that are supported by little or no market data and require the reporting entity to develop its own assumptions.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fair value of our assets and liabilities that were accounted for at fair value on a recurring basis as of December 31, 2016 (in thousands):</w:t>
      </w:r>
    </w:p>
    <w:p>
      <w:pPr>
        <w:spacing w:after="0" w:line="200" w:lineRule="exact"/>
        <w:rPr>
          <w:sz w:val="20"/>
          <w:szCs w:val="20"/>
          <w:color w:val="auto"/>
        </w:rPr>
      </w:pPr>
    </w:p>
    <w:p>
      <w:pPr>
        <w:spacing w:after="0" w:line="219" w:lineRule="exact"/>
        <w:rPr>
          <w:sz w:val="20"/>
          <w:szCs w:val="20"/>
          <w:color w:val="auto"/>
        </w:rPr>
      </w:pPr>
    </w:p>
    <w:p>
      <w:pPr>
        <w:ind w:left="6600"/>
        <w:spacing w:after="0"/>
        <w:rPr>
          <w:sz w:val="20"/>
          <w:szCs w:val="20"/>
          <w:color w:val="auto"/>
        </w:rPr>
      </w:pPr>
      <w:r>
        <w:rPr>
          <w:rFonts w:ascii="Arial" w:cs="Arial" w:eastAsia="Arial" w:hAnsi="Arial"/>
          <w:sz w:val="14"/>
          <w:szCs w:val="14"/>
          <w:b w:val="1"/>
          <w:bCs w:val="1"/>
          <w:color w:val="auto"/>
        </w:rPr>
        <w:t>Fair Value Measurements 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42710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4"/>
                <w:szCs w:val="14"/>
                <w:color w:val="auto"/>
              </w:rPr>
            </w:pPr>
          </w:p>
        </w:tc>
        <w:tc>
          <w:tcPr>
            <w:tcW w:w="17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5"/>
              </w:rPr>
              <w:t>Significant Other</w:t>
            </w:r>
          </w:p>
        </w:tc>
        <w:tc>
          <w:tcPr>
            <w:tcW w:w="17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Significant</w:t>
            </w:r>
          </w:p>
        </w:tc>
        <w:tc>
          <w:tcPr>
            <w:tcW w:w="136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0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Observable</w:t>
            </w:r>
          </w:p>
        </w:tc>
        <w:tc>
          <w:tcPr>
            <w:tcW w:w="17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0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Inputs</w:t>
            </w:r>
          </w:p>
        </w:tc>
        <w:tc>
          <w:tcPr>
            <w:tcW w:w="17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Inputs</w:t>
            </w:r>
          </w:p>
        </w:tc>
        <w:tc>
          <w:tcPr>
            <w:tcW w:w="136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7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(Level 2)</w:t>
            </w:r>
          </w:p>
        </w:tc>
        <w:tc>
          <w:tcPr>
            <w:tcW w:w="17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4"/>
              </w:rPr>
              <w:t>(Level 3)</w:t>
            </w:r>
          </w:p>
        </w:tc>
        <w:tc>
          <w:tcPr>
            <w:tcW w:w="1360" w:type="dxa"/>
            <w:vAlign w:val="bottom"/>
          </w:tcPr>
          <w:p>
            <w:pPr>
              <w:jc w:val="center"/>
              <w:ind w:right="158"/>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9"/>
              <w:spacing w:after="0"/>
              <w:rPr>
                <w:sz w:val="20"/>
                <w:szCs w:val="20"/>
                <w:color w:val="auto"/>
              </w:rPr>
            </w:pPr>
            <w:r>
              <w:rPr>
                <w:rFonts w:ascii="Arial" w:cs="Arial" w:eastAsia="Arial" w:hAnsi="Arial"/>
                <w:sz w:val="18"/>
                <w:szCs w:val="18"/>
                <w:color w:val="auto"/>
              </w:rPr>
              <w:t>23,110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700" w:type="dxa"/>
            <w:vAlign w:val="bottom"/>
            <w:gridSpan w:val="3"/>
          </w:tcPr>
          <w:p>
            <w:pPr>
              <w:ind w:left="1080"/>
              <w:spacing w:after="0"/>
              <w:rPr>
                <w:sz w:val="20"/>
                <w:szCs w:val="20"/>
                <w:color w:val="auto"/>
              </w:rPr>
            </w:pPr>
            <w:r>
              <w:rPr>
                <w:rFonts w:ascii="Arial" w:cs="Arial" w:eastAsia="Arial" w:hAnsi="Arial"/>
                <w:sz w:val="18"/>
                <w:szCs w:val="18"/>
                <w:color w:val="auto"/>
              </w:rPr>
              <w:t>—   $</w:t>
            </w: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23,110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14,874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14,874</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Deferred compensation</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9"/>
              <w:spacing w:after="0"/>
              <w:rPr>
                <w:sz w:val="20"/>
                <w:szCs w:val="20"/>
                <w:color w:val="auto"/>
              </w:rPr>
            </w:pPr>
            <w:r>
              <w:rPr>
                <w:rFonts w:ascii="Arial" w:cs="Arial" w:eastAsia="Arial" w:hAnsi="Arial"/>
                <w:sz w:val="18"/>
                <w:szCs w:val="18"/>
                <w:color w:val="auto"/>
              </w:rPr>
              <w:t>5,703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5,703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Deferred compensation</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9"/>
              <w:spacing w:after="0"/>
              <w:rPr>
                <w:sz w:val="20"/>
                <w:szCs w:val="20"/>
                <w:color w:val="auto"/>
              </w:rPr>
            </w:pPr>
            <w:r>
              <w:rPr>
                <w:rFonts w:ascii="Arial" w:cs="Arial" w:eastAsia="Arial" w:hAnsi="Arial"/>
                <w:sz w:val="18"/>
                <w:szCs w:val="18"/>
                <w:color w:val="auto"/>
              </w:rPr>
              <w:t>4,441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4,441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fair value of our assets and liabilities that were accounted for at fair value on a recurring basis as of September 30, 2016 (in thousands):</w:t>
      </w:r>
    </w:p>
    <w:p>
      <w:pPr>
        <w:spacing w:after="0" w:line="176" w:lineRule="exact"/>
        <w:rPr>
          <w:sz w:val="20"/>
          <w:szCs w:val="20"/>
          <w:color w:val="auto"/>
        </w:rPr>
      </w:pPr>
    </w:p>
    <w:p>
      <w:pPr>
        <w:ind w:left="6580"/>
        <w:spacing w:after="0"/>
        <w:rPr>
          <w:sz w:val="20"/>
          <w:szCs w:val="20"/>
          <w:color w:val="auto"/>
        </w:rPr>
      </w:pPr>
      <w:r>
        <w:rPr>
          <w:rFonts w:ascii="Arial" w:cs="Arial" w:eastAsia="Arial" w:hAnsi="Arial"/>
          <w:sz w:val="14"/>
          <w:szCs w:val="14"/>
          <w:b w:val="1"/>
          <w:bCs w:val="1"/>
          <w:color w:val="auto"/>
        </w:rPr>
        <w:t>Fair Value Measurements at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42710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4"/>
                <w:szCs w:val="14"/>
                <w:color w:val="auto"/>
              </w:rPr>
            </w:pPr>
          </w:p>
        </w:tc>
        <w:tc>
          <w:tcPr>
            <w:tcW w:w="17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5"/>
              </w:rPr>
              <w:t>Significant Other</w:t>
            </w:r>
          </w:p>
        </w:tc>
        <w:tc>
          <w:tcPr>
            <w:tcW w:w="17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Significant</w:t>
            </w:r>
          </w:p>
        </w:tc>
        <w:tc>
          <w:tcPr>
            <w:tcW w:w="136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0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Observable</w:t>
            </w:r>
          </w:p>
        </w:tc>
        <w:tc>
          <w:tcPr>
            <w:tcW w:w="17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0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Inputs</w:t>
            </w:r>
          </w:p>
        </w:tc>
        <w:tc>
          <w:tcPr>
            <w:tcW w:w="17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Inputs</w:t>
            </w:r>
          </w:p>
        </w:tc>
        <w:tc>
          <w:tcPr>
            <w:tcW w:w="136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7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(Level 2)</w:t>
            </w:r>
          </w:p>
        </w:tc>
        <w:tc>
          <w:tcPr>
            <w:tcW w:w="17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4"/>
              </w:rPr>
              <w:t>(Level 3)</w:t>
            </w:r>
          </w:p>
        </w:tc>
        <w:tc>
          <w:tcPr>
            <w:tcW w:w="1360" w:type="dxa"/>
            <w:vAlign w:val="bottom"/>
          </w:tcPr>
          <w:p>
            <w:pPr>
              <w:jc w:val="center"/>
              <w:ind w:right="159"/>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470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bottom w:val="single" w:sz="8" w:color="CFF0FC"/>
            </w:tcBorders>
            <w:shd w:val="clear" w:color="auto" w:fill="CFF0FC"/>
          </w:tcPr>
          <w:p>
            <w:pPr>
              <w:spacing w:after="0"/>
              <w:rPr>
                <w:sz w:val="21"/>
                <w:szCs w:val="21"/>
                <w:color w:val="auto"/>
              </w:rPr>
            </w:pPr>
          </w:p>
        </w:tc>
        <w:tc>
          <w:tcPr>
            <w:tcW w:w="1460" w:type="dxa"/>
            <w:vAlign w:val="bottom"/>
            <w:tcBorders>
              <w:top w:val="single" w:sz="8" w:color="auto"/>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CFF0FC"/>
            </w:tcBorders>
            <w:shd w:val="clear" w:color="auto" w:fill="CFF0FC"/>
          </w:tcPr>
          <w:p>
            <w:pPr>
              <w:spacing w:after="0"/>
              <w:rPr>
                <w:sz w:val="21"/>
                <w:szCs w:val="21"/>
                <w:color w:val="auto"/>
              </w:rPr>
            </w:pPr>
          </w:p>
        </w:tc>
        <w:tc>
          <w:tcPr>
            <w:tcW w:w="1400" w:type="dxa"/>
            <w:vAlign w:val="bottom"/>
            <w:tcBorders>
              <w:top w:val="single" w:sz="8" w:color="auto"/>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CFF0FC"/>
            </w:tcBorders>
            <w:shd w:val="clear" w:color="auto" w:fill="CFF0FC"/>
          </w:tcPr>
          <w:p>
            <w:pPr>
              <w:spacing w:after="0"/>
              <w:rPr>
                <w:sz w:val="21"/>
                <w:szCs w:val="21"/>
                <w:color w:val="auto"/>
              </w:rPr>
            </w:pPr>
          </w:p>
        </w:tc>
        <w:tc>
          <w:tcPr>
            <w:tcW w:w="1360" w:type="dxa"/>
            <w:vAlign w:val="bottom"/>
            <w:tcBorders>
              <w:top w:val="single" w:sz="8" w:color="auto"/>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CFF0FC"/>
            </w:tcBorders>
            <w:shd w:val="clear" w:color="auto" w:fill="CFF0FC"/>
          </w:tcPr>
          <w:p>
            <w:pPr>
              <w:spacing w:after="0"/>
              <w:rPr>
                <w:sz w:val="21"/>
                <w:szCs w:val="21"/>
                <w:color w:val="auto"/>
              </w:rPr>
            </w:pPr>
          </w:p>
        </w:tc>
        <w:tc>
          <w:tcPr>
            <w:tcW w:w="1360" w:type="dxa"/>
            <w:vAlign w:val="bottom"/>
            <w:tcBorders>
              <w:top w:val="single" w:sz="8" w:color="auto"/>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4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700" w:type="dxa"/>
            <w:vAlign w:val="bottom"/>
            <w:gridSpan w:val="3"/>
          </w:tcPr>
          <w:p>
            <w:pPr>
              <w:ind w:left="1080"/>
              <w:spacing w:after="0"/>
              <w:rPr>
                <w:sz w:val="20"/>
                <w:szCs w:val="20"/>
                <w:color w:val="auto"/>
              </w:rPr>
            </w:pPr>
            <w:r>
              <w:rPr>
                <w:rFonts w:ascii="Arial" w:cs="Arial" w:eastAsia="Arial" w:hAnsi="Arial"/>
                <w:sz w:val="18"/>
                <w:szCs w:val="18"/>
                <w:color w:val="auto"/>
              </w:rPr>
              <w:t>—   $</w:t>
            </w:r>
          </w:p>
        </w:tc>
        <w:tc>
          <w:tcPr>
            <w:tcW w:w="1360" w:type="dxa"/>
            <w:vAlign w:val="bottom"/>
          </w:tcPr>
          <w:p>
            <w:pPr>
              <w:jc w:val="right"/>
              <w:ind w:right="19"/>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Deferred compensation</w:t>
            </w:r>
          </w:p>
        </w:tc>
        <w:tc>
          <w:tcPr>
            <w:tcW w:w="16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8"/>
                <w:szCs w:val="18"/>
                <w:color w:val="auto"/>
              </w:rPr>
              <w:t>1,643</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8"/>
                <w:szCs w:val="18"/>
                <w:color w:val="auto"/>
              </w:rPr>
              <w:t>4,130</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CFF0FC"/>
            </w:tcBorders>
            <w:gridSpan w:val="3"/>
            <w:shd w:val="clear" w:color="auto" w:fill="CFF0FC"/>
          </w:tcPr>
          <w:p>
            <w:pPr>
              <w:ind w:left="10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5,773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compensation</w:t>
            </w:r>
          </w:p>
        </w:tc>
        <w:tc>
          <w:tcPr>
            <w:tcW w:w="1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4,449</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00" w:type="dxa"/>
            <w:vAlign w:val="bottom"/>
            <w:gridSpan w:val="3"/>
            <w:shd w:val="clear" w:color="auto" w:fill="CFF0FC"/>
          </w:tcPr>
          <w:p>
            <w:pPr>
              <w:ind w:left="10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r>
        <w:trPr>
          <w:trHeight w:val="27"/>
        </w:trPr>
        <w:tc>
          <w:tcPr>
            <w:tcW w:w="47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4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3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3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equivalents, primarily funds held in money market savings instruments, are reported at their current carrying value which approximates fair value due to the short-term nature of these instruments and are included in cash and cash equivalents in our Condensed Consolidated Balance Sheets.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0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Fair value guidance requires certain fair value disclosures be presented in both interim and annual reports. The estimated fair value amounts of financial instruments have been determined using available market information and valuation methodologies described below.</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 We hold investments in an irrevocable Rabbi Trust for our deferred compensation plan. These assets include both mutual fund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and company-owned life insurance policies. Under the plan, participants designate investment options to serve as the basis for measurement of the notional value of their accounts. The fair values of the underlying securities of these funds are based on quoted market prices and are categorized as Level 1 in the fair value measurement hierarchy. The company-owned life insurance policies are valued at cash surrender value and are therefore categorized as Level 2 in the fair value measurement hierarchy.</w:t>
      </w:r>
    </w:p>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Industrial Development Revenue Bonds</w:t>
      </w:r>
      <w:r>
        <w:rPr>
          <w:rFonts w:ascii="Arial" w:cs="Arial" w:eastAsia="Arial" w:hAnsi="Arial"/>
          <w:sz w:val="18"/>
          <w:szCs w:val="18"/>
          <w:color w:val="auto"/>
        </w:rPr>
        <w:t>– The fair value of our long-term debt depends primarily on the coupon rate of our industrial development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bonds. The carrying value of our long-term debt at December 31, 2016, approximates fair value based on the current coupon rate of the bonds, which is reset weekly. It is classified as a Level 2 input in the fair value measurement hierarchy as there is an active market for the trading of these industrial development revenue bonds.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levels within the fair value measurement hierarchy during the three months ended 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the effective tax rate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9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700" w:type="dxa"/>
            <w:vAlign w:val="bottom"/>
            <w:tcBorders>
              <w:bottom w:val="single" w:sz="8" w:color="auto"/>
            </w:tcBorders>
          </w:tcPr>
          <w:p>
            <w:pPr>
              <w:spacing w:after="0"/>
              <w:rPr>
                <w:sz w:val="16"/>
                <w:szCs w:val="16"/>
                <w:color w:val="auto"/>
              </w:rPr>
            </w:pPr>
          </w:p>
        </w:tc>
      </w:tr>
      <w:tr>
        <w:trPr>
          <w:trHeight w:val="264"/>
        </w:trPr>
        <w:tc>
          <w:tcPr>
            <w:tcW w:w="77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22"/>
                <w:szCs w:val="2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106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(1,741)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(1,506)</w:t>
            </w:r>
          </w:p>
        </w:tc>
      </w:tr>
      <w:tr>
        <w:trPr>
          <w:trHeight w:val="270"/>
        </w:trPr>
        <w:tc>
          <w:tcPr>
            <w:tcW w:w="7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(1,441)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(1,047)</w:t>
            </w:r>
          </w:p>
        </w:tc>
      </w:tr>
      <w:tr>
        <w:trPr>
          <w:trHeight w:val="176"/>
        </w:trPr>
        <w:tc>
          <w:tcPr>
            <w:tcW w:w="77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r>
      <w:tr>
        <w:trPr>
          <w:trHeight w:val="269"/>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06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7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615"/>
        </w:trPr>
        <w:tc>
          <w:tcPr>
            <w:tcW w:w="77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700" w:type="dxa"/>
            <w:vAlign w:val="bottom"/>
            <w:tcBorders>
              <w:bottom w:val="single" w:sz="8" w:color="auto"/>
            </w:tcBorders>
          </w:tcPr>
          <w:p>
            <w:pPr>
              <w:spacing w:after="0"/>
              <w:rPr>
                <w:sz w:val="24"/>
                <w:szCs w:val="24"/>
                <w:color w:val="auto"/>
              </w:rPr>
            </w:pPr>
          </w:p>
        </w:tc>
      </w:tr>
      <w:tr>
        <w:trPr>
          <w:trHeight w:val="264"/>
        </w:trPr>
        <w:tc>
          <w:tcPr>
            <w:tcW w:w="7740" w:type="dxa"/>
            <w:vAlign w:val="bottom"/>
            <w:tcBorders>
              <w:bottom w:val="single" w:sz="8" w:color="CFF0FC"/>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22"/>
                <w:szCs w:val="22"/>
                <w:color w:val="auto"/>
              </w:rPr>
            </w:pPr>
          </w:p>
        </w:tc>
      </w:tr>
      <w:tr>
        <w:trPr>
          <w:trHeight w:val="250"/>
        </w:trPr>
        <w:tc>
          <w:tcPr>
            <w:tcW w:w="77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Statutory rate</w:t>
            </w:r>
          </w:p>
        </w:tc>
        <w:tc>
          <w:tcPr>
            <w:tcW w:w="4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35 %</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Foreign valuation allowance</w:t>
            </w:r>
          </w:p>
        </w:tc>
        <w:tc>
          <w:tcPr>
            <w:tcW w:w="1060" w:type="dxa"/>
            <w:vAlign w:val="bottom"/>
          </w:tcPr>
          <w:p>
            <w:pPr>
              <w:spacing w:after="0"/>
              <w:rPr>
                <w:sz w:val="21"/>
                <w:szCs w:val="21"/>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(11)</w:t>
            </w:r>
          </w:p>
        </w:tc>
      </w:tr>
      <w:tr>
        <w:trPr>
          <w:trHeight w:val="27"/>
        </w:trPr>
        <w:tc>
          <w:tcPr>
            <w:tcW w:w="7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780" w:type="dxa"/>
            <w:vAlign w:val="bottom"/>
            <w:tcBorders>
              <w:bottom w:val="single" w:sz="8" w:color="CFF0FC"/>
            </w:tcBorders>
            <w:gridSpan w:val="2"/>
            <w:shd w:val="clear" w:color="auto" w:fill="CFF0FC"/>
          </w:tcPr>
          <w:p>
            <w:pPr>
              <w:ind w:left="40"/>
              <w:spacing w:after="0"/>
              <w:rPr>
                <w:sz w:val="20"/>
                <w:szCs w:val="20"/>
                <w:color w:val="auto"/>
              </w:rPr>
            </w:pPr>
            <w:r>
              <w:rPr>
                <w:rFonts w:ascii="Arial" w:cs="Arial" w:eastAsia="Arial" w:hAnsi="Arial"/>
                <w:sz w:val="18"/>
                <w:szCs w:val="18"/>
                <w:color w:val="auto"/>
              </w:rPr>
              <w:t>Research and development credit</w:t>
            </w:r>
          </w:p>
        </w:tc>
        <w:tc>
          <w:tcPr>
            <w:tcW w:w="106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22</w:t>
            </w:r>
          </w:p>
        </w:tc>
        <w:tc>
          <w:tcPr>
            <w:tcW w:w="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45</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1060" w:type="dxa"/>
            <w:vAlign w:val="bottom"/>
          </w:tcPr>
          <w:p>
            <w:pPr>
              <w:spacing w:after="0"/>
              <w:rPr>
                <w:sz w:val="21"/>
                <w:szCs w:val="21"/>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3</w:t>
            </w:r>
          </w:p>
        </w:tc>
      </w:tr>
      <w:tr>
        <w:trPr>
          <w:trHeight w:val="27"/>
        </w:trPr>
        <w:tc>
          <w:tcPr>
            <w:tcW w:w="7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7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Rate differential and other</w:t>
            </w:r>
          </w:p>
        </w:tc>
        <w:tc>
          <w:tcPr>
            <w:tcW w:w="4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spacing w:after="0"/>
              <w:rPr>
                <w:sz w:val="23"/>
                <w:szCs w:val="23"/>
                <w:color w:val="auto"/>
              </w:rPr>
            </w:pPr>
          </w:p>
        </w:tc>
        <w:tc>
          <w:tcPr>
            <w:tcW w:w="6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9</w:t>
            </w:r>
          </w:p>
        </w:tc>
        <w:tc>
          <w:tcPr>
            <w:tcW w:w="4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4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spacing w:after="0"/>
              <w:rPr>
                <w:sz w:val="23"/>
                <w:szCs w:val="23"/>
                <w:color w:val="auto"/>
              </w:rPr>
            </w:pPr>
          </w:p>
        </w:tc>
        <w:tc>
          <w:tcPr>
            <w:tcW w:w="70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(2)</w:t>
            </w:r>
          </w:p>
        </w:tc>
      </w:tr>
      <w:tr>
        <w:trPr>
          <w:trHeight w:val="237"/>
        </w:trPr>
        <w:tc>
          <w:tcPr>
            <w:tcW w:w="774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70 %</w:t>
            </w:r>
          </w:p>
        </w:tc>
      </w:tr>
      <w:tr>
        <w:trPr>
          <w:trHeight w:val="27"/>
        </w:trPr>
        <w:tc>
          <w:tcPr>
            <w:tcW w:w="77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77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recorded an income tax benefit of $1.4 million for the three months ended December 31, 2016, compared to an income tax benefit of $1.0 million for the three months ended December 31, 2015. Our income tax benefit reflects an effective tax rate on the pre-tax loss of 83% for the three months ended December 31, 2016 compared to 70% for the three months ended December 31, 2015. The effective tax rates for the first quarter of Fiscal 2017 and 2016 were favorably impacted by the lower tax rate in the United Kingdom, the relative amounts of income/loss recognized in various jurisdictions, as well as the utilization of net operating loss carryforwards in Canada that are fully reserved with a valuation allowance. We also completed an IRS audit during the first quarter of Fiscal 2017 which favorably impacted the effective tax rate due to the release of a $0.3 million FIN 48 reserve relating to the Research and Development Tax Credit (R&amp;D Tax Credit). The effective tax rate for the three months ended December 31, 2015 was also favorably impacted by a discrete item of $0.8 million related to the retroactive reinstatement of the R&amp;D Tax Credit to January 31, 2016.</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90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J. RESTRUCTURING AND SEPARATION COSTS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did not incur any restructuring or separation costs in the first quarter of Fiscal 2017, however in the first quarter of Fiscal 2016, we incurred $3.8 million of separation costs related to the departure of our former Chief Executive Officer in December 2015. This included stock-based compensation, as well as future cash payments.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including the following discussion to inform our existing and potential shareholders generally of some of the risks and uncertainties that can affect our Company and to take advantage of the “safe harbor” protection for forward-looking statements that applicable federal securities law affords.</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time to time, our management or persons acting on our behalf make forward-looking statements to inform existing and potential shareholders about our Company. These statements may include projections and estimates concerning the timing and success of specific projects and our future backlog, revenues, income, acquisitions and capital spending. Forward-looking statements include information concerning future results of operations and financial condition. Statements that contain words such as “believes,” “expects,” “anticipates,” “intends,” “estimates,” “continue,” “should,” “could,” “may,” “plan,” “project,” “predict,” “will” or similar expressions may be forward-looking statements. In addition, sometimes we will specifically describe a statement as being a forward-looking statement and refer to this cautionary statement.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various statements in this Quarterly Report on Form 10-Q, including those that express a belief, expectation or intention, as well as those that are not statements of historical fact, are forward-looking statements. These forward-looking statements speak only as of the date of this report; we disclaim any obligation to update these statements unless required by securities law,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risks, contingencies and uncertainties relate to, among other matters, the following:</w:t>
      </w:r>
    </w:p>
    <w:p>
      <w:pPr>
        <w:spacing w:after="0" w:line="81" w:lineRule="exact"/>
        <w:rPr>
          <w:sz w:val="20"/>
          <w:szCs w:val="20"/>
          <w:color w:val="auto"/>
        </w:rPr>
      </w:pPr>
    </w:p>
    <w:p>
      <w:pPr>
        <w:ind w:left="600" w:hanging="32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Due to the cyclical nature of the oil and gas industry, our business may be adversely impacted by extended periods of low oil or gas prices or unsuccessful exploration efforts which may decrease our customers' spending and therefore our results in the future.</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uncertainty and financial market conditions may impact our customer base, suppliers and backlog.</w:t>
      </w:r>
    </w:p>
    <w:p>
      <w:pPr>
        <w:spacing w:after="0" w:line="117" w:lineRule="exact"/>
        <w:rPr>
          <w:rFonts w:ascii="Arial" w:cs="Arial" w:eastAsia="Arial" w:hAnsi="Arial"/>
          <w:sz w:val="18"/>
          <w:szCs w:val="18"/>
          <w:color w:val="auto"/>
        </w:rPr>
      </w:pPr>
    </w:p>
    <w:p>
      <w:pPr>
        <w:ind w:left="600" w:hanging="32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stock price could decline or fluctuate significantly due to unforeseen circumstances. These fluctuations may cause our stockholders to incur losses.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backlog is subject to unexpected adjustments and cancellations and, therefore, may not be a reliable indicator of our future earnings.</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use of percentage-of-completion accounting on our fixed-price contracts could result in volatility in our results of operations.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majority of our contracts contain performance obligations that may subject us to penalties or additional liabilities.</w:t>
      </w:r>
    </w:p>
    <w:p>
      <w:pPr>
        <w:spacing w:after="0" w:line="117" w:lineRule="exact"/>
        <w:rPr>
          <w:rFonts w:ascii="Arial" w:cs="Arial" w:eastAsia="Arial" w:hAnsi="Arial"/>
          <w:sz w:val="18"/>
          <w:szCs w:val="18"/>
          <w:color w:val="auto"/>
        </w:rPr>
      </w:pPr>
    </w:p>
    <w:p>
      <w:pPr>
        <w:ind w:left="600" w:hanging="32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the price and supply of materials used to manufacture our products may reduce our profits and could materially impact our ability to meet commitments to our customers.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industry is highly competitive.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operations could be adversely impacted by the effects of government regulations, including regulations related to conflict minerals.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laws and regulations may change our effective tax rate and could have a material effect on our financial results.</w:t>
      </w:r>
    </w:p>
    <w:p>
      <w:pPr>
        <w:spacing w:after="0" w:line="117" w:lineRule="exact"/>
        <w:rPr>
          <w:rFonts w:ascii="Arial" w:cs="Arial" w:eastAsia="Arial" w:hAnsi="Arial"/>
          <w:sz w:val="18"/>
          <w:szCs w:val="18"/>
          <w:color w:val="auto"/>
        </w:rPr>
      </w:pPr>
    </w:p>
    <w:p>
      <w:pPr>
        <w:ind w:left="600" w:right="20" w:hanging="32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international operations expose us to risks that are different from, or possibly greater than, the risks we are exposed to domestically and may adversely affect our operations.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operating results may vary significantly from quarter to quarter.</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departure of key personnel could disrupt our business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requires skilled labor and we may be unable to attract and retain qualified employees.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Actual and potential claims, lawsuits and proceedings could ultimately reduce our profitability and liquidity and weaken our financial condition.</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Quality problems with our products could harm our reputation and erode our competitive position.</w:t>
      </w:r>
    </w:p>
    <w:p>
      <w:pPr>
        <w:spacing w:after="0" w:line="117" w:lineRule="exact"/>
        <w:rPr>
          <w:rFonts w:ascii="Arial" w:cs="Arial" w:eastAsia="Arial" w:hAnsi="Arial"/>
          <w:sz w:val="18"/>
          <w:szCs w:val="18"/>
          <w:color w:val="auto"/>
        </w:rPr>
      </w:pPr>
    </w:p>
    <w:p>
      <w:pPr>
        <w:ind w:left="600" w:right="20" w:hanging="32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failure in our business systems or cyber security attacks on any of our facilities, or those of third parties, could adversely affect our business and our internal controls.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ind w:left="600" w:hanging="322"/>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carry insurance against many potential liabilities, but our management of risk may leave us exposed to unidentified or unanticipated risks.</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and compliance with environmental laws could adversely impact our financial results.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Technological innovations by competitors may make existing products and production methods obsolete.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Catastrophic events could disrupt our business.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Unforeseen difficulties with expansions, relocations or consolidations of existing facilities could adversely affect our operations.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Acquisitions involve a number of risks.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the items we have outlined above are important factors that could cause estimates included in our financial statements to differ materially from actual results and those expressed in a forward-looking statement made in this report or elsewhere by us or on our behalf. We have discussed these factors in more detail in our Annual Report on Form 10-K for the year ended September 30, 2016. These factors are not necessarily all of the factors that could affect us. Unpredictable or unanticipated factors we have not discussed in this report could also have material adverse effects on actual results. We do not intend to update our description of important factors each time a potential important factor arises, except as required by applicable securities laws and regulations. We advise our shareholders that they should (1) be aware that factors not referred to above could affect the accuracy of our forward-looking statements and (2) use caution when considering our forward-looking statements.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9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accompanying condensed consolidated financial statements and related notes included elsewhere in this Quarterly Report on Form 10-Q and with our Annual Report on Form 10-K for the year ended September 30, 2016 which was filed with the Securities and Exchange Commission (SEC) on December 7, 2016 and is available on the SEC’s website at www.sec.gov.</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spacing w:after="0" w:line="329" w:lineRule="auto"/>
        <w:rPr>
          <w:sz w:val="20"/>
          <w:szCs w:val="20"/>
          <w:color w:val="auto"/>
        </w:rPr>
      </w:pPr>
      <w:r>
        <w:rPr>
          <w:rFonts w:ascii="Arial" w:cs="Arial" w:eastAsia="Arial" w:hAnsi="Arial"/>
          <w:sz w:val="17"/>
          <w:szCs w:val="17"/>
          <w:color w:val="auto"/>
        </w:rPr>
        <w:t>We develop, design, manufacture and service custom-engineered equipment and systems for the distribution, control and monitoring of electrical energy. Headquartered in Houston, Texas, we serve the oil and gas refining, offshore oil and gas production, petrochemical, pipeline, terminal, mining and metals, light rail traction power, electric utility, pulp and paper and other industrial markets. Revenues and costs are primarily related to custom engineered-to-order equipment and systems and are accounted for under percentage-of-completion accounting which precludes us from providing detailed price and volume information. Our backlog includes various projects that take a number of months to produce.</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markets in which we participate are capital intensive and cyclical in nature. Cyclicality is predominantly driven by customer demand, global economic conditions and anticipated environmental, safety or regulatory changes that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the customer requirements and projects typically take a number of months to produce. Schedules may change during the course of any particular project and our operating results can therefore be impacted by factors outside of our control. Due to the significant decline in oil and gas prices from late 2014 levels, many of our customers have reduced their capital budgets and cut costs, and in certain instances have delayed or cancelled projects that we were pursuing. If oil and gas markets remain depressed, or decline from current levels, our project backlog could continue to decline and negatively impact our operations for the foreseeable future. In response to our reduced project backlog and market outlook, we took steps in Fiscal 2016 to reduce our cost structure, restructure our senior management team and align our salaried and hourly workforce with future production requirements.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strategy in Canada has been to replicate our project-based integration model which allows for the design, fabrication, integration and testing of our products at a single location. This strategic initiative has presented challenges for our Canadian operations in prior years, resulting in inefficiencies that led to higher operating costs, gross margin deterioration and operating losses. We took various actions in Canada and saw improvements in our operational efficiencies beginning with the second quarter of Fiscal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December 31, 2016 Compared to the Quarter Ended December 31, 2015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Gross Profit</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Revenues decreased by 26%, or $39.6 million, to $110.3 million in the first quarter of Fiscal 2017, compared to the first quarter of Fiscal 2016, primarily due to the continued decrease in our project backlog as we complete existing projects and continue to see lower demand from our customers in the oil and gas markets. Domestic revenues decreased by 19%, or $19.8 million, to $85.6 million in the first quarter of Fiscal 2017, compared to the first quarter of Fiscal 2016, and international revenues decreased by 44%, or $19.8 million, to $24.7 million in the first quarter of Fiscal 2017, compared to the first quarter of Fiscal 2016. These decreases are due to the overall reduction in revenues year over year driven by the decline in our project backlog mentioned above. Revenues from commercial and industrial customers decreased by 35%, or $39.8 million, to $72.7 million in the first quarter of Fiscal 2017, compared to the first quarter of Fiscal 2016. Revenues from public and private utilities decreased by 42%, or $12.2 million, to $16.6 million in the first quarter of Fiscal 2017, compared to the first quarter of Fiscal 2016. Revenues from municipal and transit projects increased by 142%, or $12.4 million, to $21.1 million in the first quarter of Fiscal 2017, compared to the first quarter of Fiscal 2016 due to the timing of transit projects and our ability to ramp up across various facilities to meet our customer schedules.</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for the first quarter of Fiscal 2017 decreased by 35%, or $8.2 million, to $15.0 million, compared to the first quarter of Fiscal 2016, primarily due to the decrease in revenues. Gross profit as a percentage of revenues decreased to 14% in the first quarter of Fiscal 2017, compared to 15% in the first quarter of Fiscal 2016. Our Canadian operations experienced an increase in gross profit, which was offset by the decline in gross profit from our domestic operations. Margins were negatively impacted primarily by our reduced volume as a result of weak oil and gas market conditions and lower margins from the increased volume from our transit markets noted above.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decreased by 19%, or $3.7 million, to $15.7 million during the first quarter of Fiscal 2017, compared to the first quarter of Fiscal 2016, primarily due to the cost reduction efforts we took in Fiscal 2016 in response to our reduced project backlog. Selling, general and administrative expenses, as a percentage of revenues, increased to 14% during the first quarter of Fiscal 2017, compared to 13% during the first quarter of Fiscal 2016, primarily due to the reduction in revenue quarter over quarter.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separation costs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first quarter of Fiscal 2017, we did not incur any restructuring or separation costs. However, in the first quarter of Fiscal 2016, we incurred approximately $3.8 million of separation costs related to the departure of our former Chief Executive Officer in December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recorded an income tax benefit of $1.4 million in the first quarter of Fiscal 2017, compared to an income tax benefit of $1.0 million in the first quarter of Fiscal 2016. The effective tax rate for the first quarter of Fiscal 2017 was 83% compared to an effective tax rate of 70% in the first quarter of Fiscal 2016. The effective tax rates for the first quarter of Fiscal 2017 and 2016 were favorably impacted by the lower tax rate in the United Kingdom, the relative amounts of income/loss recognized in various jurisdictions, as well as the utilization of net operating loss carryforwards in Canada that are fully reserved with a valuation allowance. We also completed an IRS audit during the first quarter of Fiscal 2017 which favorably impacted the effective tax rate due to the release of a $0.3 million FIN 48 reserve relating to the Research and Development Tax Credit (R&amp;D Tax Credit). The effective tax rate for the first quarter of Fiscal 2016 was also favorably impacted by a discrete item of $0.8 million related to the retroactive reinstatement of the R&amp;D Tax Credit to January 31,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Fiscal 2017, we recorded a loss of $0.3 million, or $0.03 per diluted share compared to a loss of $0.5 million, or $0.04 per diluted share, in the first quarter of Fiscal 2016. Our decrease in selling, general and administrative costs in the first quarter of Fiscal 2017 was offset by the reduction in revenue and gross profit compared to the first quarter of Fiscal 2016 as our project backlog has declined due to depressed market conditions, primarily in our oil and gas markets.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order backlog at December 31, 2016 was $271.5 million, which declined from $291.4 million at September 30, 2016. New orders declined during the first quarter of Fiscal 2017 to $90.8 million, compared to $101.8 million in the first quarter of Fiscal 2016, primarily due to lower demand from our customers in the oil and gas markets.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cash equivalents and short-term investments decreased to $95.5 million at December 31, 2016, compared to $97.7 million at September 30, 2016. As of December 31, 2016, current assets exceeded current liabilities by 2.9 times and our debt to total capitalization was 0.60%.</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a $75.0 million revolving credit facility in the U.S., which expires in December 2018. As of December 31, 2016, there were no amounts borrowed under this line of credit. We also have a $7.4 million revolving credit facility in Canada, and as of December 31, 2016 there were no amounts borrowed under this line of credit. Total letters of credit outstanding under our U.S. credit facility, which reduce our availability, were $20.3 million at December 31, 2016 and $26.8 million at September 30, 2016. There were no letters of credit outstanding under the Canadian revolving credit facility at December 31, 2016 or September 30, 2016. Amounts available at December 31, 2016 under the U.S. and Canadian revolving credit facilities were $54.7 million and $7.4 million, respectively. Total long-term debt, including current maturities, totaled $2.0 million at December 31, 2016, compared to $2.4 million at September 30, 2016. For further information regarding our debt, see Notes E and F of Notes to Condensed Consolidated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Approximately $31 million of our cash at December 31, 2016, was held outside of the United States for international operations. It is our intention to indefinitely reinvest all current and future foreign earnings internationally in order to ensure sufficient working capital to support our international operations. In the event that we elect to repatriate some or all of the foreign earnings that were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92"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previously deemed to be indefinitely reinvested outside the U.S., under current tax laws we would incur additional tax expense upon such repatriation.</w:t>
      </w:r>
    </w:p>
    <w:p>
      <w:pPr>
        <w:spacing w:after="0" w:line="23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believe that cash and short-term investments available and borrowing capacity under our existing credit facilities should be sufficient to finance future operating activities, capital improvements and debt repayments for the foreseeable future. We continue to monitor the factors that drive our markets and will continue to strive to maintain our leadership and competitive advantage in the markets we serve while aligning our cost structures with market conditions.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provided by operating activities decreased to $3.4 million for the three months ended December 31, 2016, compared to cash provided by operating activities of $24.1 million during the same period in Fiscal 2016. This decrease in operating cash flow in the first quarter of Fiscal 2017 was primarily from increased incentive compensation payments in the first quarter of Fiscal 2017 and a decrease in cash flow from the collection of project milestone billings compared to the same period in Fiscal 2016. Cash flow from operations is primarily influenced by the timing of milestone payments from our customers and the payment terms with our suppliers.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during the three months ended December 31, 2016 totaled $15.8 million compared to $0.6 million during the same period in Fiscal 2016. For the three months ended December 31, 2016, we invested $14.9 million in short-term investments and spent approximately $0.9 million on purchases of property, plant and equipment. For the three months ended December 31, 2015, we spent approximately $0.6 million on purchases of property, plant and equipment.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was $3.8 million for the three months ended December 31, 2016 and $7.9 million during the same period in Fiscal 2016. This reduction was primarily due to the completion of our share repurchase program in December 2015 discussed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December 17, 2014, our Board of Directors authorized a share repurchase program which allowed us to repurchase up to $25 million of our outstanding stock. The purchases were made from time to time in the open market, through privately negotiated transactions and Rule 10b5-1 trading plans in accordance with applicable laws, rules and regulations. The Repurchase Program was funded from cash on hand and cash provided by operating activities. The Repurchase Program expired on December 31, 2015. As of December 31, 2015, we had purchased 806,018 shares at an aggregate cost of $25 million under the Repurchase Program. The average purchase price per share since inception of the program was $31.02.</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A to our condensed consolidated financial statements included in this report for information on new accounting standards.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discussion and analysis of our financial condition and results of operations are based on our condensed consolidated financial statements, which have been prepared in accordance with U.S. GAAP. The preparation of these condensed consolidated financial statements requires us to make estimates and assumptions that affect the reported amounts of assets and liabilities, disclosures of contingent assets and liabilities known to exist at the date of the condensed consolidated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not differ from those estimates.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as disclosed in our Annual Report on Form 10-K for the year ended September 30, 2016.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markets in which we participate are capital-intensive and cyclical in nature. Cyclicality is predominantly driven by customer demand, global economic conditions and anticipated environmental or regulatory changes which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customer requirements. Projects typically take a number of months to produce, and schedules may change during the course of any particular project.</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significant portion of our revenues have historically been from the oil and gas markets. Unfavorable long-term oil and gas commodity price levels have caused, and may continue to cause, our customers to change their strategies or delay or cancel planned projects. The reduction in available projects, across the markets we serve, has increased market price pressures during this downward market cycle. This reduction in new business opportunities and increased market price pressures have impacted, and will continue to negatively impact, our backlog, revenues and operating results. It is difficult to predict how long the current depressed market cycle will continue.</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operating results have been, and may continue to be, negatively impacted by factors such as the timing of new order awards, customer approval of final engineering and design specifications and delays in customer construction schedules, all of which have and may continue to have, a negative impact on the timing of project execution. Our operating results also have been, and may continue to be, impacted by the timing and resolution of change orders, project close-out and resolution of potential contract claims, all of which could improve or deteriorate gross margins during the period in which these items are resolved with our customers. These factors may result in periods of underutilization of our resources and facilities and negatively impact our ability to cover our fixed costs. If oil and gas markets remain depressed, or decline further, our project backlog could continue to decline and negatively impact our operations for the foreseeable future. In response to our reduced project backlog and market outlook, we took steps in Fiscal 2016 to reduce our cost structure, restructure our senior management team and align our salaried and hourly workforce with future production requirements. However, these efforts, and any future efforts, will not be sufficient to avoid operating losses in the near-term.</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strong working capital position, cash available, low debt position and borrowing capacity under our existing credit facilities should be sufficient to finance future operating activities, research and development initiatives, capital improvements and debt repayments for the foreseeable future. We continue to monitor the factors that drive our markets and will continue to strive to maintain our leadership and competitive advantage in the markets we serve while aligning our cost structures with market conditions.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certain market risks arising from transactions we have entered into in the normal course of business. These risks primarily relate to fluctuations in market conditions, commodity prices, foreign exchange rates and interest rates.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general market risk and its potential impact on accounts receivable or costs and estimated earnings in excess of billings on uncompleted contracts. The amounts recorded may be at risk if our customers’ ability to pay these obligations is negatively impacted by economic conditions. Our customers and their industries are typically engineering, procurement and construction firms, oil and gas refining, offshore oil and gas production, petrochemical, pipeline, terminal, mining and metals, light rail traction power, electric utility, pulp and paper and other heavy industrial customers. We maintain ongoing discussions with customers regarding contract status with respect to payment status, change orders and billing terms in an effort to monitor collections of amounts billed.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market risk from fluctuating market prices of certain raw materials used in our products. While such materials are typically available from numerous suppliers, commodity raw materials are subject to price fluctuations. We attempt to pass along such commodity price increases to our customers on a contract-by-contract basis to avoid a negative effect on profit margin. While we may do so in the future, we have not currently entered into any derivative contracts to hedge our exposure to commodity risk. We continue to experience price volatility with some of our key raw materials and components. Fixed-price contracts may limit our ability to pass cost increases to our customers, thus negatively impacting our earnings. Fluctuations in commodity prices may have a material impact on our future earnings and cash flows.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90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Foreign Currency Transaction Risk</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operations that expose us to currency risk in the British Pound Sterling, the Canadian Dollar and to a lesser extent the Euro. Amounts invested in our foreign operations are translated into U.S. Dollars at the exchange rates in effect at the balance sheet date. The resulting translation adjustments are recorded as accumulated other comprehensive income (loss), a component of stockholders’ equity in our condensed consolidated balance sheets. We believe the exposure to the effects that fluctuating foreign currencies have on our consolidated results of operations is limited because the foreign operations primarily invoice customers and collect obligations in their respective currencies or U.S. Dollars. Additionally, expenses associated with these transactions are generally contracted and paid for in the same local currencies. For the three months ended December 31, 2016, our realized foreign exchange gains were $0.4 million and are included in selling, general and administrative expenses in the Condensed Consolidated Statements of Operations.</w:t>
      </w:r>
    </w:p>
    <w:p>
      <w:pPr>
        <w:spacing w:after="0" w:line="16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accumulated other comprehensive loss, which is included as a component of stockholders’ equity, was $26.4 million as of December 31, 2016, an increase of $2.6 million compared to September 30, 2016. This increase in comprehensive loss was primarily a result of fluctuations in the currency exchange rates for the Canadian Dollar and British Pound Sterling as we remeasured the foreign operations of those divisions.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do not currently hedge our exposure to potential foreign currency translation adjustments.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decide to borrow under one of our credit facilities, we will be subject to market risk resulting from changes in interest rates related to our floating rate bank credit facility. If we were to make such borrowings, a hypothetical 100 basis point increase in variable interest rates may result in a material impact to our financial statements. While we do not currently have any derivative contracts to hedge our exposure to interest rate risk, in the past we have entered and may in the future enter into such contracts. During each of the periods presented, we have not experienced a significant effect on our business due to changes in interest rates.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and maintain a system of disclosure controls and procedures that are designed to provide reasonable assurance that information required to be disclosed in our reports filed with the SEC pursuant to the Securities Exchange Act of 1934, as amended (Exchange Act), is recorded, processed, summarized and reported within the time periods specified in the rules and forms of the SEC and that such information is accumulated and communicated to our management, including our Chief Executive Officer (CEO) and Chief Financial Officer (CFO), as appropriate, to allow timely decisions regarding required disclosures.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with the participation of our CEO and CFO, has evaluated the effectiveness of the design and operation of our disclosure controls and procedures (as defined in Rules 13a-15(e) and 15d-15(e) of the Exchange Act) as of the end of the period covered by this report. Based on such evaluation, our CEO and CFO have each concluded that as of the end of the period covered by this report, our disclosure controls and procedures were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the CEO and CFO, as appropriate, to allow timely decisions regarding required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last fiscal quarter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90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material changes from the risk factors previously disclosed in the Company’s Annual Report on Form 10-K for the fiscal year ended September 30,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ind w:left="1420" w:right="20" w:hanging="818"/>
        <w:spacing w:after="0" w:line="293" w:lineRule="auto"/>
        <w:tabs>
          <w:tab w:leader="none" w:pos="1400" w:val="left"/>
        </w:tabs>
        <w:rPr>
          <w:sz w:val="20"/>
          <w:szCs w:val="20"/>
          <w:color w:val="auto"/>
        </w:rPr>
      </w:pPr>
      <w:r>
        <w:rPr>
          <w:rFonts w:ascii="Arial" w:cs="Arial" w:eastAsia="Arial" w:hAnsi="Arial"/>
          <w:sz w:val="18"/>
          <w:szCs w:val="18"/>
          <w:color w:val="auto"/>
        </w:rPr>
        <w:t>3.1</w:t>
        <w:tab/>
        <w:t>— Certificate of Incorporation of Powell Industries, Inc. filed with the Secretary of State of the State of Delaware on February 11, 2004 (filed as Exhibit 3.1 to our Form 8-A/A filed November 1, 2004, and incorporated herein by reference).</w:t>
      </w:r>
    </w:p>
    <w:p>
      <w:pPr>
        <w:spacing w:after="0" w:line="210" w:lineRule="exact"/>
        <w:rPr>
          <w:sz w:val="20"/>
          <w:szCs w:val="20"/>
          <w:color w:val="auto"/>
        </w:rPr>
      </w:pPr>
    </w:p>
    <w:p>
      <w:pPr>
        <w:ind w:left="1420" w:hanging="818"/>
        <w:spacing w:after="0" w:line="277" w:lineRule="auto"/>
        <w:tabs>
          <w:tab w:leader="none" w:pos="1400" w:val="left"/>
        </w:tabs>
        <w:rPr>
          <w:sz w:val="20"/>
          <w:szCs w:val="20"/>
          <w:color w:val="auto"/>
        </w:rPr>
      </w:pPr>
      <w:r>
        <w:rPr>
          <w:rFonts w:ascii="Arial" w:cs="Arial" w:eastAsia="Arial" w:hAnsi="Arial"/>
          <w:sz w:val="18"/>
          <w:szCs w:val="18"/>
          <w:color w:val="auto"/>
        </w:rPr>
        <w:t>3.2</w:t>
        <w:tab/>
        <w:t>— Amended and Restated Bylaws of Powell Industries, Inc. (filed as Exhibit 3.1 to our Form 8-K filed October 12, 2012, and incorporated herein by reference).</w:t>
      </w:r>
    </w:p>
    <w:p>
      <w:pPr>
        <w:spacing w:after="0" w:line="224" w:lineRule="exact"/>
        <w:rPr>
          <w:sz w:val="20"/>
          <w:szCs w:val="20"/>
          <w:color w:val="auto"/>
        </w:rPr>
      </w:pPr>
    </w:p>
    <w:p>
      <w:pPr>
        <w:ind w:left="760"/>
        <w:spacing w:after="0"/>
        <w:tabs>
          <w:tab w:leader="none" w:pos="1400" w:val="left"/>
          <w:tab w:leader="none" w:pos="1740" w:val="left"/>
        </w:tabs>
        <w:rPr>
          <w:sz w:val="20"/>
          <w:szCs w:val="20"/>
          <w:color w:val="auto"/>
        </w:rPr>
      </w:pPr>
      <w:r>
        <w:rPr>
          <w:rFonts w:ascii="Arial" w:cs="Arial" w:eastAsia="Arial" w:hAnsi="Arial"/>
          <w:sz w:val="18"/>
          <w:szCs w:val="18"/>
          <w:color w:val="auto"/>
        </w:rPr>
        <w:t>*31.1</w:t>
        <w:tab/>
        <w:t>—</w:t>
      </w:r>
      <w:r>
        <w:rPr>
          <w:sz w:val="20"/>
          <w:szCs w:val="20"/>
          <w:color w:val="auto"/>
        </w:rPr>
        <w:tab/>
      </w:r>
      <w:r>
        <w:rPr>
          <w:rFonts w:ascii="Arial" w:cs="Arial" w:eastAsia="Arial" w:hAnsi="Arial"/>
          <w:sz w:val="16"/>
          <w:szCs w:val="16"/>
          <w:color w:val="auto"/>
        </w:rPr>
        <w:t>Certification of Chief Executive Officer pursuant to Rule 13a-14(a)/15d-14(a).</w:t>
      </w:r>
    </w:p>
    <w:p>
      <w:pPr>
        <w:spacing w:after="0" w:line="279" w:lineRule="exact"/>
        <w:rPr>
          <w:sz w:val="20"/>
          <w:szCs w:val="20"/>
          <w:color w:val="auto"/>
        </w:rPr>
      </w:pPr>
    </w:p>
    <w:p>
      <w:pPr>
        <w:ind w:left="760"/>
        <w:spacing w:after="0"/>
        <w:tabs>
          <w:tab w:leader="none" w:pos="1400" w:val="left"/>
          <w:tab w:leader="none" w:pos="1740" w:val="left"/>
        </w:tabs>
        <w:rPr>
          <w:sz w:val="20"/>
          <w:szCs w:val="20"/>
          <w:color w:val="auto"/>
        </w:rPr>
      </w:pPr>
      <w:r>
        <w:rPr>
          <w:rFonts w:ascii="Arial" w:cs="Arial" w:eastAsia="Arial" w:hAnsi="Arial"/>
          <w:sz w:val="18"/>
          <w:szCs w:val="18"/>
          <w:color w:val="auto"/>
        </w:rPr>
        <w:t>*31.2</w:t>
        <w:tab/>
        <w:t>—</w:t>
      </w:r>
      <w:r>
        <w:rPr>
          <w:sz w:val="20"/>
          <w:szCs w:val="20"/>
          <w:color w:val="auto"/>
        </w:rPr>
        <w:tab/>
      </w:r>
      <w:r>
        <w:rPr>
          <w:rFonts w:ascii="Arial" w:cs="Arial" w:eastAsia="Arial" w:hAnsi="Arial"/>
          <w:sz w:val="16"/>
          <w:szCs w:val="16"/>
          <w:color w:val="auto"/>
        </w:rPr>
        <w:t>Certification of Chief Financial Officer pursuant to Rule 13a-14(a)/15d-14(a).</w:t>
      </w:r>
    </w:p>
    <w:p>
      <w:pPr>
        <w:spacing w:after="0" w:line="279" w:lineRule="exact"/>
        <w:rPr>
          <w:sz w:val="20"/>
          <w:szCs w:val="20"/>
          <w:color w:val="auto"/>
        </w:rPr>
      </w:pPr>
    </w:p>
    <w:p>
      <w:pPr>
        <w:ind w:left="1420" w:right="20" w:hanging="998"/>
        <w:spacing w:after="0" w:line="277" w:lineRule="auto"/>
        <w:tabs>
          <w:tab w:leader="none" w:pos="1400" w:val="left"/>
        </w:tabs>
        <w:rPr>
          <w:sz w:val="20"/>
          <w:szCs w:val="20"/>
          <w:color w:val="auto"/>
        </w:rPr>
      </w:pPr>
      <w:r>
        <w:rPr>
          <w:rFonts w:ascii="Arial" w:cs="Arial" w:eastAsia="Arial" w:hAnsi="Arial"/>
          <w:sz w:val="18"/>
          <w:szCs w:val="18"/>
          <w:color w:val="auto"/>
        </w:rPr>
        <w:t>*32.1</w:t>
        <w:tab/>
        <w:t>— Certification of Chief Executive Officer Pursuant to Section 18 U.S.C. Section 1350, as Adopted Pursuant to Section 906 of the Sarbanes-Oxley Act of 2002.</w:t>
      </w:r>
    </w:p>
    <w:p>
      <w:pPr>
        <w:spacing w:after="0" w:line="224" w:lineRule="exact"/>
        <w:rPr>
          <w:sz w:val="20"/>
          <w:szCs w:val="20"/>
          <w:color w:val="auto"/>
        </w:rPr>
      </w:pPr>
    </w:p>
    <w:p>
      <w:pPr>
        <w:ind w:left="1420" w:hanging="998"/>
        <w:spacing w:after="0" w:line="277" w:lineRule="auto"/>
        <w:tabs>
          <w:tab w:leader="none" w:pos="1400" w:val="left"/>
        </w:tabs>
        <w:rPr>
          <w:sz w:val="20"/>
          <w:szCs w:val="20"/>
          <w:color w:val="auto"/>
        </w:rPr>
      </w:pPr>
      <w:r>
        <w:rPr>
          <w:rFonts w:ascii="Arial" w:cs="Arial" w:eastAsia="Arial" w:hAnsi="Arial"/>
          <w:sz w:val="18"/>
          <w:szCs w:val="18"/>
          <w:color w:val="auto"/>
        </w:rPr>
        <w:t>*32.2</w:t>
        <w:tab/>
        <w:t>— Certification of Chief Financial Officer Pursuant to Section 18 U.S.C. Section 1350, as Adopted Pursuant to Section 906 of the Sarbanes-Oxley Act of 2002.</w:t>
      </w:r>
    </w:p>
    <w:p>
      <w:pPr>
        <w:spacing w:after="0" w:line="224" w:lineRule="exact"/>
        <w:rPr>
          <w:sz w:val="20"/>
          <w:szCs w:val="20"/>
          <w:color w:val="auto"/>
        </w:rPr>
      </w:pPr>
    </w:p>
    <w:p>
      <w:pPr>
        <w:ind w:left="460"/>
        <w:spacing w:after="0"/>
        <w:tabs>
          <w:tab w:leader="none" w:pos="1400" w:val="left"/>
          <w:tab w:leader="none" w:pos="1740" w:val="left"/>
        </w:tabs>
        <w:rPr>
          <w:sz w:val="20"/>
          <w:szCs w:val="20"/>
          <w:color w:val="auto"/>
        </w:rPr>
      </w:pPr>
      <w:r>
        <w:rPr>
          <w:rFonts w:ascii="Arial" w:cs="Arial" w:eastAsia="Arial" w:hAnsi="Arial"/>
          <w:sz w:val="18"/>
          <w:szCs w:val="18"/>
          <w:color w:val="auto"/>
        </w:rPr>
        <w:t>*101.INS</w:t>
        <w:tab/>
        <w:t>—</w:t>
      </w:r>
      <w:r>
        <w:rPr>
          <w:sz w:val="20"/>
          <w:szCs w:val="20"/>
          <w:color w:val="auto"/>
        </w:rPr>
        <w:tab/>
      </w:r>
      <w:r>
        <w:rPr>
          <w:rFonts w:ascii="Arial" w:cs="Arial" w:eastAsia="Arial" w:hAnsi="Arial"/>
          <w:sz w:val="16"/>
          <w:szCs w:val="16"/>
          <w:color w:val="auto"/>
        </w:rPr>
        <w:t>XBRL Instance Document</w:t>
      </w:r>
    </w:p>
    <w:p>
      <w:pPr>
        <w:spacing w:after="0" w:line="279" w:lineRule="exact"/>
        <w:rPr>
          <w:sz w:val="20"/>
          <w:szCs w:val="20"/>
          <w:color w:val="auto"/>
        </w:rPr>
      </w:pPr>
    </w:p>
    <w:p>
      <w:pPr>
        <w:ind w:left="400"/>
        <w:spacing w:after="0"/>
        <w:tabs>
          <w:tab w:leader="none" w:pos="1400" w:val="left"/>
          <w:tab w:leader="none" w:pos="1740" w:val="left"/>
        </w:tabs>
        <w:rPr>
          <w:sz w:val="20"/>
          <w:szCs w:val="20"/>
          <w:color w:val="auto"/>
        </w:rPr>
      </w:pPr>
      <w:r>
        <w:rPr>
          <w:rFonts w:ascii="Arial" w:cs="Arial" w:eastAsia="Arial" w:hAnsi="Arial"/>
          <w:sz w:val="18"/>
          <w:szCs w:val="18"/>
          <w:color w:val="auto"/>
        </w:rPr>
        <w:t>*101.SCH</w:t>
        <w:tab/>
        <w:t>—</w:t>
      </w:r>
      <w:r>
        <w:rPr>
          <w:sz w:val="20"/>
          <w:szCs w:val="20"/>
          <w:color w:val="auto"/>
        </w:rPr>
        <w:tab/>
      </w:r>
      <w:r>
        <w:rPr>
          <w:rFonts w:ascii="Arial" w:cs="Arial" w:eastAsia="Arial" w:hAnsi="Arial"/>
          <w:sz w:val="16"/>
          <w:szCs w:val="16"/>
          <w:color w:val="auto"/>
        </w:rPr>
        <w:t>XBRL Taxonomy Extension Schema Document</w:t>
      </w:r>
    </w:p>
    <w:p>
      <w:pPr>
        <w:spacing w:after="0" w:line="279" w:lineRule="exact"/>
        <w:rPr>
          <w:sz w:val="20"/>
          <w:szCs w:val="20"/>
          <w:color w:val="auto"/>
        </w:rPr>
      </w:pPr>
    </w:p>
    <w:p>
      <w:pPr>
        <w:ind w:left="400"/>
        <w:spacing w:after="0"/>
        <w:tabs>
          <w:tab w:leader="none" w:pos="1400" w:val="left"/>
          <w:tab w:leader="none" w:pos="1740" w:val="left"/>
        </w:tabs>
        <w:rPr>
          <w:sz w:val="20"/>
          <w:szCs w:val="20"/>
          <w:color w:val="auto"/>
        </w:rPr>
      </w:pPr>
      <w:r>
        <w:rPr>
          <w:rFonts w:ascii="Arial" w:cs="Arial" w:eastAsia="Arial" w:hAnsi="Arial"/>
          <w:sz w:val="18"/>
          <w:szCs w:val="18"/>
          <w:color w:val="auto"/>
        </w:rPr>
        <w:t>*101.CAL</w:t>
        <w:tab/>
        <w:t>—</w:t>
      </w:r>
      <w:r>
        <w:rPr>
          <w:sz w:val="20"/>
          <w:szCs w:val="20"/>
          <w:color w:val="auto"/>
        </w:rPr>
        <w:tab/>
      </w:r>
      <w:r>
        <w:rPr>
          <w:rFonts w:ascii="Arial" w:cs="Arial" w:eastAsia="Arial" w:hAnsi="Arial"/>
          <w:sz w:val="16"/>
          <w:szCs w:val="16"/>
          <w:color w:val="auto"/>
        </w:rPr>
        <w:t>XBRL Taxonomy Extension Calculation Linkbase Document</w:t>
      </w:r>
    </w:p>
    <w:p>
      <w:pPr>
        <w:spacing w:after="0" w:line="279" w:lineRule="exact"/>
        <w:rPr>
          <w:sz w:val="20"/>
          <w:szCs w:val="20"/>
          <w:color w:val="auto"/>
        </w:rPr>
      </w:pPr>
    </w:p>
    <w:p>
      <w:pPr>
        <w:ind w:left="420"/>
        <w:spacing w:after="0"/>
        <w:tabs>
          <w:tab w:leader="none" w:pos="1400" w:val="left"/>
          <w:tab w:leader="none" w:pos="1740" w:val="left"/>
        </w:tabs>
        <w:rPr>
          <w:sz w:val="20"/>
          <w:szCs w:val="20"/>
          <w:color w:val="auto"/>
        </w:rPr>
      </w:pPr>
      <w:r>
        <w:rPr>
          <w:rFonts w:ascii="Arial" w:cs="Arial" w:eastAsia="Arial" w:hAnsi="Arial"/>
          <w:sz w:val="18"/>
          <w:szCs w:val="18"/>
          <w:color w:val="auto"/>
        </w:rPr>
        <w:t>*101.DEF</w:t>
        <w:tab/>
        <w:t>—</w:t>
      </w:r>
      <w:r>
        <w:rPr>
          <w:sz w:val="20"/>
          <w:szCs w:val="20"/>
          <w:color w:val="auto"/>
        </w:rPr>
        <w:tab/>
      </w:r>
      <w:r>
        <w:rPr>
          <w:rFonts w:ascii="Arial" w:cs="Arial" w:eastAsia="Arial" w:hAnsi="Arial"/>
          <w:sz w:val="16"/>
          <w:szCs w:val="16"/>
          <w:color w:val="auto"/>
        </w:rPr>
        <w:t>XBRL Taxonomy Extension Definition Linkbase Document</w:t>
      </w:r>
    </w:p>
    <w:p>
      <w:pPr>
        <w:spacing w:after="0" w:line="279" w:lineRule="exact"/>
        <w:rPr>
          <w:sz w:val="20"/>
          <w:szCs w:val="20"/>
          <w:color w:val="auto"/>
        </w:rPr>
      </w:pPr>
    </w:p>
    <w:p>
      <w:pPr>
        <w:ind w:left="400"/>
        <w:spacing w:after="0"/>
        <w:tabs>
          <w:tab w:leader="none" w:pos="1400" w:val="left"/>
          <w:tab w:leader="none" w:pos="1740" w:val="left"/>
        </w:tabs>
        <w:rPr>
          <w:sz w:val="20"/>
          <w:szCs w:val="20"/>
          <w:color w:val="auto"/>
        </w:rPr>
      </w:pPr>
      <w:r>
        <w:rPr>
          <w:rFonts w:ascii="Arial" w:cs="Arial" w:eastAsia="Arial" w:hAnsi="Arial"/>
          <w:sz w:val="18"/>
          <w:szCs w:val="18"/>
          <w:color w:val="auto"/>
        </w:rPr>
        <w:t>*101.LAB</w:t>
        <w:tab/>
        <w:t>—</w:t>
      </w:r>
      <w:r>
        <w:rPr>
          <w:sz w:val="20"/>
          <w:szCs w:val="20"/>
          <w:color w:val="auto"/>
        </w:rPr>
        <w:tab/>
      </w:r>
      <w:r>
        <w:rPr>
          <w:rFonts w:ascii="Arial" w:cs="Arial" w:eastAsia="Arial" w:hAnsi="Arial"/>
          <w:sz w:val="16"/>
          <w:szCs w:val="16"/>
          <w:color w:val="auto"/>
        </w:rPr>
        <w:t>XBRL Taxonomy Extension Label Linkbase Document</w:t>
      </w:r>
    </w:p>
    <w:p>
      <w:pPr>
        <w:spacing w:after="0" w:line="279" w:lineRule="exact"/>
        <w:rPr>
          <w:sz w:val="20"/>
          <w:szCs w:val="20"/>
          <w:color w:val="auto"/>
        </w:rPr>
      </w:pPr>
    </w:p>
    <w:p>
      <w:pPr>
        <w:ind w:left="420"/>
        <w:spacing w:after="0"/>
        <w:tabs>
          <w:tab w:leader="none" w:pos="1400" w:val="left"/>
          <w:tab w:leader="none" w:pos="1740" w:val="left"/>
        </w:tabs>
        <w:rPr>
          <w:sz w:val="20"/>
          <w:szCs w:val="20"/>
          <w:color w:val="auto"/>
        </w:rPr>
      </w:pPr>
      <w:r>
        <w:rPr>
          <w:rFonts w:ascii="Arial" w:cs="Arial" w:eastAsia="Arial" w:hAnsi="Arial"/>
          <w:sz w:val="18"/>
          <w:szCs w:val="18"/>
          <w:color w:val="auto"/>
        </w:rPr>
        <w:t>*101.PRE</w:t>
        <w:tab/>
        <w:t>—</w:t>
      </w:r>
      <w:r>
        <w:rPr>
          <w:sz w:val="20"/>
          <w:szCs w:val="20"/>
          <w:color w:val="auto"/>
        </w:rPr>
        <w:tab/>
      </w: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0890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931" w:right="25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860" w:type="dxa"/>
            <w:vAlign w:val="bottom"/>
            <w:gridSpan w:val="2"/>
          </w:tcPr>
          <w:p>
            <w:pPr>
              <w:ind w:left="1860"/>
              <w:spacing w:after="0"/>
              <w:rPr>
                <w:sz w:val="20"/>
                <w:szCs w:val="20"/>
                <w:color w:val="auto"/>
              </w:rPr>
            </w:pPr>
            <w:r>
              <w:rPr>
                <w:rFonts w:ascii="Arial" w:cs="Arial" w:eastAsia="Arial" w:hAnsi="Arial"/>
                <w:sz w:val="18"/>
                <w:szCs w:val="18"/>
                <w:color w:val="auto"/>
              </w:rPr>
              <w:t>POWELL INDUSTRIES, INC.</w:t>
            </w:r>
          </w:p>
        </w:tc>
      </w:tr>
      <w:tr>
        <w:trPr>
          <w:trHeight w:val="270"/>
        </w:trPr>
        <w:tc>
          <w:tcPr>
            <w:tcW w:w="3520" w:type="dxa"/>
            <w:vAlign w:val="bottom"/>
          </w:tcPr>
          <w:p>
            <w:pPr>
              <w:spacing w:after="0"/>
              <w:rPr>
                <w:sz w:val="23"/>
                <w:szCs w:val="23"/>
                <w:color w:val="auto"/>
              </w:rPr>
            </w:pPr>
          </w:p>
        </w:tc>
        <w:tc>
          <w:tcPr>
            <w:tcW w:w="7860" w:type="dxa"/>
            <w:vAlign w:val="bottom"/>
            <w:gridSpan w:val="2"/>
          </w:tcPr>
          <w:p>
            <w:pPr>
              <w:ind w:left="1860"/>
              <w:spacing w:after="0"/>
              <w:rPr>
                <w:sz w:val="20"/>
                <w:szCs w:val="20"/>
                <w:color w:val="auto"/>
              </w:rPr>
            </w:pPr>
            <w:r>
              <w:rPr>
                <w:rFonts w:ascii="Arial" w:cs="Arial" w:eastAsia="Arial" w:hAnsi="Arial"/>
                <w:sz w:val="18"/>
                <w:szCs w:val="18"/>
                <w:color w:val="auto"/>
              </w:rPr>
              <w:t>(Registrant)</w:t>
            </w:r>
          </w:p>
        </w:tc>
      </w:tr>
      <w:tr>
        <w:trPr>
          <w:trHeight w:val="540"/>
        </w:trPr>
        <w:tc>
          <w:tcPr>
            <w:tcW w:w="3520" w:type="dxa"/>
            <w:vAlign w:val="bottom"/>
          </w:tcPr>
          <w:p>
            <w:pPr>
              <w:spacing w:after="0"/>
              <w:rPr>
                <w:sz w:val="20"/>
                <w:szCs w:val="20"/>
                <w:color w:val="auto"/>
              </w:rPr>
            </w:pPr>
            <w:r>
              <w:rPr>
                <w:rFonts w:ascii="Arial" w:cs="Arial" w:eastAsia="Arial" w:hAnsi="Arial"/>
                <w:sz w:val="18"/>
                <w:szCs w:val="18"/>
                <w:color w:val="auto"/>
              </w:rPr>
              <w:t>Date: February 8, 2017</w:t>
            </w:r>
          </w:p>
        </w:tc>
        <w:tc>
          <w:tcPr>
            <w:tcW w:w="2620" w:type="dxa"/>
            <w:vAlign w:val="bottom"/>
          </w:tcPr>
          <w:p>
            <w:pPr>
              <w:ind w:left="1860"/>
              <w:spacing w:after="0"/>
              <w:rPr>
                <w:sz w:val="20"/>
                <w:szCs w:val="20"/>
                <w:color w:val="auto"/>
              </w:rPr>
            </w:pPr>
            <w:r>
              <w:rPr>
                <w:rFonts w:ascii="Arial" w:cs="Arial" w:eastAsia="Arial" w:hAnsi="Arial"/>
                <w:sz w:val="18"/>
                <w:szCs w:val="18"/>
                <w:color w:val="auto"/>
              </w:rPr>
              <w:t>By:</w:t>
            </w:r>
          </w:p>
        </w:tc>
        <w:tc>
          <w:tcPr>
            <w:tcW w:w="5240" w:type="dxa"/>
            <w:vAlign w:val="bottom"/>
          </w:tcPr>
          <w:p>
            <w:pPr>
              <w:ind w:left="20"/>
              <w:spacing w:after="0"/>
              <w:rPr>
                <w:sz w:val="20"/>
                <w:szCs w:val="20"/>
                <w:color w:val="auto"/>
              </w:rPr>
            </w:pPr>
            <w:r>
              <w:rPr>
                <w:rFonts w:ascii="Arial" w:cs="Arial" w:eastAsia="Arial" w:hAnsi="Arial"/>
                <w:sz w:val="18"/>
                <w:szCs w:val="18"/>
                <w:color w:val="auto"/>
              </w:rPr>
              <w:t>/s/ Brett A. Cope</w:t>
            </w:r>
          </w:p>
        </w:tc>
      </w:tr>
      <w:tr>
        <w:trPr>
          <w:trHeight w:val="27"/>
        </w:trPr>
        <w:tc>
          <w:tcPr>
            <w:tcW w:w="35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35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5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40"/>
        </w:trPr>
        <w:tc>
          <w:tcPr>
            <w:tcW w:w="3520" w:type="dxa"/>
            <w:vAlign w:val="bottom"/>
          </w:tcPr>
          <w:p>
            <w:pPr>
              <w:spacing w:after="0"/>
              <w:rPr>
                <w:sz w:val="24"/>
                <w:szCs w:val="24"/>
                <w:color w:val="auto"/>
              </w:rPr>
            </w:pPr>
          </w:p>
        </w:tc>
        <w:tc>
          <w:tcPr>
            <w:tcW w:w="2620" w:type="dxa"/>
            <w:vAlign w:val="bottom"/>
          </w:tcPr>
          <w:p>
            <w:pPr>
              <w:ind w:left="1860"/>
              <w:spacing w:after="0"/>
              <w:rPr>
                <w:sz w:val="20"/>
                <w:szCs w:val="20"/>
                <w:color w:val="auto"/>
              </w:rPr>
            </w:pPr>
            <w:r>
              <w:rPr>
                <w:rFonts w:ascii="Arial" w:cs="Arial" w:eastAsia="Arial" w:hAnsi="Arial"/>
                <w:sz w:val="18"/>
                <w:szCs w:val="18"/>
                <w:color w:val="auto"/>
              </w:rPr>
              <w:t>By:</w:t>
            </w:r>
          </w:p>
        </w:tc>
        <w:tc>
          <w:tcPr>
            <w:tcW w:w="5240" w:type="dxa"/>
            <w:vAlign w:val="bottom"/>
          </w:tcPr>
          <w:p>
            <w:pPr>
              <w:ind w:left="20"/>
              <w:spacing w:after="0"/>
              <w:rPr>
                <w:sz w:val="20"/>
                <w:szCs w:val="20"/>
                <w:color w:val="auto"/>
              </w:rPr>
            </w:pPr>
            <w:r>
              <w:rPr>
                <w:rFonts w:ascii="Arial" w:cs="Arial" w:eastAsia="Arial" w:hAnsi="Arial"/>
                <w:sz w:val="18"/>
                <w:szCs w:val="18"/>
                <w:color w:val="auto"/>
              </w:rPr>
              <w:t>/s/ Don R. Madison</w:t>
            </w:r>
          </w:p>
        </w:tc>
      </w:tr>
      <w:tr>
        <w:trPr>
          <w:trHeight w:val="27"/>
        </w:trPr>
        <w:tc>
          <w:tcPr>
            <w:tcW w:w="35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35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Don R. Madison</w:t>
            </w:r>
          </w:p>
        </w:tc>
      </w:tr>
      <w:tr>
        <w:trPr>
          <w:trHeight w:val="270"/>
        </w:trPr>
        <w:tc>
          <w:tcPr>
            <w:tcW w:w="35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Executive Vice President</w:t>
            </w:r>
          </w:p>
        </w:tc>
      </w:tr>
    </w:tbl>
    <w:p>
      <w:pPr>
        <w:spacing w:after="0" w:line="4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and Administrative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0"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10" w:lineRule="exact"/>
        <w:rPr>
          <w:sz w:val="20"/>
          <w:szCs w:val="20"/>
          <w:color w:val="auto"/>
        </w:rPr>
      </w:pPr>
    </w:p>
    <w:p>
      <w:pPr>
        <w:spacing w:after="0"/>
        <w:tabs>
          <w:tab w:leader="none" w:pos="61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Exhibit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ind w:left="1380" w:right="20" w:hanging="818"/>
        <w:spacing w:after="0" w:line="293" w:lineRule="auto"/>
        <w:tabs>
          <w:tab w:leader="none" w:pos="1360" w:val="left"/>
        </w:tabs>
        <w:rPr>
          <w:sz w:val="20"/>
          <w:szCs w:val="20"/>
          <w:color w:val="auto"/>
        </w:rPr>
      </w:pPr>
      <w:r>
        <w:rPr>
          <w:rFonts w:ascii="Arial" w:cs="Arial" w:eastAsia="Arial" w:hAnsi="Arial"/>
          <w:sz w:val="18"/>
          <w:szCs w:val="18"/>
          <w:color w:val="auto"/>
        </w:rPr>
        <w:t>3.1</w:t>
        <w:tab/>
        <w:t>— Certificate of Incorporation of Powell Industries, Inc. filed with the Secretary of State of the State of Delaware on February 11, 2004 (filed as Exhibit 3.1 to our Form 8-A/A filed November 1, 2004, and incorporated herein by reference).</w:t>
      </w:r>
    </w:p>
    <w:p>
      <w:pPr>
        <w:spacing w:after="0" w:line="210" w:lineRule="exact"/>
        <w:rPr>
          <w:sz w:val="20"/>
          <w:szCs w:val="20"/>
          <w:color w:val="auto"/>
        </w:rPr>
      </w:pPr>
    </w:p>
    <w:p>
      <w:pPr>
        <w:ind w:left="1380" w:hanging="818"/>
        <w:spacing w:after="0" w:line="277" w:lineRule="auto"/>
        <w:tabs>
          <w:tab w:leader="none" w:pos="1360" w:val="left"/>
        </w:tabs>
        <w:rPr>
          <w:sz w:val="20"/>
          <w:szCs w:val="20"/>
          <w:color w:val="auto"/>
        </w:rPr>
      </w:pPr>
      <w:r>
        <w:rPr>
          <w:rFonts w:ascii="Arial" w:cs="Arial" w:eastAsia="Arial" w:hAnsi="Arial"/>
          <w:sz w:val="18"/>
          <w:szCs w:val="18"/>
          <w:color w:val="auto"/>
        </w:rPr>
        <w:t>3.2</w:t>
        <w:tab/>
        <w:t>— Amended and Restated Bylaws of Powell Industries, Inc. (filed as Exhibit 3.1 to our Form 8-K filed October 12, 2012, and incorporated herein by reference).</w:t>
      </w:r>
    </w:p>
    <w:p>
      <w:pPr>
        <w:spacing w:after="0" w:line="279" w:lineRule="exact"/>
        <w:rPr>
          <w:sz w:val="20"/>
          <w:szCs w:val="20"/>
          <w:color w:val="auto"/>
        </w:rPr>
      </w:pPr>
    </w:p>
    <w:p>
      <w:pPr>
        <w:ind w:left="720"/>
        <w:spacing w:after="0"/>
        <w:tabs>
          <w:tab w:leader="none" w:pos="1360" w:val="left"/>
          <w:tab w:leader="none" w:pos="1700" w:val="left"/>
        </w:tabs>
        <w:rPr>
          <w:sz w:val="20"/>
          <w:szCs w:val="20"/>
          <w:color w:val="auto"/>
        </w:rPr>
      </w:pPr>
      <w:r>
        <w:rPr>
          <w:rFonts w:ascii="Arial" w:cs="Arial" w:eastAsia="Arial" w:hAnsi="Arial"/>
          <w:sz w:val="18"/>
          <w:szCs w:val="18"/>
          <w:color w:val="auto"/>
        </w:rPr>
        <w:t>*31.1</w:t>
        <w:tab/>
        <w:t>—</w:t>
      </w:r>
      <w:r>
        <w:rPr>
          <w:sz w:val="20"/>
          <w:szCs w:val="20"/>
          <w:color w:val="auto"/>
        </w:rPr>
        <w:tab/>
      </w:r>
      <w:r>
        <w:rPr>
          <w:rFonts w:ascii="Arial" w:cs="Arial" w:eastAsia="Arial" w:hAnsi="Arial"/>
          <w:sz w:val="16"/>
          <w:szCs w:val="16"/>
          <w:color w:val="auto"/>
        </w:rPr>
        <w:t>Certification of Chief Executive Officer pursuant to Rule 13a-14(a)/15d-14(a).</w:t>
      </w:r>
    </w:p>
    <w:p>
      <w:pPr>
        <w:spacing w:after="0" w:line="279" w:lineRule="exact"/>
        <w:rPr>
          <w:sz w:val="20"/>
          <w:szCs w:val="20"/>
          <w:color w:val="auto"/>
        </w:rPr>
      </w:pPr>
    </w:p>
    <w:p>
      <w:pPr>
        <w:ind w:left="720"/>
        <w:spacing w:after="0"/>
        <w:tabs>
          <w:tab w:leader="none" w:pos="1360" w:val="left"/>
          <w:tab w:leader="none" w:pos="1700" w:val="left"/>
        </w:tabs>
        <w:rPr>
          <w:sz w:val="20"/>
          <w:szCs w:val="20"/>
          <w:color w:val="auto"/>
        </w:rPr>
      </w:pPr>
      <w:r>
        <w:rPr>
          <w:rFonts w:ascii="Arial" w:cs="Arial" w:eastAsia="Arial" w:hAnsi="Arial"/>
          <w:sz w:val="18"/>
          <w:szCs w:val="18"/>
          <w:color w:val="auto"/>
        </w:rPr>
        <w:t>*31.2</w:t>
        <w:tab/>
        <w:t>—</w:t>
      </w:r>
      <w:r>
        <w:rPr>
          <w:sz w:val="20"/>
          <w:szCs w:val="20"/>
          <w:color w:val="auto"/>
        </w:rPr>
        <w:tab/>
      </w:r>
      <w:r>
        <w:rPr>
          <w:rFonts w:ascii="Arial" w:cs="Arial" w:eastAsia="Arial" w:hAnsi="Arial"/>
          <w:sz w:val="16"/>
          <w:szCs w:val="16"/>
          <w:color w:val="auto"/>
        </w:rPr>
        <w:t>Certification of Chief Financial Officer pursuant to Rule 13a-14(a)/15d-14(a).</w:t>
      </w:r>
    </w:p>
    <w:p>
      <w:pPr>
        <w:spacing w:after="0" w:line="279" w:lineRule="exact"/>
        <w:rPr>
          <w:sz w:val="20"/>
          <w:szCs w:val="20"/>
          <w:color w:val="auto"/>
        </w:rPr>
      </w:pPr>
    </w:p>
    <w:p>
      <w:pPr>
        <w:ind w:left="1380" w:right="20" w:hanging="998"/>
        <w:spacing w:after="0" w:line="277" w:lineRule="auto"/>
        <w:tabs>
          <w:tab w:leader="none" w:pos="1360" w:val="left"/>
        </w:tabs>
        <w:rPr>
          <w:sz w:val="20"/>
          <w:szCs w:val="20"/>
          <w:color w:val="auto"/>
        </w:rPr>
      </w:pPr>
      <w:r>
        <w:rPr>
          <w:rFonts w:ascii="Arial" w:cs="Arial" w:eastAsia="Arial" w:hAnsi="Arial"/>
          <w:sz w:val="18"/>
          <w:szCs w:val="18"/>
          <w:color w:val="auto"/>
        </w:rPr>
        <w:t>*32.1</w:t>
        <w:tab/>
        <w:t>— Certification of Chief Executive Officer Pursuant to Section 18 U.S.C. Section 1350, as Adopted Pursuant to Section 906 of the Sarbanes-Oxley Act of 2002.</w:t>
      </w:r>
    </w:p>
    <w:p>
      <w:pPr>
        <w:spacing w:after="0" w:line="224" w:lineRule="exact"/>
        <w:rPr>
          <w:sz w:val="20"/>
          <w:szCs w:val="20"/>
          <w:color w:val="auto"/>
        </w:rPr>
      </w:pPr>
    </w:p>
    <w:p>
      <w:pPr>
        <w:ind w:left="1380" w:hanging="998"/>
        <w:spacing w:after="0" w:line="277" w:lineRule="auto"/>
        <w:tabs>
          <w:tab w:leader="none" w:pos="1360" w:val="left"/>
        </w:tabs>
        <w:rPr>
          <w:sz w:val="20"/>
          <w:szCs w:val="20"/>
          <w:color w:val="auto"/>
        </w:rPr>
      </w:pPr>
      <w:r>
        <w:rPr>
          <w:rFonts w:ascii="Arial" w:cs="Arial" w:eastAsia="Arial" w:hAnsi="Arial"/>
          <w:sz w:val="18"/>
          <w:szCs w:val="18"/>
          <w:color w:val="auto"/>
        </w:rPr>
        <w:t>*32.2</w:t>
        <w:tab/>
        <w:t>— Certification of Chief Financial Officer Pursuant to Section 18 U.S.C. Section 1350, as Adopted Pursuant to Section 906 of the Sarbanes-Oxley Act of 2002.</w:t>
      </w:r>
    </w:p>
    <w:p>
      <w:pPr>
        <w:spacing w:after="0" w:line="224" w:lineRule="exact"/>
        <w:rPr>
          <w:sz w:val="20"/>
          <w:szCs w:val="20"/>
          <w:color w:val="auto"/>
        </w:rPr>
      </w:pPr>
    </w:p>
    <w:p>
      <w:pPr>
        <w:ind w:left="420"/>
        <w:spacing w:after="0"/>
        <w:tabs>
          <w:tab w:leader="none" w:pos="1360" w:val="left"/>
          <w:tab w:leader="none" w:pos="1700" w:val="left"/>
        </w:tabs>
        <w:rPr>
          <w:sz w:val="20"/>
          <w:szCs w:val="20"/>
          <w:color w:val="auto"/>
        </w:rPr>
      </w:pPr>
      <w:r>
        <w:rPr>
          <w:rFonts w:ascii="Arial" w:cs="Arial" w:eastAsia="Arial" w:hAnsi="Arial"/>
          <w:sz w:val="18"/>
          <w:szCs w:val="18"/>
          <w:color w:val="auto"/>
        </w:rPr>
        <w:t>*101.INS</w:t>
        <w:tab/>
        <w:t>—</w:t>
      </w:r>
      <w:r>
        <w:rPr>
          <w:sz w:val="20"/>
          <w:szCs w:val="20"/>
          <w:color w:val="auto"/>
        </w:rPr>
        <w:tab/>
      </w:r>
      <w:r>
        <w:rPr>
          <w:rFonts w:ascii="Arial" w:cs="Arial" w:eastAsia="Arial" w:hAnsi="Arial"/>
          <w:sz w:val="16"/>
          <w:szCs w:val="16"/>
          <w:color w:val="auto"/>
        </w:rPr>
        <w:t>XBRL Instance Document</w:t>
      </w:r>
    </w:p>
    <w:p>
      <w:pPr>
        <w:spacing w:after="0" w:line="279" w:lineRule="exact"/>
        <w:rPr>
          <w:sz w:val="20"/>
          <w:szCs w:val="20"/>
          <w:color w:val="auto"/>
        </w:rPr>
      </w:pPr>
    </w:p>
    <w:p>
      <w:pPr>
        <w:ind w:left="360"/>
        <w:spacing w:after="0"/>
        <w:tabs>
          <w:tab w:leader="none" w:pos="1360" w:val="left"/>
          <w:tab w:leader="none" w:pos="1700" w:val="left"/>
        </w:tabs>
        <w:rPr>
          <w:sz w:val="20"/>
          <w:szCs w:val="20"/>
          <w:color w:val="auto"/>
        </w:rPr>
      </w:pPr>
      <w:r>
        <w:rPr>
          <w:rFonts w:ascii="Arial" w:cs="Arial" w:eastAsia="Arial" w:hAnsi="Arial"/>
          <w:sz w:val="18"/>
          <w:szCs w:val="18"/>
          <w:color w:val="auto"/>
        </w:rPr>
        <w:t>*101.SCH</w:t>
        <w:tab/>
        <w:t>—</w:t>
      </w:r>
      <w:r>
        <w:rPr>
          <w:sz w:val="20"/>
          <w:szCs w:val="20"/>
          <w:color w:val="auto"/>
        </w:rPr>
        <w:tab/>
      </w:r>
      <w:r>
        <w:rPr>
          <w:rFonts w:ascii="Arial" w:cs="Arial" w:eastAsia="Arial" w:hAnsi="Arial"/>
          <w:sz w:val="16"/>
          <w:szCs w:val="16"/>
          <w:color w:val="auto"/>
        </w:rPr>
        <w:t>XBRL Taxonomy Extension Schema Document</w:t>
      </w:r>
    </w:p>
    <w:p>
      <w:pPr>
        <w:spacing w:after="0" w:line="279" w:lineRule="exact"/>
        <w:rPr>
          <w:sz w:val="20"/>
          <w:szCs w:val="20"/>
          <w:color w:val="auto"/>
        </w:rPr>
      </w:pPr>
    </w:p>
    <w:p>
      <w:pPr>
        <w:ind w:left="360"/>
        <w:spacing w:after="0"/>
        <w:tabs>
          <w:tab w:leader="none" w:pos="1360" w:val="left"/>
          <w:tab w:leader="none" w:pos="1700" w:val="left"/>
        </w:tabs>
        <w:rPr>
          <w:sz w:val="20"/>
          <w:szCs w:val="20"/>
          <w:color w:val="auto"/>
        </w:rPr>
      </w:pPr>
      <w:r>
        <w:rPr>
          <w:rFonts w:ascii="Arial" w:cs="Arial" w:eastAsia="Arial" w:hAnsi="Arial"/>
          <w:sz w:val="18"/>
          <w:szCs w:val="18"/>
          <w:color w:val="auto"/>
        </w:rPr>
        <w:t>*101.CAL</w:t>
        <w:tab/>
        <w:t>—</w:t>
      </w:r>
      <w:r>
        <w:rPr>
          <w:sz w:val="20"/>
          <w:szCs w:val="20"/>
          <w:color w:val="auto"/>
        </w:rPr>
        <w:tab/>
      </w:r>
      <w:r>
        <w:rPr>
          <w:rFonts w:ascii="Arial" w:cs="Arial" w:eastAsia="Arial" w:hAnsi="Arial"/>
          <w:sz w:val="16"/>
          <w:szCs w:val="16"/>
          <w:color w:val="auto"/>
        </w:rPr>
        <w:t>XBRL Taxonomy Extension Calculation Linkbase Document</w:t>
      </w:r>
    </w:p>
    <w:p>
      <w:pPr>
        <w:spacing w:after="0" w:line="279" w:lineRule="exact"/>
        <w:rPr>
          <w:sz w:val="20"/>
          <w:szCs w:val="20"/>
          <w:color w:val="auto"/>
        </w:rPr>
      </w:pPr>
    </w:p>
    <w:p>
      <w:pPr>
        <w:ind w:left="380"/>
        <w:spacing w:after="0"/>
        <w:tabs>
          <w:tab w:leader="none" w:pos="1360" w:val="left"/>
          <w:tab w:leader="none" w:pos="1700" w:val="left"/>
        </w:tabs>
        <w:rPr>
          <w:sz w:val="20"/>
          <w:szCs w:val="20"/>
          <w:color w:val="auto"/>
        </w:rPr>
      </w:pPr>
      <w:r>
        <w:rPr>
          <w:rFonts w:ascii="Arial" w:cs="Arial" w:eastAsia="Arial" w:hAnsi="Arial"/>
          <w:sz w:val="18"/>
          <w:szCs w:val="18"/>
          <w:color w:val="auto"/>
        </w:rPr>
        <w:t>*101.DEF</w:t>
        <w:tab/>
        <w:t>—</w:t>
      </w:r>
      <w:r>
        <w:rPr>
          <w:sz w:val="20"/>
          <w:szCs w:val="20"/>
          <w:color w:val="auto"/>
        </w:rPr>
        <w:tab/>
      </w:r>
      <w:r>
        <w:rPr>
          <w:rFonts w:ascii="Arial" w:cs="Arial" w:eastAsia="Arial" w:hAnsi="Arial"/>
          <w:sz w:val="16"/>
          <w:szCs w:val="16"/>
          <w:color w:val="auto"/>
        </w:rPr>
        <w:t>XBRL Taxonomy Extension Definition Linkbase Document</w:t>
      </w:r>
    </w:p>
    <w:p>
      <w:pPr>
        <w:spacing w:after="0" w:line="279" w:lineRule="exact"/>
        <w:rPr>
          <w:sz w:val="20"/>
          <w:szCs w:val="20"/>
          <w:color w:val="auto"/>
        </w:rPr>
      </w:pPr>
    </w:p>
    <w:p>
      <w:pPr>
        <w:ind w:left="360"/>
        <w:spacing w:after="0"/>
        <w:tabs>
          <w:tab w:leader="none" w:pos="1360" w:val="left"/>
          <w:tab w:leader="none" w:pos="1700" w:val="left"/>
        </w:tabs>
        <w:rPr>
          <w:sz w:val="20"/>
          <w:szCs w:val="20"/>
          <w:color w:val="auto"/>
        </w:rPr>
      </w:pPr>
      <w:r>
        <w:rPr>
          <w:rFonts w:ascii="Arial" w:cs="Arial" w:eastAsia="Arial" w:hAnsi="Arial"/>
          <w:sz w:val="18"/>
          <w:szCs w:val="18"/>
          <w:color w:val="auto"/>
        </w:rPr>
        <w:t>*101.LAB</w:t>
        <w:tab/>
        <w:t>—</w:t>
      </w:r>
      <w:r>
        <w:rPr>
          <w:sz w:val="20"/>
          <w:szCs w:val="20"/>
          <w:color w:val="auto"/>
        </w:rPr>
        <w:tab/>
      </w:r>
      <w:r>
        <w:rPr>
          <w:rFonts w:ascii="Arial" w:cs="Arial" w:eastAsia="Arial" w:hAnsi="Arial"/>
          <w:sz w:val="16"/>
          <w:szCs w:val="16"/>
          <w:color w:val="auto"/>
        </w:rPr>
        <w:t>XBRL Taxonomy Extension Label Linkbase Document</w:t>
      </w:r>
    </w:p>
    <w:p>
      <w:pPr>
        <w:spacing w:after="0" w:line="279" w:lineRule="exact"/>
        <w:rPr>
          <w:sz w:val="20"/>
          <w:szCs w:val="20"/>
          <w:color w:val="auto"/>
        </w:rPr>
      </w:pPr>
    </w:p>
    <w:p>
      <w:pPr>
        <w:ind w:left="380"/>
        <w:spacing w:after="0"/>
        <w:tabs>
          <w:tab w:leader="none" w:pos="1360" w:val="left"/>
          <w:tab w:leader="none" w:pos="1700" w:val="left"/>
        </w:tabs>
        <w:rPr>
          <w:sz w:val="20"/>
          <w:szCs w:val="20"/>
          <w:color w:val="auto"/>
        </w:rPr>
      </w:pPr>
      <w:r>
        <w:rPr>
          <w:rFonts w:ascii="Arial" w:cs="Arial" w:eastAsia="Arial" w:hAnsi="Arial"/>
          <w:sz w:val="18"/>
          <w:szCs w:val="18"/>
          <w:color w:val="auto"/>
        </w:rPr>
        <w:t>*101.PRE</w:t>
        <w:tab/>
        <w:t>—</w:t>
      </w:r>
      <w:r>
        <w:rPr>
          <w:sz w:val="20"/>
          <w:szCs w:val="20"/>
          <w:color w:val="auto"/>
        </w:rPr>
        <w:tab/>
      </w: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109220</wp:posOffset>
            </wp:positionV>
            <wp:extent cx="10890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80" w:top="580" w:right="259" w:bottom="1440" w:gutter="0" w:footer="0" w:header="0"/>
        </w:sectPr>
      </w:pPr>
    </w:p>
    <w:bookmarkStart w:id="27" w:name="page28"/>
    <w:bookmarkEnd w:id="27"/>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 Brett A. Cope, certify that:</w:t>
      </w:r>
    </w:p>
    <w:p>
      <w:pPr>
        <w:spacing w:after="0" w:line="19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Powell Industries, Inc.;</w:t>
      </w:r>
    </w:p>
    <w:p>
      <w:pPr>
        <w:spacing w:after="0" w:line="194"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2"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91" w:lineRule="exact"/>
        <w:rPr>
          <w:rFonts w:ascii="Arial" w:cs="Arial" w:eastAsia="Arial" w:hAnsi="Arial"/>
          <w:sz w:val="14"/>
          <w:szCs w:val="14"/>
          <w:color w:val="auto"/>
        </w:rPr>
      </w:pPr>
    </w:p>
    <w:p>
      <w:pPr>
        <w:ind w:left="1300" w:right="200" w:hanging="320"/>
        <w:spacing w:after="0" w:line="261"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6"/>
          <w:szCs w:val="16"/>
          <w:color w:val="auto"/>
        </w:rPr>
      </w:pPr>
    </w:p>
    <w:p>
      <w:pPr>
        <w:ind w:left="1300" w:right="80" w:hanging="320"/>
        <w:spacing w:after="0" w:line="261"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1300" w:right="100" w:hanging="320"/>
        <w:spacing w:after="0" w:line="275"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jc w:val="both"/>
        <w:ind w:left="1300" w:right="60" w:hanging="320"/>
        <w:spacing w:after="0" w:line="261"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660" w:right="480" w:hanging="328"/>
        <w:spacing w:after="0" w:line="275"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300" w:hanging="320"/>
        <w:spacing w:after="0" w:line="275"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1300" w:right="520" w:hanging="320"/>
        <w:spacing w:after="0" w:line="275"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5740"/>
        <w:spacing w:after="0"/>
        <w:rPr>
          <w:sz w:val="20"/>
          <w:szCs w:val="20"/>
          <w:color w:val="auto"/>
        </w:rPr>
      </w:pPr>
      <w:r>
        <w:rPr>
          <w:rFonts w:ascii="Arial" w:cs="Arial" w:eastAsia="Arial" w:hAnsi="Arial"/>
          <w:sz w:val="16"/>
          <w:szCs w:val="16"/>
          <w:u w:val="single" w:color="auto"/>
          <w:color w:val="auto"/>
        </w:rPr>
        <w:t>/s/ Brett A. Cope</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Brett A. Cope</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President and Chief Executive Officer</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(Principal Executive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8, 2017</w:t>
      </w:r>
    </w:p>
    <w:p>
      <w:pPr>
        <w:sectPr>
          <w:pgSz w:w="11900" w:h="16838" w:orient="portrait"/>
          <w:cols w:equalWidth="0" w:num="1">
            <w:col w:w="11420"/>
          </w:cols>
          <w:pgMar w:left="240" w:top="58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 Don R. Madison, certify that:</w:t>
      </w:r>
    </w:p>
    <w:p>
      <w:pPr>
        <w:spacing w:after="0" w:line="19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Powell Industries, Inc.;</w:t>
      </w:r>
    </w:p>
    <w:p>
      <w:pPr>
        <w:spacing w:after="0" w:line="194"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2"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91" w:lineRule="exact"/>
        <w:rPr>
          <w:rFonts w:ascii="Arial" w:cs="Arial" w:eastAsia="Arial" w:hAnsi="Arial"/>
          <w:sz w:val="14"/>
          <w:szCs w:val="14"/>
          <w:color w:val="auto"/>
        </w:rPr>
      </w:pPr>
    </w:p>
    <w:p>
      <w:pPr>
        <w:ind w:left="1300" w:right="200" w:hanging="320"/>
        <w:spacing w:after="0" w:line="26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6"/>
          <w:szCs w:val="16"/>
          <w:color w:val="auto"/>
        </w:rPr>
      </w:pPr>
    </w:p>
    <w:p>
      <w:pPr>
        <w:ind w:left="1300" w:right="80" w:hanging="320"/>
        <w:spacing w:after="0" w:line="26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1300" w:right="100" w:hanging="320"/>
        <w:spacing w:after="0" w:line="275"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jc w:val="both"/>
        <w:ind w:left="1300" w:right="60" w:hanging="320"/>
        <w:spacing w:after="0" w:line="26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660" w:right="480" w:hanging="328"/>
        <w:spacing w:after="0" w:line="27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300" w:hanging="320"/>
        <w:spacing w:after="0" w:line="275"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1300" w:right="520" w:hanging="320"/>
        <w:spacing w:after="0" w:line="275"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5740"/>
        <w:spacing w:after="0"/>
        <w:rPr>
          <w:sz w:val="20"/>
          <w:szCs w:val="20"/>
          <w:color w:val="auto"/>
        </w:rPr>
      </w:pPr>
      <w:r>
        <w:rPr>
          <w:rFonts w:ascii="Arial" w:cs="Arial" w:eastAsia="Arial" w:hAnsi="Arial"/>
          <w:sz w:val="16"/>
          <w:szCs w:val="16"/>
          <w:u w:val="single" w:color="auto"/>
          <w:color w:val="auto"/>
        </w:rPr>
        <w:t>/s/ Don R. Madison</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Don R. Madison</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Executive Vice President</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Chief Financial and Administrative Officer</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(Principal Financial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8, 2017</w:t>
      </w:r>
    </w:p>
    <w:p>
      <w:pPr>
        <w:sectPr>
          <w:pgSz w:w="11900" w:h="16838" w:orient="portrait"/>
          <w:cols w:equalWidth="0" w:num="1">
            <w:col w:w="11420"/>
          </w:cols>
          <w:pgMar w:left="240" w:top="58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In connection with this Quarterly Report (the “Report”) on Form 10-Q of Powell Industries, Inc. (the “Company”) for the quarter ended December 31, 2016, as filed with the Securities and Exchange Commission on the date hereof, I, Brett A. Cope,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represents, in all material respects, the financial condition and results of operations of the Company.</w:t>
      </w:r>
    </w:p>
    <w:p>
      <w:pPr>
        <w:spacing w:after="0" w:line="356" w:lineRule="exact"/>
        <w:rPr>
          <w:sz w:val="20"/>
          <w:szCs w:val="20"/>
          <w:color w:val="auto"/>
        </w:rPr>
      </w:pPr>
    </w:p>
    <w:p>
      <w:pPr>
        <w:ind w:left="5740"/>
        <w:spacing w:after="0"/>
        <w:rPr>
          <w:sz w:val="20"/>
          <w:szCs w:val="20"/>
          <w:color w:val="auto"/>
        </w:rPr>
      </w:pPr>
      <w:r>
        <w:rPr>
          <w:rFonts w:ascii="Arial" w:cs="Arial" w:eastAsia="Arial" w:hAnsi="Arial"/>
          <w:sz w:val="16"/>
          <w:szCs w:val="16"/>
          <w:u w:val="single" w:color="auto"/>
          <w:color w:val="auto"/>
        </w:rPr>
        <w:t>/s/ Brett A. Cope</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Brett A. Cope</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President and Chief Executive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8, 2017</w:t>
      </w:r>
    </w:p>
    <w:p>
      <w:pPr>
        <w:sectPr>
          <w:pgSz w:w="11900" w:h="16838" w:orient="portrait"/>
          <w:cols w:equalWidth="0" w:num="1">
            <w:col w:w="11420"/>
          </w:cols>
          <w:pgMar w:left="240" w:top="58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connection with this Quarterly Report (the “Report”) on Form 10-Q of Powell Industries, Inc. (the “Company”) for the quarter ended December 31, 2016, as filed with the Securities and Exchange Commission on the date hereof, I, Don R. Madison, Executive Vice President and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represents, in all material respects, the financial condition and results of operations of the Company.</w:t>
      </w:r>
    </w:p>
    <w:p>
      <w:pPr>
        <w:spacing w:after="0" w:line="388" w:lineRule="exact"/>
        <w:rPr>
          <w:sz w:val="20"/>
          <w:szCs w:val="20"/>
          <w:color w:val="auto"/>
        </w:rPr>
      </w:pPr>
    </w:p>
    <w:p>
      <w:pPr>
        <w:ind w:left="5740"/>
        <w:spacing w:after="0"/>
        <w:rPr>
          <w:sz w:val="20"/>
          <w:szCs w:val="20"/>
          <w:color w:val="auto"/>
        </w:rPr>
      </w:pPr>
      <w:r>
        <w:rPr>
          <w:rFonts w:ascii="Arial" w:cs="Arial" w:eastAsia="Arial" w:hAnsi="Arial"/>
          <w:sz w:val="16"/>
          <w:szCs w:val="16"/>
          <w:u w:val="single" w:color="auto"/>
          <w:color w:val="auto"/>
        </w:rPr>
        <w:t>/s/ Don R. Madison</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Don R. Madison</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Executive Vice President</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Chief Financial and Administrative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8, 2017</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2019-12-29T07:52:21Z</dcterms:created>
  <dcterms:modified xsi:type="dcterms:W3CDTF">2019-12-29T07:52:21Z</dcterms:modified>
</cp:coreProperties>
</file>