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877570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852170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3"/>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572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ind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August 1, 2022, there were 11,781,993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78105</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1"/>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440" w:type="dxa"/>
            <w:vAlign w:val="bottom"/>
            <w:tcBorders>
              <w:bottom w:val="single" w:sz="8" w:color="0000FF"/>
            </w:tcBorders>
            <w:gridSpan w:val="9"/>
            <w:vMerge w:val="continue"/>
          </w:tcPr>
          <w:p>
            <w:pPr>
              <w:spacing w:after="0"/>
              <w:rPr>
                <w:sz w:val="15"/>
                <w:szCs w:val="15"/>
                <w:color w:val="auto"/>
              </w:rPr>
            </w:pPr>
          </w:p>
        </w:tc>
        <w:tc>
          <w:tcPr>
            <w:tcW w:w="8040" w:type="dxa"/>
            <w:vAlign w:val="bottom"/>
            <w:gridSpan w:val="11"/>
            <w:vMerge w:val="continue"/>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414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4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8020" w:type="dxa"/>
            <w:vAlign w:val="bottom"/>
            <w:gridSpan w:val="10"/>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20" w:type="dxa"/>
            <w:vAlign w:val="bottom"/>
            <w:tcBorders>
              <w:top w:val="single" w:sz="8" w:color="0000FF"/>
            </w:tcBorders>
          </w:tcPr>
          <w:p>
            <w:pPr>
              <w:spacing w:after="0"/>
              <w:rPr>
                <w:sz w:val="18"/>
                <w:szCs w:val="18"/>
                <w:color w:val="auto"/>
              </w:rPr>
            </w:pPr>
          </w:p>
        </w:tc>
        <w:tc>
          <w:tcPr>
            <w:tcW w:w="824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760" w:type="dxa"/>
            <w:vAlign w:val="bottom"/>
            <w:gridSpan w:val="1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98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Condensed Consolidated 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$517 and $333</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302,461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109,457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15,179</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451,804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436,192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121,156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155,856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134,969</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par value $0.01; 30,000,000 shares authorized; 12,586,811 and 12,497,691 shares issued,</w:t>
            </w:r>
          </w:p>
        </w:tc>
        <w:tc>
          <w:tcPr>
            <w:tcW w:w="2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282,505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295,948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301,223</w:t>
            </w:r>
          </w:p>
        </w:tc>
        <w:tc>
          <w:tcPr>
            <w:tcW w:w="0" w:type="dxa"/>
            <w:vAlign w:val="bottom"/>
          </w:tcPr>
          <w:p>
            <w:pPr>
              <w:spacing w:after="0"/>
              <w:rPr>
                <w:sz w:val="1"/>
                <w:szCs w:val="1"/>
                <w:color w:val="auto"/>
              </w:rPr>
            </w:pPr>
          </w:p>
        </w:tc>
      </w:tr>
      <w:tr>
        <w:trPr>
          <w:trHeight w:val="207"/>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451,804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436,192</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20" w:top="108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369,907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341,105</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98,646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318,329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288,513</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52,592</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0.76</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left="340" w:right="2440"/>
        <w:spacing w:after="0" w:line="27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8"/>
              </w:rPr>
              <w:t>9,061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8"/>
              </w:rPr>
              <w:t>4,998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(2,629)</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57"/>
              <w:spacing w:after="0"/>
              <w:rPr>
                <w:sz w:val="20"/>
                <w:szCs w:val="20"/>
                <w:color w:val="auto"/>
              </w:rPr>
            </w:pPr>
            <w:r>
              <w:rPr>
                <w:rFonts w:ascii="Times New Roman" w:cs="Times New Roman" w:eastAsia="Times New Roman" w:hAnsi="Times New Roman"/>
                <w:sz w:val="18"/>
                <w:szCs w:val="18"/>
                <w:color w:val="auto"/>
              </w:rPr>
              <w:t>(3,457)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rPr>
              <w:t>(2,501)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w w:val="98"/>
              </w:rPr>
              <w:t>6,544</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8"/>
              </w:rPr>
              <w:t>5,604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8"/>
              </w:rPr>
              <w:t>2,497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3,915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3"/>
                <w:szCs w:val="2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19"/>
                <w:szCs w:val="19"/>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12,498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282,505</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301,223</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12,570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64,364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276,390</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295,579</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12,587</w:t>
            </w: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65,075</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272,068</w:t>
            </w:r>
          </w:p>
        </w:tc>
        <w:tc>
          <w:tcPr>
            <w:tcW w:w="140" w:type="dxa"/>
            <w:vAlign w:val="bottom"/>
          </w:tcPr>
          <w:p>
            <w:pPr>
              <w:spacing w:after="0"/>
              <w:rPr>
                <w:sz w:val="16"/>
                <w:szCs w:val="16"/>
                <w:color w:val="auto"/>
              </w:rPr>
            </w:pPr>
          </w:p>
        </w:tc>
        <w:tc>
          <w:tcPr>
            <w:tcW w:w="6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292,870</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9,061</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9,061</w:t>
            </w:r>
          </w:p>
        </w:tc>
        <w:tc>
          <w:tcPr>
            <w:tcW w:w="0" w:type="dxa"/>
            <w:vAlign w:val="bottom"/>
          </w:tcPr>
          <w:p>
            <w:pPr>
              <w:spacing w:after="0"/>
              <w:rPr>
                <w:sz w:val="1"/>
                <w:szCs w:val="1"/>
                <w:color w:val="auto"/>
              </w:rPr>
            </w:pPr>
          </w:p>
        </w:tc>
      </w:tr>
      <w:tr>
        <w:trPr>
          <w:trHeight w:val="17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0" w:type="dxa"/>
            <w:vAlign w:val="bottom"/>
          </w:tcPr>
          <w:p>
            <w:pPr>
              <w:spacing w:after="0"/>
              <w:rPr>
                <w:sz w:val="1"/>
                <w:szCs w:val="1"/>
                <w:color w:val="auto"/>
              </w:rPr>
            </w:pPr>
          </w:p>
        </w:tc>
      </w:tr>
      <w:tr>
        <w:trPr>
          <w:trHeight w:val="19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7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0" w:type="dxa"/>
            <w:vAlign w:val="bottom"/>
          </w:tcPr>
          <w:p>
            <w:pPr>
              <w:spacing w:after="0"/>
              <w:rPr>
                <w:sz w:val="1"/>
                <w:szCs w:val="1"/>
                <w:color w:val="auto"/>
              </w:rPr>
            </w:pPr>
          </w:p>
        </w:tc>
      </w:tr>
      <w:tr>
        <w:trPr>
          <w:trHeight w:val="196"/>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12,587</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65,661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278,017</w:t>
            </w:r>
          </w:p>
        </w:tc>
        <w:tc>
          <w:tcPr>
            <w:tcW w:w="14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295,948</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ectPr>
          <w:pgSz w:w="11900" w:h="16838" w:orient="portrait"/>
          <w:cols w:equalWidth="0" w:num="1">
            <w:col w:w="9180"/>
          </w:cols>
          <w:pgMar w:left="1360" w:top="1089" w:right="1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1089" w:right="135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3"/>
                <w:szCs w:val="2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19"/>
                <w:szCs w:val="19"/>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2020</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12,422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61,998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294,016</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(24,513)</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306,626</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4,349</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12,481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290,624</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307,845</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12,498</w:t>
            </w: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63,112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287,364</w:t>
            </w:r>
          </w:p>
        </w:tc>
        <w:tc>
          <w:tcPr>
            <w:tcW w:w="140" w:type="dxa"/>
            <w:vAlign w:val="bottom"/>
          </w:tcPr>
          <w:p>
            <w:pPr>
              <w:spacing w:after="0"/>
              <w:rPr>
                <w:sz w:val="16"/>
                <w:szCs w:val="16"/>
                <w:color w:val="auto"/>
              </w:rPr>
            </w:pPr>
          </w:p>
        </w:tc>
        <w:tc>
          <w:tcPr>
            <w:tcW w:w="6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(19,270)</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306,332</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180"/>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1,301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12,498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63,500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282,284</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302,941</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1089" w:right="1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2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sale of division</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Bad debt expense (recovery),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(35,673)</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(39,693)</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(19,868)</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division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life insurance policies</w:t>
            </w:r>
          </w:p>
        </w:tc>
        <w:tc>
          <w:tcPr>
            <w:tcW w:w="1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industrial development revenue bonds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(51,840)</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160,216</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Powell Industries, Inc. (we, us, our, Powell or the Company) is incorporated in the state of Delaware. Powell's predecessor companies were founded 75 years ago by William E. Powell in 1947. Our major subsidiaries, all of which are wholly owned, include: Powell Electrical Systems, Inc.; Powell (UK) Limited; Powell Canada Inc.; and Powell Industries International, B.V.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and light rail traction power as well as mining and metals, pulp and paper and other municipal, commercial and industrial markets.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Global Economic Uncertainty and Oil and Gas Commodity Market Volatility on Powell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factors resulting in global economic uncertainty have negatively impacted our results over the past two years. Uncertainty and demand disruptions have resulted in considerable volatility across commodity markets. Although global oil prices have rebounded, our industrial end markets have responded with modest increases in capital expenditures. Additionally, we continue to experience supply chain disruptions driven predominately by availability and cost volatility across our raw materials, components and labor force. All of these factors have contributed to the lower margins realized in Fiscal 2022. As we address disruptions and increased costs, we continue to work with our suppliers of key components and commodities to ensure that we are able to meet our customer commitments. Additionally, we have adjusted our pricing models in response to the increased cost environment.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consequences of a continued and prolonged global economic decline could include, but are not limited to, reductions in commercial and industrial activity in the markets we serve. The Company cannot reasonably estimate the duration or extent to which the resulting disruptions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2021, which was filed with the Securities and Exchange Commission (SEC) on December 8,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Fiscal 2022 and Fiscal 2021 used throughout this report shall mean our fiscal years ended September 30, 2022 and 2021,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60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Income (loss) per share: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of the three and nine months ended June 30, 2021, we incurred net losses and therefore all potential common shares were deemed to be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allowance for credit losses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6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7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 (recovery), net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Uncollectible accounts written off, net of recoveries</w:t>
            </w: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(26)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8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3"/>
        </w:trPr>
        <w:tc>
          <w:tcPr>
            <w:tcW w:w="5960" w:type="dxa"/>
            <w:vAlign w:val="bottom"/>
            <w:tcBorders>
              <w:bottom w:val="single" w:sz="8" w:color="CFF0FC"/>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 net</w:t>
            </w:r>
          </w:p>
        </w:tc>
        <w:tc>
          <w:tcPr>
            <w:tcW w:w="1820" w:type="dxa"/>
            <w:vAlign w:val="bottom"/>
            <w:shd w:val="clear" w:color="auto" w:fill="CFF0FC"/>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47,458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28,688</w:t>
            </w:r>
          </w:p>
        </w:tc>
      </w:tr>
      <w:tr>
        <w:trPr>
          <w:trHeight w:val="230"/>
        </w:trPr>
        <w:tc>
          <w:tcPr>
            <w:tcW w:w="5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20" w:type="dxa"/>
            <w:vAlign w:val="bottom"/>
            <w:tcBorders>
              <w:bottom w:val="single" w:sz="8" w:color="auto"/>
            </w:tcBorders>
            <w:shd w:val="clear" w:color="auto" w:fill="CFF0FC"/>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2140" w:type="dxa"/>
            <w:vAlign w:val="bottom"/>
            <w:tcBorders>
              <w:top w:val="single" w:sz="8" w:color="CFF0FC"/>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64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58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4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r>
      <w:tr>
        <w:trPr>
          <w:trHeight w:val="23"/>
        </w:trPr>
        <w:tc>
          <w:tcPr>
            <w:tcW w:w="466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2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29"/>
        </w:trPr>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contracts to provide value-added services such as field service inspection, installation, commissioning, modification and repair,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94% of total revenues for the three and nine months ended June 30, 2022, 93% of total revenues for the three months ended June 30, 2021 and 92% of total revenues for the nine months ended June 30, 2021.</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of total revenues for the three and nine months ended June 30, 2022, 7% of total revenues for the three months ended June 30, 2021 and 8% of total revenues for the nine months ended June 30,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June 30, 2022, we had backlog of $502.5 million, of which approximately $379.6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June 30, 2022 and 2021, our operating results were positively impacted by $5.9 million and $11.4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 The decrease from the prior year is primarily due to the increase in direct materials cost, which we were not able to pass on to our customers for projects awarded in prior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June 30, 2022 and September 30, 2021 are summarized below (in thousands):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3"/>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rPr>
              <w:t>54,199</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8"/>
                <w:szCs w:val="18"/>
                <w:color w:val="auto"/>
              </w:rPr>
              <w:t>(42,433)</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6"/>
              </w:rPr>
              <w:t>11,766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net contract asset at June 30, 2022 from September 30, 2021 was primarily due to the timing of contract billing milestones and new orders as well as cash used on our large industrial project awarded in Fiscal 2020. To determine the amount of revenue recognized during the period from contract liabilities, we first allocate revenue to the individual contract liability balance outstanding at the beginning of the period until the revenue exceeds that balance. During the nine months ended June 30, 2022, we recognized revenue of approximately $36.0 million that was related to contract liabilities outstanding at September 30, 2021.</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June 30, 2022 and September 30, 2021, accounts receivable included retention amounts of $9.2 million and $9.6 million, respectively. Of the retained amount at June 30, 2022, $8.6 million is expected to be collected in the next twelve months and is recorded in accounts receivable. The remaining $0.6 million is recorded in other assets.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and nine months ended June 30, 2022 and 2021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6"/>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102,931</w:t>
            </w:r>
          </w:p>
        </w:tc>
        <w:tc>
          <w:tcPr>
            <w:tcW w:w="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88,412</w:t>
            </w: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272,069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16,529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3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135,483</w:t>
            </w:r>
          </w:p>
        </w:tc>
        <w:tc>
          <w:tcPr>
            <w:tcW w:w="1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115,813</w:t>
            </w:r>
          </w:p>
        </w:tc>
        <w:tc>
          <w:tcPr>
            <w:tcW w:w="2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369,907</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6"/>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51,268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Traction power</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115,813</w:t>
            </w:r>
          </w:p>
        </w:tc>
        <w:tc>
          <w:tcPr>
            <w:tcW w:w="24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369,907</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 Long-Term Debt</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24"/>
                <w:szCs w:val="24"/>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114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CFF0FC"/>
              <w:bottom w:val="single" w:sz="8" w:color="CFF0FC"/>
            </w:tcBorders>
            <w:shd w:val="clear" w:color="auto" w:fill="CFF0FC"/>
          </w:tcPr>
          <w:p>
            <w:pPr>
              <w:spacing w:after="0"/>
              <w:rPr>
                <w:sz w:val="21"/>
                <w:szCs w:val="21"/>
                <w:color w:val="auto"/>
              </w:rPr>
            </w:pPr>
          </w:p>
        </w:tc>
        <w:tc>
          <w:tcPr>
            <w:tcW w:w="84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right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credit agreement with Bank of America, N.A. (as amended, the "U.S. Revolver"), which is a $75.0 million revolving credit facility that is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 As of June 30, 2022, there were no amounts borrowed under the U.S. Revolver and letters of credit outstanding were $30.8 million. There was $44.2 million available for the issuance of letters of credit and borrowings under the U.S. Revolver as of June 30, 2022.</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$30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our credit agreements. As of June 30, 2022, we were in compliance with all of the financial covenants of the U.S. Revolver.</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London Interbank Offered Rate (LIBOR) successor rate plus 1.00%. The applicable rate is generally a range from (0.25)% to 1.75% depending on the type of loan and the Company's consolidated net leverage ratio. On December 31, 2021, the Company entered into a LIBOR Transition Amendment with Bank of America that states that LIBOR will be replaced with a successor rate in accordance with the U.S. Revolver.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for the completion of our Northlake, Illinois facility. The Bonds matured on October 1, 2021 and our final payment of $0.4 million was made.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$30.8 million as of June 30, 2022. We also had surety bonds totaling $159.9 million that were outstanding, with additional bonding capacity of $440.1 million available, at June 30, 2022.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$6.1 million facility agreement (Facility Agreement) between Powell (UK) Limited and a large international bank that provides Powell (UK) Limited the ability to enter into bank guarantees as well as forward exchange contracts and currency options. At June 30, 2022, we had outstanding guarantees totaling $3.1 million and amounts available under this Facility Agreement were $3.0 million. The Facility Agreement provides for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June 30, 2022,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2021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June 30, 2022, there were 234,852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nine months ended June 30, 2022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29"/>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29"/>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234,852</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2022 and 2021, we recorded compensation expense of $1.9 million and $1.7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In February 2022, 16,800 shares of restricted stock were issued to our non-employee directors under the 2014 Non-Employee Director Equity Incentive Plan at a price of $23.09 per share. During the nine months ended June 30, 2022 and 2021, we recorded compensation expense of $0.4 million and $0.5 million, respectively, related to restricted stock.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June 30, 2022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22,682</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2021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2021</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leases consist primarily of office and manufacturing space and construction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three and nine months ended June 30, 2022 and 2021, respectively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gridSpan w:val="2"/>
            <w:vMerge w:val="continue"/>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551</w:t>
            </w: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Less: sublease income</w:t>
            </w:r>
          </w:p>
        </w:tc>
        <w:tc>
          <w:tcPr>
            <w:tcW w:w="10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(171)</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413</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907</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As of June 30, 2022 and September 30, 2021, our operating lease assets have been reduced by a lease accrual of $0.2 million and $0.4 million, respectively, related to certain unused facility leases in Canada. The following table provides a summary of the operating lease assets and operating lease liabilities included in our Condensed Consolidated Balance Sheets as of June 30, 2022 and September 30, 2021, respectively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6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8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June 30, 2022 (in thousands):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7"/>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6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1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as of June 30, 2022 was 3.89%. The weighted average remaining lease term was 1.44 years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30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(1,338)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(6,143)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(5,772)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(138)</w:t>
            </w:r>
          </w:p>
        </w:tc>
      </w:tr>
      <w:tr>
        <w:trPr>
          <w:trHeight w:val="162"/>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9,061</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4,998</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(2,629)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and maintain valuation allowances against the deferred tax assets of various foreign jurisdictions until sufficient evidence is available to demonstrate that it is more-likely-than-not that the net deferred tax assets will be recognized. As of each reporting date, management considers new evidence, both positive and negative, that could affect its view of the future realization of deferred tax assets. During the period ended June 30, 2022,</w:t>
      </w: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determined that there is sufficient positive evidence to conclude that Canadian net deferred tax assets of $5.9 million are realizable. This determination was based on current and anticipated market conditions, continued market diversification, operating results over the past three years and anticipated future taxable income from our Canadian operations. The valuation allowance was released accordingly, and a $5.9 million tax benefit and corresponding increase in the deferred tax asset were recorded.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benefit for the three and nine months ended June 30, 2022 was also impacted by a discrete item related to the gain recognized from the disposition of a small, non-core division of our Canadian operations. This gain on the disposal resulted in tax expense of $0.4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2021, we recorded an income tax provision due to our inability to recognize a tax benefit related to losses in the United Kingdom and the change in the estimated amounts of income (loss) recognized in the various tax jurisdictions. These items also reduced the tax benefit for the nine months ended June 30, 2021 that largely resulted from the estimated Research and Development Tax Credit (R&amp;D Tax Credit) as well as the utilization of net operating loss carryforwards in Canada that were fully reserved with a valuation allowance.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Divestiture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we sold a non-core, industrial valve repair and servicing business within our Canadian operations and received proceeds of $4.3 million. We recorded a $2.0 million pre-tax gain on this transaction, which has been presented as other income on our Condensed Consolidated Statements of Operations for the quarter ended June 30,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2, 2022, our Board of Directors declared a quarterly cash dividend on our common stock in the amount of $0.26 per share. The dividend is payable on September 21, 2022 to shareholders of record at the close of business on August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has had, and may continue to have, an adverse effect on our future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involves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 on some of our projects.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3" w:lineRule="exact"/>
        <w:rPr>
          <w:rFonts w:ascii="Times New Roman" w:cs="Times New Roman" w:eastAsia="Times New Roman" w:hAnsi="Times New Roman"/>
          <w:sz w:val="18"/>
          <w:szCs w:val="18"/>
          <w:color w:val="252525"/>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Catastrophic events, including natural disasters, health epidemics (including the COVID-19 pandemic), acts of war and terrorism, among others, could disrupt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0" w:name="page21"/>
    <w:bookmarkEnd w:id="20"/>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 security attacks on any of our facilities, or those of third parties, could adversely affect our business and our internal controls.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laws and regulations, including those regarding climate change, could adversely impact our financial results.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b w:val="1"/>
          <w:bCs w:val="1"/>
          <w:i w:val="1"/>
          <w:iCs w:val="1"/>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and those expressed in a forward-looking statement made in this report or elsewhere by us or on our behalf. We have discussed these factors in more detail in our Annual Report on Form 10-K for the year ended September 30, 2021.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2021, which was filed with the Securities and Exchange Commission (SEC) on December 8, 2021 and is available on the SEC’s website at www.sec.gov.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and light rail traction power as well as mining and metals, pulp and paper and other municipal, commercial and industrial markets. Revenues and costs are primarily related to custom engineered-to-order equipment and systems</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are accounted for under percentage-of-completion accounting, which precludes us from providing detailed price and volume information. Our backlog includes various projects that typically take a number of months to produce.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the combination of a growing global economy, abundant sources of favorably priced natural gas feedstock, and an energy industry focus on transition to natural gas and cleaner-burning fuels drove an increase in capital investment opportunities, specifically across the oil, gas and petrochemical sectors. Some of these opportunities were for natural gas related projects targeting global demand for cleaner-burning fuels. Additionally, projects within the domestic petrochemical sector benefited from the low feedstock prices of natural gas. Specific to LNG, the business was awarded a substantial contract in the second quarter of Fiscal 2020 that will support the integrated electrical distribution requirements for a large domestic industrial complex and should be substantially completed in Fiscal 2022. We began to experience reduced commercial activity in Fiscal 2020 driven in large part by the uncertainties across our industrial end markets in the U.S. resulting from the COVID-19 pandemic.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Uncertainty and Oil and Gas Commodity Market Volatility on Powell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factors resulting in global economic uncertainty have negatively impacted our results over the past two years. Uncertainty and demand disruptions have resulted in considerable volatility across commodity markets. Although global oil prices have rebounded, our industrial end markets have responded with modest increases in capital expenditures. Additionally, we continue to experience supply chain disruptions driven predominately by availability and cost volatility across our raw materials, components and labor force. All of these factors have contributed to the lower margins realized in Fiscal 2022. As we address disruptions and increased costs, we continue to work with our suppliers of key components and commodities to ensure that we are able to meet our customer commitments. Additionally, we have adjusted our pricing models in response to the increased cost environment.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lower demand across select end markets, we have taken and will continue to take various actions to reduce costs. We continue to operate at lower thresholds throughout Fiscal 2021 and the first nine months of Fiscal 2022 and will continue to consistently monitor the macro-economic conditions throughout the remainder of Fiscal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further under the heading "Outlook" below, it is difficult to predict the economic impact that this pandemic, as well as reduced oil and gas demand, supply chain issues, and inflationary pressures, may have on our business, results of operations and cash flows going forward.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June 30, 2022 Compared to the Quarter Ended June 30, 2021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17%, or $19.7 million, to $135.5 million in the third quarter of Fiscal 2022. Domestic revenues increased by 16%, or $14.5 million, to $102.9 million in the third quarter of Fiscal 2022. Included in our domestic, oil and gas sector revenues is the large domestic industrial project awarded in Fiscal 2020, which accounted for approximately 16% of our consolidated revenues for the third quarter of Fiscal 2022 compared to 18% in the same period in the prior year. International revenues increased by 19%, or $5.2 million, to $32.6 million in the third quarter of Fiscal 2022. Our international revenues include both revenues generated from our international facilities as well as revenues from export projects generated at our domestic facilities.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our core oil and gas markets (excluding petrochemical) increased by 19%, or $9.4 million, to $58.7 million in the third quarter of Fiscal 2022, while petrochemical revenue decreased by 1%, or $0.2 million, to $15.2 million in the third quarter of Fiscal 2022. Revenue from our utility markets increased by 15%, or $4.0 million, to $30.2 million, and traction market revenue decreased by 29%, or $4.0 million, to $9.8 million in the third quarter of Fiscal 2022. Revenue from all other markets combined increased by 94%, or $10.5 million, to $21.6 million in the third quarter of Fiscal 2022, primarily driven by other commercial markets.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increased by 11%, or $1.9 million, to $19.1 million for the third quarter of Fiscal 2022. Gross profit as a percentage of revenues decreased to 14% in the third quarter of Fiscal 2022, compared to 15% in the third quarter of Fiscal 2021. The decrease in gross profit as a percentage of revenues is primarily due to project execution challenges on select contracts for a new customer awarded in the prior year at one of our U.S. operations. The increased costs and scope attributable to these contracts was not transferable to the customer. As the volatility across the global supply chain continues to persist, gross profit may continue to be negatively impacted by higher material costs to the extent we are not able to pass these increases to our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2%, or $0.3 million, to $16.4 million in the third quarter of Fiscal 2022, primarily due to a reduction in bad debt expense and a continued focus on controlling costs. Selling, general and administrative expenses as a percentage of revenues decreased to 12% during the third quarter of Fiscal 2022 compared to 14% during the third quarter of Fiscal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other income of $2.0 million in the third quarter of Fiscal 2022 related to a gain on the sale of a non-core, industrial valve repair and servicing business within our Canadian operations. We did not record other income during the third quarter of Fiscal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Benefit/Provision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benefit of $6.1 million in the third quarter of Fiscal 2022, compared to an income tax provision of $0.7 million in the third quarter of Fiscal 2021. For the three months ended June 30, 2022, the tax benefit primarily resulted from the release of the valuation allowance recorded against the Canadian net deferred tax assets in the amount of $5.9 million that was partially offset by the tax expense of $0.4 million related to the gain on the disposition of a small, non-core division of our Canadian operations. The tax provision recorded in the third quarter of Fiscal 2021 resulted from our inability to recognize a tax benefit related to losses incurred in the United Kingdom and the change in the estimated amounts of income (loss) recognized in the various tax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2022, we recorded net income of $9.1 million, or $0.76 per diluted share, compared to a net loss of $2.0 million, or $0.17 per diluted share, in the third quarter of Fiscal 2021. This increase in net income is primarily due to the release of a Canadian valuation allowance recorded against net deferred tax assets and the gain on the sale of a non-core valve repair and servicing business within our Canadian operations during the third quarter of Fiscal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 backlog at June 30, 2022 was $502.5 million, an increase of 14% from $440.0 million at March 31, 2022 and an increase from $425.5 million at June 30, 2021 as most of Powell's core end market activity increases. Bookings, net of cancellations and scope reductions, increased by 95% in the third quarter of Fiscal 2022 to $201.5 million, compared to $103.2 million in the third quarter of Fiscal 2021, primarily driven by increased activity broadly across most of Powell's core end markets.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June 30, 2022 Compared to the Nine Months Ended June 30, 2021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increased by 8%, or $28.8 million, to $369.9 million in the nine months ended June 30, 2022. Domestic revenues increased by 6% to $272.1 million in the nine months ended June 30, 2022. International revenues increased by 16.2%, or $13.7 million, to $97.8 million. Our international revenues include both revenues generated from our international facilities as well as revenues from export projects generated at our domestic facilities.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our core oil and gas markets (excluding petrochemical) increased by 11%, or $15.9 million, to $155.3 million in the nine months ended June 30, 2022, while petrochemical revenue increased by 48%, or $16.5 million, to $51.3 million in the first nine months of Fiscal 2022, primarily due to increased market activity. Revenue from our utility markets decreased by 1%, or $0.7 million, to $82.1 million, and traction market revenue decreased by 26%, or $11.1 million, to $31.2 million in the nine months ended June 30, 2022. Revenue from all other markets combined increased by 20%, or $8.2 million, to $50.0 million in the nine months ended June 30, 2022, primarily driven by other commercial end markets.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by 2%, or $1.0 million, to $51.6 million as compared to the first nine months of Fiscal 2021. Gross profit as a percentage of revenues decreased to 14% in the first nine months of Fiscal 2022, compared to 15% in the first nine months of Fiscal 2021. The decrease in gross profit and gross profit as a percentage of revenue was driven predominately by inflationary pressures on raw materials and components negatively impacting our operations as we were not able to pass on the increased costs to the customer for projects awarded in prior periods of lower input costs and pricing. In circumstances where select, older projects in backlog are subject to the material and labor availability, as well as cost escalation, gross profit may be negatively impacted to the extent we are not able to pass these increases to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2%, or $0.9 million, to $49.4 million in the nine months ended June 30, 2022, primarily due to decreased personnel costs and a continued focus on controlling costs. Selling, general and administrative expenses as a percentage of revenues decreased to 13% during the nine months ended June 30, 2022 compared to 15% during the nine months ended June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other income of $2.3 million in the nine months ended June 30, 2022 related to a gain on the sale of a small, non-core, industrial valve repair and servicing business within our Canadian operations as well as the sale of an excess parcel of land in the U.S. We did not record other income during the nine months ended June 30,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an income tax benefit of $5.8 million in the nine months ended June 30, 2022, compared to an income tax benefit of $0.1 million in the nine months ended June 30, 2021. For the nine months ended June 30, 2022, the tax benefit primarily resulted from the release of the valuation allowance recorded against the Canadian net deferred tax assets in the amount of $5.9 million that was partially offset by the tax expense of $0.4 million related to the gain on the disposition of a small, non-core division of our Canadian operations. The estimated R&amp;D Tax Credit as well as the utilization of net operating loss carryforwards in Canada that were fully reserved with a valuation allowance provided a tax benefit for the nine months ended June 30, 2021 that was largely offset by our inability to recognize a tax benefit related to losses in the United Kingdom and the change in the estimated amounts of income (loss) recognized in various jurisdictions.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nine months ended June 30, 2022, we recorded net income of $5.0 million, or $0.42 per diluted share, compared to a net loss of $2.6 million, or $0.22 per diluted share, in the nine months ended June 30, 2021. This increase in net income is primarily due to the release of a Canadian valuation allowance recorded against net deferred tax assets and the gain on the sale of a non-core valve repair and servicing business within our Canadian operations during the third quarter of Fiscal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order backlog at June 30, 2022 was $502.5 million, an increase of 21% from $414.9 million at September 30, 2021 primarily driven by increased activity across most of our core end markets. Bookings, net of cancellations and scope reductions, increased by 63% during the nine months ended June 30, 2022 to $460.0 million, compared to $282.9 million in the nine months ended June 30,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in "Overview" above, the markets in which we participate are capital-intensive and cyclical in nature. A significant portion of our revenues has historically been from the oil, gas and petrochemical markets. Oil and gas commodity price levels have been unstable over the last several years, and our customers have in certain cases delayed or cancelled some of their major capital investment projects. Recently we have seen increased global demand for cleaner-burning fuels; however, the uncertainty in oil prices and the global economic impacts from COVID-19, including supply chain disruptions and associated inflationary pressures, as well as other geopolitical events may have a negative impact on our business going forward, as discussed in more detail below. Specific to the energy industry focus on transitioning to natural gas and cleaner-burning fuels, the business was awarded a substantial contract in Fiscal 2020 that will support the integrated electrical distribution requirements for a large domestic industrial complex and should be substantially completed in Fiscal 2022. We continue to experience increased demand from markets outside our core oil, gas and petrochemical end markets, helping to diversify our project portfolio.</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Disruption in the global supply chain has negatively impacted our business and operating results as well due to the reduction in availability and uncertainty in the timing of the receipt of certain key component parts and commodities. These factors may result in periods of underutilization of our resources and facilities, which may negatively impact our ability to cover our fixed costs, or inhibit our ability to deliver completed products on time. Additionally, the increases in commodity and component costs from projects awarded in prior years may have a negative impact on our operating results in the event that we are not able to pass these cost increases to our customers. We experienced lower commercial activity in Fiscal 2020 and Fiscal 2021 driven in large part from the uncertainty resulting from the COVID-19 pandemic, as discussed in "Overview" above. Considering the long cycle nature of our business, we anticipate these cyclical conditions may persist throughout the remainder of Fiscal 2022. We will continue to remain focused on the variables that impact our markets as well as cost management, labor and supply chain challenges. We will also continue to adjust to the global conditions in order to maintain competitive cost and technological advantages in the markets that we serve.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consequences of a prolonged economic decline could include, but are not limited to, a reduction in commercial and industrial activity. The Company cannot reasonably estimate the duration or severity of these global economic challenges, or the extent to which the resulting disruptions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current assets exceeded current liabilities by 2.2 times.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cash equivalents and short-term investments decreased to $98.5 million at June 30, 2022, compared to $134.0 million at September 30, 2021. This decrease in cash was primarily driven by increases in each of accounts receivable and inventory. We have strategically increased certain inventories due to uncertainty from the global supply chain issues impacting our business. We believe that our strong working capital position, available borrowings under our credit facility and available cash should be sufficient to finance future operating activities, capital improvements, research and development initiatives and debt repayments for the foreseeable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credit agreement with Bank of America, N.A. (as amended, the "U.S. Revolver") which is a $75.0 million revolving credit facility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 2021, our industrial development revenue bonds matured and as a result we had no long-term debt at June 30, 2022. As of June 30, 2022, there were no amounts borrowed under the U.S. Revolver, and letters of credit outstanding were $30.8 million. As of June 30, 2022, $44.2 million was available for the issuance of letters of credit and borrowing under the U.S. Revolver. We are required to maintain certain financial covenants, the most significant of which are a 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E and F of Notes to Condensed Consolidated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$28.4 million of our cash, cash equivalents and short-term investments at June 30, 2022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activities used net cash of $27.8 million during the nine months ended June 30, 2022 and $39.7 million during the same period in Fiscal 2021. Cash flow from operations is primarily influenced by the timing of milestone payments from our customers, project volume and the associated working capital requirements, as well as the payment terms with our suppliers. This increase in operating cash flow was primarily due to the timing of contract billing milestones although offset by the increase in accounts receivable. The strategic increase in inventory as a result of the uncertainty in the global supply chain negatively impacted cash flow for the first nine months of Fiscal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used less than $0.1 million during the nine months ended June 30, 2022 and $2.0 million during the same period in Fiscal 2021. The decrease in cash used in investing activities in the first nine months of Fiscal 2022 was primarily due to proceeds of $4.3 million received from the sale of a small, non-core division of our Canadian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$10.2 million during the nine months ended June 30, 2022 and $10.1 million during the same period in Fiscal 2021, which primarily consisted of approximately $9.1 million of dividends paid in each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2021, which was filed with the SEC on December 8,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and petrochemical markets, which include onshore and offshore production, LNG facilities and terminals, pipelines, refineries and petrochemical plants. Additional markets include electric utility and light rail traction power as well as mining and metals, pulp and paper and other municipal, commercial and industrial markets.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We have entered into a derivative contract to hedge a portion of our exposure to commodity price risk. This contract is immaterial for the third quarter of Fiscal 2022. In the future, we may enter into additional derivative contracts to further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Mexican Peso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nine months ended June 30, 2022, our realized foreign exchange gain was $0.2 million and is included in selling, general and administrative expenses in the Condensed Consolidated Statements of Operations.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$22.9 million as of June 30, 2022, an increase of $2.5 million compared to September 30, 2021. This increase in comprehensive loss was primarily a result of fluctuations in the currency exchange rates for the Canadian Dollar and British Pound Sterling as we re-measured the foreign operations of those divisions.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2021, which was filed with the SEC on December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5">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7">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tab/>
        <w:t>—</w:t>
      </w:r>
      <w:r>
        <w:rPr>
          <w:sz w:val="20"/>
          <w:szCs w:val="20"/>
          <w:color w:val="auto"/>
        </w:rPr>
        <w:tab/>
      </w:r>
      <w:hyperlink r:id="rId48">
        <w:r>
          <w:rPr>
            <w:rFonts w:ascii="Times New Roman" w:cs="Times New Roman" w:eastAsia="Times New Roman" w:hAnsi="Times New Roman"/>
            <w:sz w:val="17"/>
            <w:szCs w:val="17"/>
            <w:u w:val="single" w:color="auto"/>
            <w:color w:val="0000FF"/>
          </w:rPr>
          <w:t>Amendment No. 1 to Amended and Restated Bylaws of Powell Industries, Inc. (filed as Exhibit 3.1 to our Form 8-K filed February</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u w:val="single" w:color="auto"/>
            <w:color w:val="0000FF"/>
          </w:rPr>
          <w:t>26, 2021,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xml:space="preserve">— </w:t>
      </w:r>
      <w:r>
        <w:rPr>
          <w:rFonts w:ascii="Times New Roman" w:cs="Times New Roman" w:eastAsia="Times New Roman" w:hAnsi="Times New Roman"/>
          <w:sz w:val="18"/>
          <w:szCs w:val="18"/>
          <w:color w:val="244061"/>
        </w:rPr>
        <w:t>The following financial statements from the Company’s Quarterly Report on Form 10-Q for the quarter ended June 30,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50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xml:space="preserve">— </w:t>
      </w:r>
      <w:r>
        <w:rPr>
          <w:rFonts w:ascii="Times New Roman" w:cs="Times New Roman" w:eastAsia="Times New Roman" w:hAnsi="Times New Roman"/>
          <w:sz w:val="18"/>
          <w:szCs w:val="18"/>
          <w:color w:val="244061"/>
        </w:rPr>
        <w:t>The cover page from the Company’s Quarterly Report on Form 10-Q for the quarter ended June 30, 2022, formatted in Inline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045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78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360" w:type="dxa"/>
            <w:vAlign w:val="bottom"/>
          </w:tcPr>
          <w:p>
            <w:pPr>
              <w:spacing w:after="0"/>
              <w:rPr>
                <w:sz w:val="20"/>
                <w:szCs w:val="20"/>
                <w:color w:val="auto"/>
              </w:rPr>
            </w:pPr>
          </w:p>
        </w:tc>
        <w:tc>
          <w:tcPr>
            <w:tcW w:w="78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26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26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29"/>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0"/>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08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340" w:hanging="320"/>
        <w:spacing w:after="0" w:line="298"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3, 2022</w:t>
      </w:r>
    </w:p>
    <w:p>
      <w:pPr>
        <w:sectPr>
          <w:pgSz w:w="11900" w:h="16838" w:orient="portrait"/>
          <w:cols w:equalWidth="0" w:num="1">
            <w:col w:w="11240"/>
          </w:cols>
          <w:pgMar w:left="320" w:top="89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660" w:right="300" w:hanging="328"/>
        <w:spacing w:after="0" w:line="298"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40"/>
        <w:spacing w:after="0" w:line="211"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3, 2022</w:t>
      </w:r>
    </w:p>
    <w:p>
      <w:pPr>
        <w:sectPr>
          <w:pgSz w:w="11900" w:h="16838" w:orient="portrait"/>
          <w:cols w:equalWidth="0" w:num="1">
            <w:col w:w="11240"/>
          </w:cols>
          <w:pgMar w:left="320" w:top="89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In connection with this Quarterly Report (the “Report”) on Form 10-Q of Powell Industries, Inc. (the “Company”) for the quarter ended June 30, 2022, as filed with the Securities and Exchange Commission on the date hereof, I, Brett A. Cope, Chief Executive Officer of the Company, certify, pursuant to 18 U.S.C. Section 1350, as adopted pursuant to Section 906 of the Sarbanes-Oxley Act of 2002, that:</w:t>
      </w:r>
    </w:p>
    <w:p>
      <w:pPr>
        <w:spacing w:after="0" w:line="14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represents, in all material respects, the financial condition and results of operations of the Company.</w:t>
      </w:r>
    </w:p>
    <w:p>
      <w:pPr>
        <w:spacing w:after="0" w:line="3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3, 2022</w:t>
      </w:r>
    </w:p>
    <w:p>
      <w:pPr>
        <w:sectPr>
          <w:pgSz w:w="11900" w:h="16838" w:orient="portrait"/>
          <w:cols w:equalWidth="0" w:num="1">
            <w:col w:w="11240"/>
          </w:cols>
          <w:pgMar w:left="320" w:top="89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June 30, 2022,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3,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45" Type="http://schemas.openxmlformats.org/officeDocument/2006/relationships/hyperlink" Target="http://www.sec.gov/Archives/edgar/data/80420/000008042004000044/exhibit3_1.htm" TargetMode="External"/><Relationship Id="rId47" Type="http://schemas.openxmlformats.org/officeDocument/2006/relationships/hyperlink" Target="http://www.sec.gov/Archives/edgar/data/80420/000119312512421889/d424375dex31.htm" TargetMode="External"/><Relationship Id="rId48" Type="http://schemas.openxmlformats.org/officeDocument/2006/relationships/hyperlink" Target="http://www.sec.gov/Archives/edgar/data/80420/000008042021000018/ex31-amendmentno1to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2022-08-03T12:14:37Z</dcterms:created>
  <dcterms:modified xsi:type="dcterms:W3CDTF">2022-08-03T12:14:37Z</dcterms:modified>
</cp:coreProperties>
</file>