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277495</wp:posOffset>
            </wp:positionH>
            <wp:positionV relativeFrom="page">
              <wp:posOffset>620395</wp:posOffset>
            </wp:positionV>
            <wp:extent cx="70148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4845" cy="17145"/>
                    </a:xfrm>
                    <a:prstGeom prst="rect">
                      <a:avLst/>
                    </a:prstGeom>
                    <a:noFill/>
                  </pic:spPr>
                </pic:pic>
              </a:graphicData>
            </a:graphic>
          </wp:anchor>
        </w:drawing>
        <w:drawing>
          <wp:anchor simplePos="0" relativeHeight="251657728" behindDoc="1" locked="0" layoutInCell="0" allowOverlap="1">
            <wp:simplePos x="0" y="0"/>
            <wp:positionH relativeFrom="page">
              <wp:posOffset>277495</wp:posOffset>
            </wp:positionH>
            <wp:positionV relativeFrom="page">
              <wp:posOffset>534670</wp:posOffset>
            </wp:positionV>
            <wp:extent cx="70148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4845"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107315</wp:posOffset>
            </wp:positionV>
            <wp:extent cx="2126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161290</wp:posOffset>
            </wp:positionV>
            <wp:extent cx="2126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right="4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For the transition period from to</w:t>
      </w:r>
    </w:p>
    <w:p>
      <w:pPr>
        <w:spacing w:after="0" w:line="185"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120650</wp:posOffset>
            </wp:positionV>
            <wp:extent cx="2126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Powell Industries,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26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8"/>
                <w:szCs w:val="18"/>
                <w:b w:val="1"/>
                <w:bCs w:val="1"/>
                <w:color w:val="auto"/>
                <w:w w:val="93"/>
              </w:rPr>
              <w:t>Delaware</w:t>
            </w:r>
          </w:p>
        </w:tc>
        <w:tc>
          <w:tcPr>
            <w:tcW w:w="1300" w:type="dxa"/>
            <w:vAlign w:val="bottom"/>
          </w:tcPr>
          <w:p>
            <w:pPr>
              <w:jc w:val="center"/>
              <w:ind w:left="101"/>
              <w:spacing w:after="0"/>
              <w:rPr>
                <w:sz w:val="20"/>
                <w:szCs w:val="20"/>
                <w:color w:val="auto"/>
              </w:rPr>
            </w:pPr>
            <w:r>
              <w:rPr>
                <w:rFonts w:ascii="Arial" w:cs="Arial" w:eastAsia="Arial" w:hAnsi="Arial"/>
                <w:sz w:val="18"/>
                <w:szCs w:val="18"/>
                <w:b w:val="1"/>
                <w:bCs w:val="1"/>
                <w:color w:val="auto"/>
                <w:w w:val="91"/>
              </w:rPr>
              <w:t>88-0106100</w:t>
            </w:r>
          </w:p>
        </w:tc>
      </w:t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2"/>
              </w:rPr>
              <w:t>(State or other jurisdiction of</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3"/>
              </w:rPr>
              <w:t>incorporation or organization)</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6320" w:type="dxa"/>
            <w:vAlign w:val="bottom"/>
            <w:gridSpan w:val="3"/>
          </w:tcPr>
          <w:p>
            <w:pPr>
              <w:jc w:val="center"/>
              <w:ind w:right="3920"/>
              <w:spacing w:after="0"/>
              <w:rPr>
                <w:sz w:val="20"/>
                <w:szCs w:val="20"/>
                <w:color w:val="auto"/>
              </w:rPr>
            </w:pPr>
            <w:r>
              <w:rPr>
                <w:rFonts w:ascii="Arial" w:cs="Arial" w:eastAsia="Arial" w:hAnsi="Arial"/>
                <w:sz w:val="18"/>
                <w:szCs w:val="18"/>
                <w:b w:val="1"/>
                <w:bCs w:val="1"/>
                <w:color w:val="auto"/>
                <w:w w:val="89"/>
              </w:rPr>
              <w:t>8550 Mosley Road</w:t>
            </w:r>
          </w:p>
        </w:tc>
        <w:tc>
          <w:tcPr>
            <w:tcW w:w="1300" w:type="dxa"/>
            <w:vAlign w:val="bottom"/>
          </w:tcPr>
          <w:p>
            <w:pPr>
              <w:spacing w:after="0"/>
              <w:rPr>
                <w:sz w:val="20"/>
                <w:szCs w:val="20"/>
                <w:color w:val="auto"/>
              </w:rPr>
            </w:pPr>
          </w:p>
        </w:tc>
      </w:t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8"/>
                <w:szCs w:val="18"/>
                <w:b w:val="1"/>
                <w:bCs w:val="1"/>
                <w:color w:val="auto"/>
                <w:w w:val="88"/>
              </w:rPr>
              <w:t>Houston, Texas</w:t>
            </w:r>
          </w:p>
        </w:tc>
        <w:tc>
          <w:tcPr>
            <w:tcW w:w="1300" w:type="dxa"/>
            <w:vAlign w:val="bottom"/>
          </w:tcPr>
          <w:p>
            <w:pPr>
              <w:jc w:val="center"/>
              <w:ind w:left="121"/>
              <w:spacing w:after="0"/>
              <w:rPr>
                <w:sz w:val="20"/>
                <w:szCs w:val="20"/>
                <w:color w:val="auto"/>
              </w:rPr>
            </w:pPr>
            <w:r>
              <w:rPr>
                <w:rFonts w:ascii="Arial" w:cs="Arial" w:eastAsia="Arial" w:hAnsi="Arial"/>
                <w:sz w:val="18"/>
                <w:szCs w:val="18"/>
                <w:b w:val="1"/>
                <w:bCs w:val="1"/>
                <w:color w:val="auto"/>
                <w:w w:val="89"/>
              </w:rPr>
              <w:t>77075-1180</w:t>
            </w:r>
          </w:p>
        </w:tc>
      </w:tr>
      <w:tr>
        <w:trPr>
          <w:trHeight w:val="218"/>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0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277"/>
        </w:trPr>
        <w:tc>
          <w:tcPr>
            <w:tcW w:w="6320" w:type="dxa"/>
            <w:vAlign w:val="bottom"/>
            <w:gridSpan w:val="3"/>
          </w:tcPr>
          <w:p>
            <w:pPr>
              <w:jc w:val="center"/>
              <w:ind w:left="1917"/>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300" w:type="dxa"/>
            <w:vAlign w:val="bottom"/>
          </w:tcPr>
          <w:p>
            <w:pPr>
              <w:spacing w:after="0"/>
              <w:rPr>
                <w:sz w:val="24"/>
                <w:szCs w:val="24"/>
                <w:color w:val="auto"/>
              </w:rPr>
            </w:pPr>
          </w:p>
        </w:tc>
      </w:tr>
      <w:tr>
        <w:trPr>
          <w:trHeight w:val="234"/>
        </w:trPr>
        <w:tc>
          <w:tcPr>
            <w:tcW w:w="584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(713) 944-6900</w:t>
            </w: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35"/>
        </w:trPr>
        <w:tc>
          <w:tcPr>
            <w:tcW w:w="2480" w:type="dxa"/>
            <w:vAlign w:val="bottom"/>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r>
    </w:tbl>
    <w:p>
      <w:pPr>
        <w:spacing w:after="0" w:line="32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48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Title of each class</w:t>
            </w: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Trading Symbol</w:t>
            </w:r>
          </w:p>
        </w:tc>
        <w:tc>
          <w:tcPr>
            <w:tcW w:w="45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8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Common Stock, par value $0.01 per share</w:t>
            </w: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POWL</w:t>
            </w:r>
          </w:p>
        </w:tc>
        <w:tc>
          <w:tcPr>
            <w:tcW w:w="4540" w:type="dxa"/>
            <w:vAlign w:val="bottom"/>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80" w:lineRule="exact"/>
        <w:rPr>
          <w:sz w:val="24"/>
          <w:szCs w:val="24"/>
          <w:color w:val="auto"/>
        </w:rPr>
      </w:pPr>
    </w:p>
    <w:p>
      <w:pPr>
        <w:jc w:val="both"/>
        <w:ind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5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tbl>
      <w:tblPr>
        <w:tblLayout w:type="fixed"/>
        <w:tblInd w:w="360" w:type="dxa"/>
        <w:tblCellMar>
          <w:top w:w="0" w:type="dxa"/>
          <w:left w:w="0" w:type="dxa"/>
          <w:bottom w:w="0" w:type="dxa"/>
          <w:right w:w="0" w:type="dxa"/>
        </w:tblCellMar>
      </w:tblPr>
      <w:tr>
        <w:trPr>
          <w:trHeight w:val="207"/>
        </w:trPr>
        <w:tc>
          <w:tcPr>
            <w:tcW w:w="20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820" w:type="dxa"/>
            <w:vAlign w:val="bottom"/>
          </w:tcPr>
          <w:p>
            <w:pPr>
              <w:spacing w:after="0"/>
              <w:rPr>
                <w:sz w:val="18"/>
                <w:szCs w:val="18"/>
                <w:color w:val="auto"/>
              </w:rPr>
            </w:pPr>
          </w:p>
        </w:tc>
        <w:tc>
          <w:tcPr>
            <w:tcW w:w="2460" w:type="dxa"/>
            <w:vAlign w:val="bottom"/>
            <w:vMerge w:val="restart"/>
          </w:tcPr>
          <w:p>
            <w:pPr>
              <w:ind w:left="2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1720" w:type="dxa"/>
            <w:vAlign w:val="bottom"/>
          </w:tcPr>
          <w:p>
            <w:pPr>
              <w:jc w:val="center"/>
              <w:ind w:left="370"/>
              <w:spacing w:after="0"/>
              <w:rPr>
                <w:sz w:val="20"/>
                <w:szCs w:val="20"/>
                <w:color w:val="auto"/>
              </w:rPr>
            </w:pPr>
            <w:r>
              <w:rPr>
                <w:rFonts w:ascii="Arial" w:cs="Arial" w:eastAsia="Arial" w:hAnsi="Arial"/>
                <w:sz w:val="18"/>
                <w:szCs w:val="18"/>
                <w:color w:val="auto"/>
                <w:w w:val="92"/>
              </w:rPr>
              <w:t>Emerging growth</w:t>
            </w:r>
          </w:p>
        </w:tc>
        <w:tc>
          <w:tcPr>
            <w:tcW w:w="0" w:type="dxa"/>
            <w:vAlign w:val="bottom"/>
          </w:tcPr>
          <w:p>
            <w:pPr>
              <w:spacing w:after="0"/>
              <w:rPr>
                <w:sz w:val="1"/>
                <w:szCs w:val="1"/>
                <w:color w:val="auto"/>
              </w:rPr>
            </w:pPr>
          </w:p>
        </w:tc>
      </w:tr>
      <w:tr>
        <w:trPr>
          <w:trHeight w:val="283"/>
        </w:trPr>
        <w:tc>
          <w:tcPr>
            <w:tcW w:w="2040" w:type="dxa"/>
            <w:vAlign w:val="bottom"/>
            <w:vMerge w:val="continue"/>
          </w:tcPr>
          <w:p>
            <w:pPr>
              <w:spacing w:after="0"/>
              <w:rPr>
                <w:sz w:val="24"/>
                <w:szCs w:val="24"/>
                <w:color w:val="auto"/>
              </w:rPr>
            </w:pPr>
          </w:p>
        </w:tc>
        <w:tc>
          <w:tcPr>
            <w:tcW w:w="1820" w:type="dxa"/>
            <w:vAlign w:val="bottom"/>
          </w:tcPr>
          <w:p>
            <w:pPr>
              <w:ind w:left="180"/>
              <w:spacing w:after="0"/>
              <w:rPr>
                <w:sz w:val="20"/>
                <w:szCs w:val="20"/>
                <w:color w:val="auto"/>
              </w:rPr>
            </w:pPr>
            <w:r>
              <w:rPr>
                <w:rFonts w:ascii="Arial" w:cs="Arial" w:eastAsia="Arial" w:hAnsi="Arial"/>
                <w:sz w:val="18"/>
                <w:szCs w:val="18"/>
                <w:color w:val="auto"/>
              </w:rPr>
              <w:t>Accelerated filer x</w:t>
            </w:r>
          </w:p>
        </w:tc>
        <w:tc>
          <w:tcPr>
            <w:tcW w:w="2460" w:type="dxa"/>
            <w:vAlign w:val="bottom"/>
            <w:vMerge w:val="continue"/>
          </w:tcPr>
          <w:p>
            <w:pPr>
              <w:spacing w:after="0"/>
              <w:rPr>
                <w:sz w:val="24"/>
                <w:szCs w:val="24"/>
                <w:color w:val="auto"/>
              </w:rPr>
            </w:pPr>
          </w:p>
        </w:tc>
        <w:tc>
          <w:tcPr>
            <w:tcW w:w="2180" w:type="dxa"/>
            <w:vAlign w:val="bottom"/>
          </w:tcPr>
          <w:p>
            <w:pPr>
              <w:jc w:val="center"/>
              <w:spacing w:after="0" w:line="207" w:lineRule="exact"/>
              <w:rPr>
                <w:sz w:val="20"/>
                <w:szCs w:val="20"/>
                <w:color w:val="auto"/>
              </w:rPr>
            </w:pPr>
            <w:r>
              <w:rPr>
                <w:rFonts w:ascii="Arial" w:cs="Arial" w:eastAsia="Arial" w:hAnsi="Arial"/>
                <w:sz w:val="18"/>
                <w:szCs w:val="18"/>
                <w:color w:val="auto"/>
                <w:w w:val="93"/>
              </w:rPr>
              <w:t xml:space="preserve">company </w:t>
            </w:r>
            <w:r>
              <w:rPr>
                <w:rFonts w:ascii="MS PGothic" w:cs="MS PGothic" w:eastAsia="MS PGothic" w:hAnsi="MS PGothic"/>
                <w:sz w:val="18"/>
                <w:szCs w:val="18"/>
                <w:color w:val="auto"/>
                <w:w w:val="93"/>
              </w:rPr>
              <w:t>☐</w:t>
            </w:r>
          </w:p>
        </w:tc>
        <w:tc>
          <w:tcPr>
            <w:tcW w:w="1720" w:type="dxa"/>
            <w:vAlign w:val="bottom"/>
          </w:tcPr>
          <w:p>
            <w:pPr>
              <w:jc w:val="center"/>
              <w:ind w:left="370"/>
              <w:spacing w:after="0" w:line="207" w:lineRule="exact"/>
              <w:rPr>
                <w:sz w:val="20"/>
                <w:szCs w:val="20"/>
                <w:color w:val="auto"/>
              </w:rPr>
            </w:pPr>
            <w:r>
              <w:rPr>
                <w:rFonts w:ascii="Arial" w:cs="Arial" w:eastAsia="Arial" w:hAnsi="Arial"/>
                <w:sz w:val="18"/>
                <w:szCs w:val="18"/>
                <w:color w:val="auto"/>
                <w:w w:val="93"/>
              </w:rPr>
              <w:t xml:space="preserve">company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bl>
    <w:p>
      <w:pPr>
        <w:spacing w:after="0" w:line="155" w:lineRule="exact"/>
        <w:rPr>
          <w:sz w:val="24"/>
          <w:szCs w:val="24"/>
          <w:color w:val="auto"/>
        </w:rPr>
      </w:pPr>
    </w:p>
    <w:p>
      <w:pPr>
        <w:ind w:firstLine="5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500" w:right="1400"/>
        <w:spacing w:after="0" w:line="32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At May 6, 2019, there were 11,552,548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172085</wp:posOffset>
            </wp:positionV>
            <wp:extent cx="70148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48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86360</wp:posOffset>
            </wp:positionV>
            <wp:extent cx="7014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ectPr>
          <w:pgSz w:w="11900" w:h="16838" w:orient="portrait"/>
          <w:cols w:equalWidth="0" w:num="1">
            <w:col w:w="11420"/>
          </w:cols>
          <w:pgMar w:left="240" w:top="1044" w:right="239" w:bottom="314" w:gutter="0" w:footer="0" w:header="0"/>
        </w:sectPr>
      </w:pP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44" w:right="239" w:bottom="314"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03"/>
        </w:trPr>
        <w:tc>
          <w:tcPr>
            <w:tcW w:w="10700" w:type="dxa"/>
            <w:vAlign w:val="bottom"/>
            <w:gridSpan w:val="21"/>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80" w:type="dxa"/>
            <w:vAlign w:val="bottom"/>
          </w:tcPr>
          <w:p>
            <w:pPr>
              <w:jc w:val="right"/>
              <w:spacing w:after="0" w:line="202" w:lineRule="exact"/>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5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50"/>
        </w:trPr>
        <w:tc>
          <w:tcPr>
            <w:tcW w:w="14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680" w:type="dxa"/>
            <w:vAlign w:val="bottom"/>
            <w:tcBorders>
              <w:top w:val="single" w:sz="8" w:color="0000EE"/>
            </w:tcBorders>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6680" w:type="dxa"/>
            <w:vAlign w:val="bottom"/>
            <w:gridSpan w:val="7"/>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6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38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 (Loss)</w:t>
              </w:r>
            </w:hyperlink>
          </w:p>
        </w:tc>
        <w:tc>
          <w:tcPr>
            <w:tcW w:w="6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3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Stockholders' Equity</w:t>
              </w:r>
            </w:hyperlink>
          </w:p>
        </w:tc>
        <w:tc>
          <w:tcPr>
            <w:tcW w:w="680" w:type="dxa"/>
            <w:vAlign w:val="bottom"/>
            <w:tcBorders>
              <w:top w:val="single" w:sz="8" w:color="0000EE"/>
            </w:tcBorders>
            <w:gridSpan w:val="2"/>
          </w:tcPr>
          <w:p>
            <w:pPr>
              <w:spacing w:after="0"/>
              <w:rPr>
                <w:sz w:val="21"/>
                <w:szCs w:val="21"/>
                <w:color w:val="auto"/>
              </w:rPr>
            </w:pPr>
          </w:p>
        </w:tc>
        <w:tc>
          <w:tcPr>
            <w:tcW w:w="5300" w:type="dxa"/>
            <w:vAlign w:val="bottom"/>
            <w:gridSpan w:val="2"/>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6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6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6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9</w:t>
              </w:r>
            </w:hyperlink>
          </w:p>
        </w:tc>
      </w:tr>
      <w:tr>
        <w:trPr>
          <w:trHeight w:val="20"/>
        </w:trPr>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56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50"/>
        </w:trPr>
        <w:tc>
          <w:tcPr>
            <w:tcW w:w="140" w:type="dxa"/>
            <w:vAlign w:val="bottom"/>
          </w:tcPr>
          <w:p>
            <w:pPr>
              <w:spacing w:after="0"/>
              <w:rPr>
                <w:sz w:val="21"/>
                <w:szCs w:val="21"/>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6480" w:type="dxa"/>
            <w:vAlign w:val="bottom"/>
            <w:tcBorders>
              <w:top w:val="single" w:sz="8" w:color="0000EE"/>
            </w:tcBorders>
            <w:gridSpan w:val="16"/>
          </w:tcPr>
          <w:p>
            <w:pPr>
              <w:ind w:left="20"/>
              <w:spacing w:after="0"/>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3560" w:type="dxa"/>
            <w:vAlign w:val="bottom"/>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250"/>
        </w:trPr>
        <w:tc>
          <w:tcPr>
            <w:tcW w:w="140" w:type="dxa"/>
            <w:vAlign w:val="bottom"/>
          </w:tcPr>
          <w:p>
            <w:pPr>
              <w:spacing w:after="0"/>
              <w:rPr>
                <w:sz w:val="21"/>
                <w:szCs w:val="21"/>
                <w:color w:val="auto"/>
              </w:rPr>
            </w:pPr>
          </w:p>
        </w:tc>
        <w:tc>
          <w:tcPr>
            <w:tcW w:w="5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1800" w:type="dxa"/>
            <w:vAlign w:val="bottom"/>
            <w:tcBorders>
              <w:top w:val="single" w:sz="8" w:color="0000EE"/>
              <w:bottom w:val="single" w:sz="8" w:color="0000EE"/>
            </w:tcBorders>
            <w:gridSpan w:val="7"/>
          </w:tcPr>
          <w:p>
            <w:pPr>
              <w:ind w:left="20"/>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7"/>
          </w:tcPr>
          <w:p>
            <w:pPr>
              <w:spacing w:after="0"/>
              <w:rPr>
                <w:sz w:val="21"/>
                <w:szCs w:val="21"/>
                <w:color w:val="auto"/>
              </w:rPr>
            </w:pPr>
          </w:p>
        </w:tc>
        <w:tc>
          <w:tcPr>
            <w:tcW w:w="5660" w:type="dxa"/>
            <w:vAlign w:val="bottom"/>
            <w:gridSpan w:val="3"/>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426"/>
        </w:trPr>
        <w:tc>
          <w:tcPr>
            <w:tcW w:w="2240" w:type="dxa"/>
            <w:vAlign w:val="bottom"/>
            <w:tcBorders>
              <w:bottom w:val="single" w:sz="8" w:color="0000EE"/>
            </w:tcBorders>
            <w:gridSpan w:val="9"/>
          </w:tcPr>
          <w:p>
            <w:pPr>
              <w:spacing w:after="0"/>
              <w:rPr>
                <w:rFonts w:ascii="Arial" w:cs="Arial" w:eastAsia="Arial" w:hAnsi="Arial"/>
                <w:sz w:val="18"/>
                <w:szCs w:val="18"/>
                <w:b w:val="1"/>
                <w:bCs w:val="1"/>
                <w:color w:val="0000EE"/>
                <w:w w:val="96"/>
              </w:rPr>
            </w:pPr>
            <w:hyperlink w:anchor="page26">
              <w:r>
                <w:rPr>
                  <w:rFonts w:ascii="Arial" w:cs="Arial" w:eastAsia="Arial" w:hAnsi="Arial"/>
                  <w:sz w:val="18"/>
                  <w:szCs w:val="18"/>
                  <w:b w:val="1"/>
                  <w:bCs w:val="1"/>
                  <w:color w:val="0000EE"/>
                  <w:w w:val="96"/>
                </w:rPr>
                <w:t>Part II — Other Information</w:t>
              </w:r>
            </w:hyperlink>
          </w:p>
        </w:tc>
        <w:tc>
          <w:tcPr>
            <w:tcW w:w="8460" w:type="dxa"/>
            <w:vAlign w:val="bottom"/>
            <w:gridSpan w:val="12"/>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50"/>
        </w:trPr>
        <w:tc>
          <w:tcPr>
            <w:tcW w:w="140" w:type="dxa"/>
            <w:vAlign w:val="bottom"/>
          </w:tcPr>
          <w:p>
            <w:pPr>
              <w:spacing w:after="0"/>
              <w:rPr>
                <w:sz w:val="21"/>
                <w:szCs w:val="21"/>
                <w:color w:val="auto"/>
              </w:rPr>
            </w:pPr>
          </w:p>
        </w:tc>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1.</w:t>
              </w:r>
            </w:hyperlink>
          </w:p>
        </w:tc>
        <w:tc>
          <w:tcPr>
            <w:tcW w:w="1360" w:type="dxa"/>
            <w:vAlign w:val="bottom"/>
            <w:tcBorders>
              <w:bottom w:val="single" w:sz="8" w:color="0000EE"/>
            </w:tcBorders>
            <w:gridSpan w:val="4"/>
          </w:tcPr>
          <w:p>
            <w:pPr>
              <w:ind w:left="20"/>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8680" w:type="dxa"/>
            <w:vAlign w:val="bottom"/>
            <w:gridSpan w:val="13"/>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50"/>
        </w:trPr>
        <w:tc>
          <w:tcPr>
            <w:tcW w:w="140" w:type="dxa"/>
            <w:vAlign w:val="bottom"/>
          </w:tcPr>
          <w:p>
            <w:pPr>
              <w:spacing w:after="0"/>
              <w:rPr>
                <w:sz w:val="21"/>
                <w:szCs w:val="21"/>
                <w:color w:val="auto"/>
              </w:rPr>
            </w:pPr>
          </w:p>
        </w:tc>
        <w:tc>
          <w:tcPr>
            <w:tcW w:w="15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1A. Risk Factors</w:t>
              </w:r>
            </w:hyperlink>
          </w:p>
        </w:tc>
        <w:tc>
          <w:tcPr>
            <w:tcW w:w="8980" w:type="dxa"/>
            <w:vAlign w:val="bottom"/>
            <w:gridSpan w:val="14"/>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50"/>
        </w:trPr>
        <w:tc>
          <w:tcPr>
            <w:tcW w:w="140" w:type="dxa"/>
            <w:vAlign w:val="bottom"/>
          </w:tcPr>
          <w:p>
            <w:pPr>
              <w:spacing w:after="0"/>
              <w:rPr>
                <w:sz w:val="21"/>
                <w:szCs w:val="21"/>
                <w:color w:val="auto"/>
              </w:rPr>
            </w:pPr>
          </w:p>
        </w:tc>
        <w:tc>
          <w:tcPr>
            <w:tcW w:w="520" w:type="dxa"/>
            <w:vAlign w:val="bottom"/>
            <w:gridSpan w:val="3"/>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10040" w:type="dxa"/>
            <w:vAlign w:val="bottom"/>
            <w:gridSpan w:val="17"/>
          </w:tcPr>
          <w:p>
            <w:pPr>
              <w:ind w:left="20"/>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6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50"/>
        </w:trPr>
        <w:tc>
          <w:tcPr>
            <w:tcW w:w="140" w:type="dxa"/>
            <w:vAlign w:val="bottom"/>
          </w:tcPr>
          <w:p>
            <w:pPr>
              <w:spacing w:after="0"/>
              <w:rPr>
                <w:sz w:val="21"/>
                <w:szCs w:val="21"/>
                <w:color w:val="auto"/>
              </w:rPr>
            </w:pPr>
          </w:p>
        </w:tc>
        <w:tc>
          <w:tcPr>
            <w:tcW w:w="1140" w:type="dxa"/>
            <w:vAlign w:val="bottom"/>
            <w:tcBorders>
              <w:top w:val="single" w:sz="8" w:color="0000EE"/>
            </w:tcBorders>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9420" w:type="dxa"/>
            <w:vAlign w:val="bottom"/>
            <w:gridSpan w:val="15"/>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723"/>
        </w:trPr>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60" w:type="dxa"/>
            <w:vAlign w:val="bottom"/>
            <w:gridSpan w:val="15"/>
          </w:tcPr>
          <w:p>
            <w:pPr>
              <w:jc w:val="right"/>
              <w:ind w:right="1420"/>
              <w:spacing w:after="0"/>
              <w:rPr>
                <w:sz w:val="20"/>
                <w:szCs w:val="20"/>
                <w:color w:val="auto"/>
              </w:rPr>
            </w:pPr>
            <w:r>
              <w:rPr>
                <w:rFonts w:ascii="Arial" w:cs="Arial" w:eastAsia="Arial" w:hAnsi="Arial"/>
                <w:sz w:val="18"/>
                <w:szCs w:val="18"/>
                <w:color w:val="auto"/>
              </w:rPr>
              <w:t>2</w:t>
            </w:r>
          </w:p>
        </w:tc>
        <w:tc>
          <w:tcPr>
            <w:tcW w:w="35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Condensed Consolidated Financial Statements</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September 30, 2018</w:t>
            </w:r>
          </w:p>
        </w:tc>
      </w:tr>
      <w:tr>
        <w:trPr>
          <w:trHeight w:val="236"/>
        </w:trPr>
        <w:tc>
          <w:tcPr>
            <w:tcW w:w="7900" w:type="dxa"/>
            <w:vAlign w:val="bottom"/>
            <w:tcBorders>
              <w:top w:val="single" w:sz="8" w:color="CCEEFF"/>
              <w:bottom w:val="single" w:sz="8" w:color="CCEEFF"/>
            </w:tcBorders>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66,376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36,584</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5,991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13,170</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19,154</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Accounts receivable, less allowance for doubtful accounts of $214 and $157</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81,270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92,548</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Contract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70,727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82,545</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24,724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21,352</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6,904</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Prepaid expenses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2,275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3,775</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w:t>
            </w: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264,359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276,662</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122,836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128,764</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7,791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5,987</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and 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1,514</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6,283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5,937</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11,087</w:t>
            </w: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413,604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429,951</w:t>
            </w:r>
          </w:p>
        </w:tc>
      </w:tr>
      <w:tr>
        <w:trPr>
          <w:trHeight w:val="73"/>
        </w:trPr>
        <w:tc>
          <w:tcPr>
            <w:tcW w:w="79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r>
      <w:tr>
        <w:trPr>
          <w:trHeight w:val="217"/>
        </w:trPr>
        <w:tc>
          <w:tcPr>
            <w:tcW w:w="7900" w:type="dxa"/>
            <w:vAlign w:val="bottom"/>
            <w:tcBorders>
              <w:bottom w:val="single" w:sz="8" w:color="CCEEFF"/>
            </w:tcBorders>
            <w:shd w:val="clear" w:color="auto" w:fill="CCEEFF"/>
          </w:tcPr>
          <w:p>
            <w:pPr>
              <w:ind w:left="220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maturities of long-term debt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33,565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40,714</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Contract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43,174</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Accrued compensation and benefits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12,255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22,274</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product warranty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2,604</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897</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7,786</w:t>
            </w: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110,283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117,849</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 of current maturities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Deferred compensation</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6,347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5,902</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3,356</w:t>
            </w: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121,310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128,307</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F)</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par value $.01; 5,000,000 shares authorized; none issued</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w w:val="90"/>
              </w:rPr>
              <w:t>Common stock, par value $.01; 30,000,000 shares authorized; 12,353,166 and 12,280,556 shares issued, respectively</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123</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57,511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56,769</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283,805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291,530</w:t>
            </w: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Treasury stock, 806,018 shares at cost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(24,999)</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(24,147)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(21,779)</w:t>
            </w:r>
          </w:p>
        </w:tc>
      </w:tr>
      <w:tr>
        <w:trPr>
          <w:trHeight w:val="47"/>
        </w:trPr>
        <w:tc>
          <w:tcPr>
            <w:tcW w:w="79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301,644</w:t>
            </w: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413,604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429,951</w:t>
            </w:r>
          </w:p>
        </w:tc>
      </w:tr>
      <w:tr>
        <w:trPr>
          <w:trHeight w:val="33"/>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6"/>
                <w:szCs w:val="16"/>
                <w:color w:val="auto"/>
              </w:rPr>
            </w:pPr>
          </w:p>
        </w:tc>
        <w:tc>
          <w:tcPr>
            <w:tcW w:w="250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55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123,737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101,505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233,088</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191,689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103,662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89,084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198,382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168,713</w:t>
            </w: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22,976</w:t>
            </w:r>
          </w:p>
        </w:tc>
      </w:tr>
      <w:tr>
        <w:trPr>
          <w:trHeight w:val="297"/>
        </w:trPr>
        <w:tc>
          <w:tcPr>
            <w:tcW w:w="5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16,073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32,288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1,636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3,357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3,294</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(5,332)</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(12,723)</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5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(11,823)</w:t>
            </w:r>
          </w:p>
        </w:tc>
      </w:tr>
      <w:tr>
        <w:trPr>
          <w:trHeight w:val="297"/>
        </w:trPr>
        <w:tc>
          <w:tcPr>
            <w:tcW w:w="5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(2,831)</w:t>
            </w:r>
          </w:p>
        </w:tc>
      </w:tr>
      <w:tr>
        <w:trPr>
          <w:trHeight w:val="291"/>
        </w:trPr>
        <w:tc>
          <w:tcPr>
            <w:tcW w:w="55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(8,992)</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(0.15)</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(0.78)</w:t>
            </w:r>
          </w:p>
        </w:tc>
      </w:tr>
      <w:tr>
        <w:trPr>
          <w:trHeight w:val="67"/>
        </w:trPr>
        <w:tc>
          <w:tcPr>
            <w:tcW w:w="55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56"/>
        </w:trPr>
        <w:tc>
          <w:tcPr>
            <w:tcW w:w="5500" w:type="dxa"/>
            <w:vAlign w:val="bottom"/>
            <w:tcBorders>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11,570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11,509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11,560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11,503</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11,503</w:t>
            </w:r>
          </w:p>
        </w:tc>
      </w:tr>
      <w:tr>
        <w:trPr>
          <w:trHeight w:val="297"/>
        </w:trPr>
        <w:tc>
          <w:tcPr>
            <w:tcW w:w="5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5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Dividends per share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0.52</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0.52</w:t>
            </w:r>
          </w:p>
        </w:tc>
      </w:tr>
      <w:tr>
        <w:trPr>
          <w:trHeight w:val="27"/>
        </w:trPr>
        <w:tc>
          <w:tcPr>
            <w:tcW w:w="5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Comprehensive Income (Loss) (Unaudited) (In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54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3"/>
              </w:rPr>
              <w:t>Three months ended March 31,</w:t>
            </w:r>
          </w:p>
        </w:tc>
        <w:tc>
          <w:tcPr>
            <w:tcW w:w="5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554"/>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50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(3,330)</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(1,737)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1,720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(1,275)</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(2,368)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(1,589)</w:t>
            </w:r>
          </w:p>
        </w:tc>
      </w:tr>
      <w:tr>
        <w:trPr>
          <w:trHeight w:val="27"/>
        </w:trPr>
        <w:tc>
          <w:tcPr>
            <w:tcW w:w="50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2,678</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(4,605)</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(4,105)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Stockholders’ Equity (Unaudited)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Treasury Stock</w:t>
            </w:r>
          </w:p>
        </w:tc>
        <w:tc>
          <w:tcPr>
            <w:tcW w:w="12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2"/>
                <w:szCs w:val="22"/>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2"/>
                <w:szCs w:val="2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22"/>
                <w:szCs w:val="22"/>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3"/>
        </w:trPr>
        <w:tc>
          <w:tcPr>
            <w:tcW w:w="170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Balance, September 30,</w:t>
            </w: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12,281</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56,769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291,530</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(21,779)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301,644</w:t>
            </w:r>
          </w:p>
        </w:tc>
        <w:tc>
          <w:tcPr>
            <w:tcW w:w="0" w:type="dxa"/>
            <w:vAlign w:val="bottom"/>
          </w:tcPr>
          <w:p>
            <w:pPr>
              <w:spacing w:after="0"/>
              <w:rPr>
                <w:sz w:val="1"/>
                <w:szCs w:val="1"/>
                <w:color w:val="auto"/>
              </w:rPr>
            </w:pPr>
          </w:p>
        </w:tc>
      </w:tr>
      <w:tr>
        <w:trPr>
          <w:trHeight w:val="191"/>
        </w:trPr>
        <w:tc>
          <w:tcPr>
            <w:tcW w:w="1700" w:type="dxa"/>
            <w:vAlign w:val="bottom"/>
            <w:vMerge w:val="restart"/>
          </w:tcPr>
          <w:p>
            <w:pPr>
              <w:ind w:left="16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(2,695)</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(2,695)</w:t>
            </w: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Foreign currency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translation adjustments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(4,088)</w:t>
            </w:r>
          </w:p>
        </w:tc>
        <w:tc>
          <w:tcPr>
            <w:tcW w:w="0" w:type="dxa"/>
            <w:vAlign w:val="bottom"/>
          </w:tcPr>
          <w:p>
            <w:pPr>
              <w:spacing w:after="0"/>
              <w:rPr>
                <w:sz w:val="1"/>
                <w:szCs w:val="1"/>
                <w:color w:val="auto"/>
              </w:rPr>
            </w:pPr>
          </w:p>
        </w:tc>
      </w:tr>
      <w:tr>
        <w:trPr>
          <w:trHeight w:val="157"/>
        </w:trPr>
        <w:tc>
          <w:tcPr>
            <w:tcW w:w="1700" w:type="dxa"/>
            <w:vAlign w:val="bottom"/>
          </w:tcPr>
          <w:p>
            <w:pPr>
              <w:ind w:left="160"/>
              <w:spacing w:after="0" w:line="157" w:lineRule="exact"/>
              <w:rPr>
                <w:sz w:val="20"/>
                <w:szCs w:val="20"/>
                <w:color w:val="auto"/>
              </w:rPr>
            </w:pPr>
            <w:r>
              <w:rPr>
                <w:rFonts w:ascii="Arial" w:cs="Arial" w:eastAsia="Arial" w:hAnsi="Arial"/>
                <w:sz w:val="14"/>
                <w:szCs w:val="14"/>
                <w:color w:val="auto"/>
              </w:rPr>
              <w:t>Stock-based</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41</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60"/>
              <w:spacing w:after="0"/>
              <w:rPr>
                <w:sz w:val="20"/>
                <w:szCs w:val="20"/>
                <w:color w:val="auto"/>
              </w:rPr>
            </w:pPr>
            <w:r>
              <w:rPr>
                <w:rFonts w:ascii="Arial" w:cs="Arial" w:eastAsia="Arial" w:hAnsi="Arial"/>
                <w:sz w:val="14"/>
                <w:szCs w:val="14"/>
                <w:color w:val="auto"/>
              </w:rPr>
              <w:t>compensation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1,220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Shares withheld in lieu of</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6"/>
              </w:rPr>
              <w:t>employee tax withholding</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191"/>
        </w:trPr>
        <w:tc>
          <w:tcPr>
            <w:tcW w:w="1700" w:type="dxa"/>
            <w:vAlign w:val="bottom"/>
            <w:vMerge w:val="restart"/>
          </w:tcPr>
          <w:p>
            <w:pPr>
              <w:ind w:left="160"/>
              <w:spacing w:after="0"/>
              <w:rPr>
                <w:sz w:val="20"/>
                <w:szCs w:val="20"/>
                <w:color w:val="auto"/>
              </w:rPr>
            </w:pPr>
            <w:r>
              <w:rPr>
                <w:rFonts w:ascii="Arial" w:cs="Arial" w:eastAsia="Arial" w:hAnsi="Arial"/>
                <w:sz w:val="14"/>
                <w:szCs w:val="14"/>
                <w:color w:val="auto"/>
              </w:rPr>
              <w:t>Dividends paid</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(2,992)</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(2,992)</w:t>
            </w: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7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4"/>
                <w:szCs w:val="14"/>
                <w:color w:val="auto"/>
              </w:rPr>
              <w:t>Balance, December 31,</w:t>
            </w:r>
          </w:p>
        </w:tc>
        <w:tc>
          <w:tcPr>
            <w:tcW w:w="7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12,322</w:t>
            </w: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85"/>
              </w:rPr>
              <w:t>123</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57,258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285,843</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(806)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center"/>
              <w:spacing w:after="0" w:line="148"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(24,999)</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(25,867)</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292,358</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00" w:type="dxa"/>
            <w:vAlign w:val="bottom"/>
            <w:vMerge w:val="restart"/>
          </w:tcPr>
          <w:p>
            <w:pPr>
              <w:ind w:left="160"/>
              <w:spacing w:after="0"/>
              <w:rPr>
                <w:sz w:val="20"/>
                <w:szCs w:val="20"/>
                <w:color w:val="auto"/>
              </w:rPr>
            </w:pPr>
            <w:r>
              <w:rPr>
                <w:rFonts w:ascii="Arial" w:cs="Arial" w:eastAsia="Arial" w:hAnsi="Arial"/>
                <w:sz w:val="14"/>
                <w:szCs w:val="14"/>
                <w:color w:val="auto"/>
              </w:rPr>
              <w:t>Net income</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958</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Foreign currency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translation adjustments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1,720</w:t>
            </w:r>
          </w:p>
        </w:tc>
        <w:tc>
          <w:tcPr>
            <w:tcW w:w="0" w:type="dxa"/>
            <w:vAlign w:val="bottom"/>
          </w:tcPr>
          <w:p>
            <w:pPr>
              <w:spacing w:after="0"/>
              <w:rPr>
                <w:sz w:val="1"/>
                <w:szCs w:val="1"/>
                <w:color w:val="auto"/>
              </w:rPr>
            </w:pPr>
          </w:p>
        </w:tc>
      </w:tr>
      <w:tr>
        <w:trPr>
          <w:trHeight w:val="157"/>
        </w:trPr>
        <w:tc>
          <w:tcPr>
            <w:tcW w:w="1700" w:type="dxa"/>
            <w:vAlign w:val="bottom"/>
          </w:tcPr>
          <w:p>
            <w:pPr>
              <w:ind w:left="160"/>
              <w:spacing w:after="0" w:line="157" w:lineRule="exact"/>
              <w:rPr>
                <w:sz w:val="20"/>
                <w:szCs w:val="20"/>
                <w:color w:val="auto"/>
              </w:rPr>
            </w:pPr>
            <w:r>
              <w:rPr>
                <w:rFonts w:ascii="Arial" w:cs="Arial" w:eastAsia="Arial" w:hAnsi="Arial"/>
                <w:sz w:val="14"/>
                <w:szCs w:val="14"/>
                <w:color w:val="auto"/>
              </w:rPr>
              <w:t>Stock-based</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8"/>
              <w:spacing w:after="0" w:line="157" w:lineRule="exact"/>
              <w:rPr>
                <w:sz w:val="20"/>
                <w:szCs w:val="20"/>
                <w:color w:val="auto"/>
              </w:rPr>
            </w:pPr>
            <w:r>
              <w:rPr>
                <w:rFonts w:ascii="Arial" w:cs="Arial" w:eastAsia="Arial" w:hAnsi="Arial"/>
                <w:sz w:val="14"/>
                <w:szCs w:val="14"/>
                <w:color w:val="auto"/>
              </w:rPr>
              <w:t>669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60"/>
              <w:spacing w:after="0"/>
              <w:rPr>
                <w:sz w:val="20"/>
                <w:szCs w:val="20"/>
                <w:color w:val="auto"/>
              </w:rPr>
            </w:pPr>
            <w:r>
              <w:rPr>
                <w:rFonts w:ascii="Arial" w:cs="Arial" w:eastAsia="Arial" w:hAnsi="Arial"/>
                <w:sz w:val="14"/>
                <w:szCs w:val="14"/>
                <w:color w:val="auto"/>
              </w:rPr>
              <w:t>compensation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Shares withheld in lieu of</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6"/>
              </w:rPr>
              <w:t>employee tax withholding</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57"/>
        </w:trPr>
        <w:tc>
          <w:tcPr>
            <w:tcW w:w="1700" w:type="dxa"/>
            <w:vAlign w:val="bottom"/>
          </w:tcPr>
          <w:p>
            <w:pPr>
              <w:ind w:left="160"/>
              <w:spacing w:after="0" w:line="157" w:lineRule="exact"/>
              <w:rPr>
                <w:sz w:val="20"/>
                <w:szCs w:val="20"/>
                <w:color w:val="auto"/>
              </w:rPr>
            </w:pPr>
            <w:r>
              <w:rPr>
                <w:rFonts w:ascii="Arial" w:cs="Arial" w:eastAsia="Arial" w:hAnsi="Arial"/>
                <w:sz w:val="14"/>
                <w:szCs w:val="14"/>
                <w:color w:val="auto"/>
              </w:rPr>
              <w:t>Issuance of restricted</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60"/>
              <w:spacing w:after="0"/>
              <w:rPr>
                <w:sz w:val="20"/>
                <w:szCs w:val="20"/>
                <w:color w:val="auto"/>
              </w:rPr>
            </w:pPr>
            <w:r>
              <w:rPr>
                <w:rFonts w:ascii="Arial" w:cs="Arial" w:eastAsia="Arial" w:hAnsi="Arial"/>
                <w:sz w:val="14"/>
                <w:szCs w:val="14"/>
                <w:color w:val="auto"/>
              </w:rPr>
              <w:t>stock</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Dividends paid</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4"/>
                <w:szCs w:val="14"/>
                <w:color w:val="auto"/>
              </w:rPr>
              <w:t>Balance, March 31, 2019</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12,353</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124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57,511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283,805</w:t>
            </w:r>
          </w:p>
        </w:tc>
        <w:tc>
          <w:tcPr>
            <w:tcW w:w="10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(24,999)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(24,147)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292,294</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200"/>
          </w:cols>
          <w:pgMar w:left="1360" w:top="580" w:right="1339" w:bottom="1440" w:gutter="0" w:footer="0" w:header="0"/>
        </w:sectPr>
      </w:pPr>
    </w:p>
    <w:bookmarkStart w:id="6" w:name="page7"/>
    <w:bookmarkEnd w:id="6"/>
    <w:p>
      <w:pPr>
        <w:jc w:val="center"/>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Stockholders’ Equity (Unaudited)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Treasury Stock</w:t>
            </w:r>
          </w:p>
        </w:tc>
        <w:tc>
          <w:tcPr>
            <w:tcW w:w="12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2"/>
                <w:szCs w:val="22"/>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2"/>
                <w:szCs w:val="2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22"/>
                <w:szCs w:val="22"/>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3"/>
        </w:trPr>
        <w:tc>
          <w:tcPr>
            <w:tcW w:w="170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Balance, September 30,</w:t>
            </w: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12,234</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122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54,329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310,598</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321,296</w:t>
            </w:r>
          </w:p>
        </w:tc>
        <w:tc>
          <w:tcPr>
            <w:tcW w:w="0" w:type="dxa"/>
            <w:vAlign w:val="bottom"/>
          </w:tcPr>
          <w:p>
            <w:pPr>
              <w:spacing w:after="0"/>
              <w:rPr>
                <w:sz w:val="1"/>
                <w:szCs w:val="1"/>
                <w:color w:val="auto"/>
              </w:rPr>
            </w:pPr>
          </w:p>
        </w:tc>
      </w:tr>
      <w:tr>
        <w:trPr>
          <w:trHeight w:val="191"/>
        </w:trPr>
        <w:tc>
          <w:tcPr>
            <w:tcW w:w="1700" w:type="dxa"/>
            <w:vAlign w:val="bottom"/>
            <w:vMerge w:val="restart"/>
          </w:tcPr>
          <w:p>
            <w:pPr>
              <w:ind w:left="16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(5,662)</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(5,662)</w:t>
            </w: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Foreign currency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translation adjustments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57"/>
        </w:trPr>
        <w:tc>
          <w:tcPr>
            <w:tcW w:w="1700" w:type="dxa"/>
            <w:vAlign w:val="bottom"/>
          </w:tcPr>
          <w:p>
            <w:pPr>
              <w:ind w:left="160"/>
              <w:spacing w:after="0" w:line="157" w:lineRule="exact"/>
              <w:rPr>
                <w:sz w:val="20"/>
                <w:szCs w:val="20"/>
                <w:color w:val="auto"/>
              </w:rPr>
            </w:pPr>
            <w:r>
              <w:rPr>
                <w:rFonts w:ascii="Arial" w:cs="Arial" w:eastAsia="Arial" w:hAnsi="Arial"/>
                <w:sz w:val="14"/>
                <w:szCs w:val="14"/>
                <w:color w:val="auto"/>
              </w:rPr>
              <w:t>Stock-based</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60"/>
              <w:spacing w:after="0"/>
              <w:rPr>
                <w:sz w:val="20"/>
                <w:szCs w:val="20"/>
                <w:color w:val="auto"/>
              </w:rPr>
            </w:pPr>
            <w:r>
              <w:rPr>
                <w:rFonts w:ascii="Arial" w:cs="Arial" w:eastAsia="Arial" w:hAnsi="Arial"/>
                <w:sz w:val="14"/>
                <w:szCs w:val="14"/>
                <w:color w:val="auto"/>
              </w:rPr>
              <w:t>compensation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Shares withheld in lieu of</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6"/>
              </w:rPr>
              <w:t>employee tax withholding</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91"/>
        </w:trPr>
        <w:tc>
          <w:tcPr>
            <w:tcW w:w="1700" w:type="dxa"/>
            <w:vAlign w:val="bottom"/>
            <w:vMerge w:val="restart"/>
          </w:tcPr>
          <w:p>
            <w:pPr>
              <w:ind w:left="160"/>
              <w:spacing w:after="0"/>
              <w:rPr>
                <w:sz w:val="20"/>
                <w:szCs w:val="20"/>
                <w:color w:val="auto"/>
              </w:rPr>
            </w:pPr>
            <w:r>
              <w:rPr>
                <w:rFonts w:ascii="Arial" w:cs="Arial" w:eastAsia="Arial" w:hAnsi="Arial"/>
                <w:sz w:val="14"/>
                <w:szCs w:val="14"/>
                <w:color w:val="auto"/>
              </w:rPr>
              <w:t>Dividends paid</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(2,977)</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(2,977)</w:t>
            </w: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7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4"/>
                <w:szCs w:val="14"/>
                <w:color w:val="auto"/>
              </w:rPr>
              <w:t>Balance, December 31,</w:t>
            </w:r>
          </w:p>
        </w:tc>
        <w:tc>
          <w:tcPr>
            <w:tcW w:w="7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12,257</w:t>
            </w: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85"/>
              </w:rPr>
              <w:t>122</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54,960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301,959</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(806)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center"/>
              <w:spacing w:after="0" w:line="148"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(24,999)</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(19,068)</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312,974</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00" w:type="dxa"/>
            <w:vAlign w:val="bottom"/>
            <w:vMerge w:val="restart"/>
          </w:tcPr>
          <w:p>
            <w:pPr>
              <w:ind w:left="16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(3,330)</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(3,330)</w:t>
            </w: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Foreign currency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translation adjustments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157"/>
        </w:trPr>
        <w:tc>
          <w:tcPr>
            <w:tcW w:w="1700" w:type="dxa"/>
            <w:vAlign w:val="bottom"/>
          </w:tcPr>
          <w:p>
            <w:pPr>
              <w:ind w:left="160"/>
              <w:spacing w:after="0" w:line="157" w:lineRule="exact"/>
              <w:rPr>
                <w:sz w:val="20"/>
                <w:szCs w:val="20"/>
                <w:color w:val="auto"/>
              </w:rPr>
            </w:pPr>
            <w:r>
              <w:rPr>
                <w:rFonts w:ascii="Arial" w:cs="Arial" w:eastAsia="Arial" w:hAnsi="Arial"/>
                <w:sz w:val="14"/>
                <w:szCs w:val="14"/>
                <w:color w:val="auto"/>
              </w:rPr>
              <w:t>Stock-based</w:t>
            </w: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tcPr>
          <w:p>
            <w:pPr>
              <w:jc w:val="right"/>
              <w:ind w:right="8"/>
              <w:spacing w:after="0" w:line="157" w:lineRule="exact"/>
              <w:rPr>
                <w:sz w:val="20"/>
                <w:szCs w:val="20"/>
                <w:color w:val="auto"/>
              </w:rPr>
            </w:pPr>
            <w:r>
              <w:rPr>
                <w:rFonts w:ascii="Arial" w:cs="Arial" w:eastAsia="Arial" w:hAnsi="Arial"/>
                <w:sz w:val="14"/>
                <w:szCs w:val="14"/>
                <w:color w:val="auto"/>
              </w:rPr>
              <w:t>998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60"/>
              <w:spacing w:after="0"/>
              <w:rPr>
                <w:sz w:val="20"/>
                <w:szCs w:val="20"/>
                <w:color w:val="auto"/>
              </w:rPr>
            </w:pPr>
            <w:r>
              <w:rPr>
                <w:rFonts w:ascii="Arial" w:cs="Arial" w:eastAsia="Arial" w:hAnsi="Arial"/>
                <w:sz w:val="14"/>
                <w:szCs w:val="14"/>
                <w:color w:val="auto"/>
              </w:rPr>
              <w:t>compensation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Shares withheld in lieu of</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6"/>
              </w:rPr>
              <w:t>employee tax withholding</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700" w:type="dxa"/>
            <w:vAlign w:val="bottom"/>
          </w:tcPr>
          <w:p>
            <w:pPr>
              <w:ind w:left="160"/>
              <w:spacing w:after="0" w:line="157" w:lineRule="exact"/>
              <w:rPr>
                <w:sz w:val="20"/>
                <w:szCs w:val="20"/>
                <w:color w:val="auto"/>
              </w:rPr>
            </w:pPr>
            <w:r>
              <w:rPr>
                <w:rFonts w:ascii="Arial" w:cs="Arial" w:eastAsia="Arial" w:hAnsi="Arial"/>
                <w:sz w:val="14"/>
                <w:szCs w:val="14"/>
                <w:color w:val="auto"/>
              </w:rPr>
              <w:t>Issuance of restricted</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60"/>
              <w:spacing w:after="0"/>
              <w:rPr>
                <w:sz w:val="20"/>
                <w:szCs w:val="20"/>
                <w:color w:val="auto"/>
              </w:rPr>
            </w:pPr>
            <w:r>
              <w:rPr>
                <w:rFonts w:ascii="Arial" w:cs="Arial" w:eastAsia="Arial" w:hAnsi="Arial"/>
                <w:sz w:val="14"/>
                <w:szCs w:val="14"/>
                <w:color w:val="auto"/>
              </w:rPr>
              <w:t>stock</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Dividends paid</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(2,976)</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(2,976)</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4"/>
                <w:szCs w:val="14"/>
                <w:color w:val="auto"/>
              </w:rPr>
              <w:t>Balance, March 31, 2018</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12,269</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123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55,958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295,653</w:t>
            </w:r>
          </w:p>
        </w:tc>
        <w:tc>
          <w:tcPr>
            <w:tcW w:w="10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(24,999)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(20,343)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306,392</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200"/>
          </w:cols>
          <w:pgMar w:left="1360" w:top="580" w:right="1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Six months ended March 31,</w:t>
            </w:r>
          </w:p>
        </w:tc>
        <w:tc>
          <w:tcPr>
            <w:tcW w:w="128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51"/>
              <w:spacing w:after="0"/>
              <w:rPr>
                <w:sz w:val="20"/>
                <w:szCs w:val="20"/>
                <w:color w:val="auto"/>
              </w:rPr>
            </w:pPr>
            <w:r>
              <w:rPr>
                <w:rFonts w:ascii="Arial" w:cs="Arial" w:eastAsia="Arial" w:hAnsi="Arial"/>
                <w:sz w:val="14"/>
                <w:szCs w:val="14"/>
                <w:b w:val="1"/>
                <w:bCs w:val="1"/>
                <w:color w:val="auto"/>
              </w:rPr>
              <w:t>2018</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Net loss</w:t>
            </w:r>
          </w:p>
        </w:tc>
        <w:tc>
          <w:tcPr>
            <w:tcW w:w="1300" w:type="dxa"/>
            <w:vAlign w:val="bottom"/>
          </w:tcPr>
          <w:p>
            <w:pPr>
              <w:jc w:val="right"/>
              <w:ind w:right="109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21"/>
                <w:szCs w:val="21"/>
                <w:color w:val="auto"/>
              </w:rPr>
            </w:pP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(8,992)</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Adjustments to reconcile net loss to net cash provided by (used in) operating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30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6,460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6,424</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Stock-based compensation</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2,067</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Bad debt expense</w:t>
            </w:r>
          </w:p>
        </w:tc>
        <w:tc>
          <w:tcPr>
            <w:tcW w:w="130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92</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 benefit</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Gain on amended supply agreement</w:t>
            </w:r>
          </w:p>
        </w:tc>
        <w:tc>
          <w:tcPr>
            <w:tcW w:w="13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Accounts receivable, net</w:t>
            </w:r>
          </w:p>
        </w:tc>
        <w:tc>
          <w:tcPr>
            <w:tcW w:w="130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12,716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(14,272)</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Contract assets and liabilities, net</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19,663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10,251</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(3,561)</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2,156</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1,589</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1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(7,640)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(4,051)</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net</w:t>
            </w:r>
          </w:p>
        </w:tc>
        <w:tc>
          <w:tcPr>
            <w:tcW w:w="1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w:t>
            </w: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Net cash provided by (used in) operating activities</w:t>
            </w:r>
          </w:p>
        </w:tc>
        <w:tc>
          <w:tcPr>
            <w:tcW w:w="1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26,047</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(10,607)</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Purchases of short-term investments</w:t>
            </w:r>
          </w:p>
        </w:tc>
        <w:tc>
          <w:tcPr>
            <w:tcW w:w="1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(20,712)</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Maturities of short-term investments</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13,088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26,019</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 net</w:t>
            </w:r>
          </w:p>
        </w:tc>
        <w:tc>
          <w:tcPr>
            <w:tcW w:w="1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(2,760)</w:t>
            </w:r>
          </w:p>
        </w:tc>
      </w:tr>
      <w:tr>
        <w:trPr>
          <w:trHeight w:val="27"/>
        </w:trPr>
        <w:tc>
          <w:tcPr>
            <w:tcW w:w="69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5,256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1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on industrial development revenue bonds</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Shares withheld in lieu of employee tax withholding</w:t>
            </w:r>
          </w:p>
        </w:tc>
        <w:tc>
          <w:tcPr>
            <w:tcW w:w="1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paid</w:t>
            </w:r>
          </w:p>
        </w:tc>
        <w:tc>
          <w:tcPr>
            <w:tcW w:w="1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(5,954)</w:t>
            </w: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Net cash used in financing activities</w:t>
            </w:r>
          </w:p>
        </w:tc>
        <w:tc>
          <w:tcPr>
            <w:tcW w:w="1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(7,535)</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(6,792)</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23,768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357</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1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61,725</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93,210</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1300" w:type="dxa"/>
            <w:vAlign w:val="bottom"/>
            <w:tcBorders>
              <w:top w:val="single" w:sz="8" w:color="auto"/>
              <w:bottom w:val="single" w:sz="8" w:color="auto"/>
            </w:tcBorders>
          </w:tcPr>
          <w:p>
            <w:pPr>
              <w:jc w:val="right"/>
              <w:ind w:right="109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85,002</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78,715</w:t>
            </w:r>
          </w:p>
        </w:tc>
      </w:tr>
      <w:tr>
        <w:trPr>
          <w:trHeight w:val="20"/>
        </w:trPr>
        <w:tc>
          <w:tcPr>
            <w:tcW w:w="69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ind w:right="5320"/>
        <w:spacing w:after="0" w:line="375" w:lineRule="auto"/>
        <w:rPr>
          <w:sz w:val="20"/>
          <w:szCs w:val="20"/>
          <w:color w:val="auto"/>
        </w:rPr>
      </w:pPr>
      <w:r>
        <w:rPr>
          <w:rFonts w:ascii="Arial" w:cs="Arial" w:eastAsia="Arial" w:hAnsi="Arial"/>
          <w:sz w:val="18"/>
          <w:szCs w:val="18"/>
          <w:color w:val="auto"/>
        </w:rPr>
        <w:t xml:space="preserve">A. OVERVIEW AND SUMMARY OF SIGNIFICANT ACCOUNTING POLICIES </w:t>
      </w:r>
      <w:r>
        <w:rPr>
          <w:rFonts w:ascii="Arial" w:cs="Arial" w:eastAsia="Arial" w:hAnsi="Arial"/>
          <w:sz w:val="18"/>
          <w:szCs w:val="18"/>
          <w:i w:val="1"/>
          <w:iCs w:val="1"/>
          <w:color w:val="auto"/>
        </w:rPr>
        <w:t>Overview</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Powell Industries, Inc. (we, us, our, Powell or the Company) was incorporated in the state of Delaware in 2004 as a successor to a Nevada company incorporated in 1968. The Nevada company was the successor to a company founded by William E. Powell in 1947, which merged into the Company in 1977. Our major subsidiaries, all of which are wholly owned, include: Powell Electrical Systems, Inc.; Powell (UK) Limited; Powell Canada Inc. and Powell Industries International, B.V.</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develop, design, manufacture and service custom-engineered products and systems for the distribution, control and monitoring of electrical energy. Headquartered in Houston, Texas, we serve the oil and gas markets, including onshore and offshore oil and gas production, pipeline, refining and liquid natural gas terminals, as well as petrochemical, electric utility and light traction power.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Powell and its wholly-owned subsidiaries. All significant intercompany accounts and transactions have been eliminated in consolidation.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audited consolidated financial statements and notes thereto of Powell and its subsidiaries included in Powell’s Annual Report on Form 10-K for the year ended September 30, 2018, which was filed with the Securities and Exchange Commission (SEC) on December 12, 2018.</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References to Fiscal 2019 and Fiscal 2018 used throughout this report shall mean our fiscal years ended September 30, 2019 and 2018,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the allowance for doubtful accounts, provision for excess and obsolete inventory, warranty accruals and income taxes. The amounts recorded for warranties, legal, income taxes, impairment of long-lived assets (when applicable) and other contingent liabilities require judgments regarding the amount of expenses that will ultimately be incurred. We base our estimates on historical experience and on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because the ultimate realization of net deferred tax assets is dependent on the generation of future taxable income during the periods in which temporary differences become deductible. Estimates routinely change as new events occur, additional information becomes available or operating environments change. Actual results may differ from our prior estimates.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2014, the Financial Accounting Standards Board (FASB) issued a new standard on revenue recognition that supersedes previously issued revenue recognition guidance. This standard provides a five-step approach to be applied to all contracts with customers and requires expanded disclosures about the nature, amount, timing and uncertainty of revenue (and the related cash flows) arising from customer contracts, significant judgments and changes in judgments used in applying the revenue model and the assets recognized from costs incurred to obtain or fulfill a contract. Effective October 1, 2018, we adopted this standard using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the modified retrospective basis. After evaluating the impact of this new standard on contracts outstanding as of October 1, 2018, we determined that no adjustment to retained earnings was necessary. See Note D for further discussion of revenue.</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FASB issued a new topic on leases which requires lessees to recognize lease assets and lease liabilities on the balance sheet for all leases with terms longer than twelve months. Leases will be classified as either finance or operating, with classification affecting the pattern of expense recognition in the income statement. A modified retrospective transition approach is required for lessees for capital and operating leases existing at, or entered into after, the beginning of the earliest comparative period presented in the financial statements, with certain practical expedients available. The new topic is effective for fiscal years beginning after December 15, 2018, including interim periods within those fiscal years. This would be our fiscal year ending September 30, 2020. In Fiscal 2018, we acquired new lease software designed to assist with our compliance of this new topic. We are still evaluating the impact this new topic will have on our consolidated financial position and results of operations.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2016, the FASB issued a new topic on the statement of cash flows that changes the presentation of restricted cash and cash equivalents on the statement of cash flows. Restricted cash and restricted cash equivalents is to be included with cash and cash equivalents when reconciling the beginning-of-period and end-of-period total amounts shown on the statement of cash flows. We adopted this topic in Fiscal 2019 and our Condensed Consolidated Cash Flow Statements for all periods reflect this presentation.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2017, the FASB issued a new topic on modification accounting with regards to stock based compensation. This new topic clarifies when a change to the terms or conditions of a share-based payment award should be accounted for as a modification. An entity should account for the effects of a modification unless the fair value, vesting conditions and classification, as an equity instrument or a liability instrument, of the modified award are the same before and after a change to the terms or conditions of the share-based payment award. We adopted this topic in Fiscal 2019 and it has not had a material impact on our consolidated financial position or results of operations.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B. EARNINGS PER SHARE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compute basic earnings per share by dividing net income (loss) by the weighted average number of common shares outstanding during the period. Diluted earnings per common and potential common share includes the weighted average of additional shares associated with the incremental effect of dilutive restricted stock and restricted stock units, as prescribed by the FASB guidance on earnings per share.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basic and diluted weighted average shares used in the computation of earnings per share (in thousands, except per share data):</w:t>
      </w:r>
    </w:p>
    <w:p>
      <w:pPr>
        <w:sectPr>
          <w:pgSz w:w="11900" w:h="16838" w:orient="portrait"/>
          <w:cols w:equalWidth="0" w:num="1">
            <w:col w:w="11420"/>
          </w:cols>
          <w:pgMar w:left="240" w:top="692" w:right="239" w:bottom="1440" w:gutter="0" w:footer="0" w:header="0"/>
        </w:sectPr>
      </w:pPr>
    </w:p>
    <w:p>
      <w:pPr>
        <w:spacing w:after="0" w:line="253"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31115</wp:posOffset>
            </wp:positionV>
            <wp:extent cx="2109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14" w:lineRule="exact"/>
        <w:rPr>
          <w:sz w:val="20"/>
          <w:szCs w:val="20"/>
          <w:color w:val="auto"/>
        </w:rPr>
      </w:pPr>
    </w:p>
    <w:p>
      <w:pPr>
        <w:ind w:left="5220"/>
        <w:spacing w:after="0"/>
        <w:tabs>
          <w:tab w:leader="none" w:pos="6920" w:val="left"/>
        </w:tabs>
        <w:rPr>
          <w:sz w:val="20"/>
          <w:szCs w:val="20"/>
          <w:color w:val="auto"/>
        </w:rPr>
      </w:pP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1233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Six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31115</wp:posOffset>
            </wp:positionV>
            <wp:extent cx="20751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680" w:val="left"/>
        </w:tabs>
        <w:rPr>
          <w:sz w:val="20"/>
          <w:szCs w:val="20"/>
          <w:color w:val="auto"/>
        </w:rPr>
      </w:pPr>
      <w:r>
        <w:rPr>
          <w:rFonts w:ascii="Arial" w:cs="Arial" w:eastAsia="Arial" w:hAnsi="Arial"/>
          <w:sz w:val="12"/>
          <w:szCs w:val="12"/>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86" w:lineRule="exact"/>
        <w:rPr>
          <w:sz w:val="20"/>
          <w:szCs w:val="20"/>
          <w:color w:val="auto"/>
        </w:rPr>
      </w:pPr>
    </w:p>
    <w:p>
      <w:pPr>
        <w:sectPr>
          <w:pgSz w:w="11900" w:h="16838" w:orient="portrait"/>
          <w:cols w:equalWidth="0" w:num="2">
            <w:col w:w="8020" w:space="720"/>
            <w:col w:w="2680"/>
          </w:cols>
          <w:pgMar w:left="240" w:top="692" w:right="239" w:bottom="1440" w:gutter="0" w:footer="0" w:header="0"/>
          <w:type w:val="continuous"/>
        </w:sectPr>
      </w:pPr>
    </w:p>
    <w:p>
      <w:pPr>
        <w:ind w:left="40"/>
        <w:spacing w:after="0"/>
        <w:rPr>
          <w:sz w:val="20"/>
          <w:szCs w:val="20"/>
          <w:color w:val="auto"/>
        </w:rPr>
      </w:pPr>
      <w:r>
        <w:rPr>
          <w:rFonts w:ascii="Arial" w:cs="Arial" w:eastAsia="Arial" w:hAnsi="Arial"/>
          <w:sz w:val="18"/>
          <w:szCs w:val="18"/>
          <w:i w:val="1"/>
          <w:iCs w:val="1"/>
          <w:color w:val="auto"/>
        </w:rPr>
        <w:t>Numerator: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(loss)</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2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(8,992)</w:t>
            </w:r>
          </w:p>
        </w:tc>
      </w:tr>
      <w:tr>
        <w:trPr>
          <w:trHeight w:val="237"/>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Denominator:</w:t>
            </w:r>
          </w:p>
        </w:tc>
        <w:tc>
          <w:tcPr>
            <w:tcW w:w="5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Weighted average basic shares</w:t>
            </w:r>
          </w:p>
        </w:tc>
        <w:tc>
          <w:tcPr>
            <w:tcW w:w="5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11,570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11,509</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11,560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11,503</w:t>
            </w:r>
          </w:p>
        </w:tc>
      </w:tr>
      <w:tr>
        <w:trPr>
          <w:trHeight w:val="27"/>
        </w:trPr>
        <w:tc>
          <w:tcPr>
            <w:tcW w:w="4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Dilutive effect of restricted stock units</w:t>
            </w:r>
          </w:p>
        </w:tc>
        <w:tc>
          <w:tcPr>
            <w:tcW w:w="5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diluted shares</w:t>
            </w:r>
          </w:p>
        </w:tc>
        <w:tc>
          <w:tcPr>
            <w:tcW w:w="5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11,632</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11,509</w:t>
            </w:r>
          </w:p>
        </w:tc>
        <w:tc>
          <w:tcPr>
            <w:tcW w:w="2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11,560</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11,503</w:t>
            </w:r>
          </w:p>
        </w:tc>
      </w:tr>
      <w:tr>
        <w:trPr>
          <w:trHeight w:val="237"/>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Income (loss) per share:</w:t>
            </w:r>
          </w:p>
        </w:tc>
        <w:tc>
          <w:tcPr>
            <w:tcW w:w="5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304"/>
        </w:trPr>
        <w:tc>
          <w:tcPr>
            <w:tcW w:w="4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r>
      <w:tr>
        <w:trPr>
          <w:trHeight w:val="251"/>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r>
      <w:tr>
        <w:trPr>
          <w:trHeight w:val="20"/>
        </w:trPr>
        <w:tc>
          <w:tcPr>
            <w:tcW w:w="4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quarter ended March 31, 2018 and six months ended March 31, 2019 and 2018, we incurred net losses and therefore all potential common shares were deemed to be anti-dilutive.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C. DETAIL OF SELECTED BALANCE SHEET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allowance for doubtful accounts receivable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64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7"/>
              </w:rPr>
              <w:t>Three months ended March 31,</w:t>
            </w:r>
          </w:p>
        </w:tc>
        <w:tc>
          <w:tcPr>
            <w:tcW w:w="4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Six months ended March 31,</w:t>
            </w:r>
          </w:p>
        </w:tc>
        <w:tc>
          <w:tcPr>
            <w:tcW w:w="48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r>
      <w:tr>
        <w:trPr>
          <w:trHeight w:val="25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beginning of period</w:t>
            </w:r>
          </w:p>
        </w:tc>
        <w:tc>
          <w:tcPr>
            <w:tcW w:w="1000" w:type="dxa"/>
            <w:vAlign w:val="bottom"/>
            <w:tcBorders>
              <w:bottom w:val="single" w:sz="8" w:color="CFF0FC"/>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81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158</w:t>
            </w:r>
          </w:p>
        </w:tc>
        <w:tc>
          <w:tcPr>
            <w:tcW w:w="2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179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Bad debt expense</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Uncollectible accounts written off, net of recoveries</w:t>
            </w:r>
          </w:p>
        </w:tc>
        <w:tc>
          <w:tcPr>
            <w:tcW w:w="10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504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end of period</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264</w:t>
            </w:r>
          </w:p>
        </w:tc>
        <w:tc>
          <w:tcPr>
            <w:tcW w:w="20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264</w:t>
            </w:r>
          </w:p>
        </w:tc>
      </w:tr>
      <w:tr>
        <w:trPr>
          <w:trHeight w:val="20"/>
        </w:trPr>
        <w:tc>
          <w:tcPr>
            <w:tcW w:w="5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are summarized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Borders>
              <w:bottom w:val="single" w:sz="8" w:color="CFF0FC"/>
            </w:tcBorders>
          </w:tcPr>
          <w:p>
            <w:pPr>
              <w:spacing w:after="0"/>
              <w:rPr>
                <w:sz w:val="16"/>
                <w:szCs w:val="16"/>
                <w:color w:val="auto"/>
              </w:rPr>
            </w:pPr>
          </w:p>
        </w:tc>
        <w:tc>
          <w:tcPr>
            <w:tcW w:w="940" w:type="dxa"/>
            <w:vAlign w:val="bottom"/>
            <w:tcBorders>
              <w:bottom w:val="single" w:sz="8" w:color="CFF0FC"/>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25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Raw materials, parts and subassemblies, net</w:t>
            </w:r>
          </w:p>
        </w:tc>
        <w:tc>
          <w:tcPr>
            <w:tcW w:w="9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23,535</w:t>
            </w:r>
          </w:p>
        </w:tc>
        <w:tc>
          <w:tcPr>
            <w:tcW w:w="2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35"/>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20,272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1,189</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FF0FC"/>
            </w:tcBorders>
          </w:tcPr>
          <w:p>
            <w:pPr>
              <w:spacing w:after="0"/>
              <w:rPr>
                <w:sz w:val="2"/>
                <w:szCs w:val="2"/>
                <w:color w:val="auto"/>
              </w:rPr>
            </w:pPr>
          </w:p>
        </w:tc>
        <w:tc>
          <w:tcPr>
            <w:tcW w:w="940" w:type="dxa"/>
            <w:vAlign w:val="bottom"/>
            <w:tcBorders>
              <w:bottom w:val="single" w:sz="8" w:color="CFF0FC"/>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inventories</w:t>
            </w:r>
          </w:p>
        </w:tc>
        <w:tc>
          <w:tcPr>
            <w:tcW w:w="94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8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24,724</w:t>
            </w:r>
          </w:p>
        </w:tc>
        <w:tc>
          <w:tcPr>
            <w:tcW w:w="20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735"/>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21,352</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i w:val="1"/>
                <w:iCs w:val="1"/>
                <w:color w:val="auto"/>
              </w:rPr>
              <w:t>Accrued Product Warranty</w:t>
            </w:r>
          </w:p>
        </w:tc>
        <w:tc>
          <w:tcPr>
            <w:tcW w:w="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0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80" w:type="dxa"/>
            <w:vAlign w:val="bottom"/>
            <w:gridSpan w:val="2"/>
          </w:tcPr>
          <w:p>
            <w:pPr>
              <w:spacing w:after="0"/>
              <w:rPr>
                <w:sz w:val="20"/>
                <w:szCs w:val="20"/>
                <w:color w:val="auto"/>
              </w:rPr>
            </w:pPr>
            <w:r>
              <w:rPr>
                <w:rFonts w:ascii="Arial" w:cs="Arial" w:eastAsia="Arial" w:hAnsi="Arial"/>
                <w:sz w:val="18"/>
                <w:szCs w:val="18"/>
                <w:color w:val="auto"/>
                <w:w w:val="93"/>
              </w:rPr>
              <w:t>Activity in our product warranty accrual consisted of the following (in thousands):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040" w:type="dxa"/>
            <w:vAlign w:val="bottom"/>
          </w:tcPr>
          <w:p>
            <w:pPr>
              <w:spacing w:after="0"/>
              <w:rPr>
                <w:sz w:val="24"/>
                <w:szCs w:val="24"/>
                <w:color w:val="auto"/>
              </w:rPr>
            </w:pPr>
          </w:p>
        </w:tc>
        <w:tc>
          <w:tcPr>
            <w:tcW w:w="312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w w:val="98"/>
              </w:rPr>
              <w:t>Six months ended March 31,</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beginning of period</w:t>
            </w:r>
          </w:p>
        </w:tc>
        <w:tc>
          <w:tcPr>
            <w:tcW w:w="940" w:type="dxa"/>
            <w:vAlign w:val="bottom"/>
            <w:tcBorders>
              <w:bottom w:val="single" w:sz="8" w:color="CFF0FC"/>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3"/>
              </w:rPr>
              <w:t>2,732</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2,890</w:t>
            </w:r>
          </w:p>
        </w:tc>
        <w:tc>
          <w:tcPr>
            <w:tcW w:w="5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2,604</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Increase (decrease) in warranty expense</w:t>
            </w:r>
          </w:p>
        </w:tc>
        <w:tc>
          <w:tcPr>
            <w:tcW w:w="94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Deduction for warranty charges</w:t>
            </w:r>
          </w:p>
        </w:tc>
        <w:tc>
          <w:tcPr>
            <w:tcW w:w="9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94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FF0FC"/>
          </w:tcPr>
          <w:p>
            <w:pPr>
              <w:ind w:left="40"/>
              <w:spacing w:after="0"/>
              <w:rPr>
                <w:sz w:val="20"/>
                <w:szCs w:val="20"/>
                <w:color w:val="auto"/>
              </w:rPr>
            </w:pPr>
            <w:r>
              <w:rPr>
                <w:rFonts w:ascii="Arial" w:cs="Arial" w:eastAsia="Arial" w:hAnsi="Arial"/>
                <w:sz w:val="18"/>
                <w:szCs w:val="18"/>
                <w:color w:val="auto"/>
              </w:rPr>
              <w:t>Balance at end of period</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3"/>
              </w:rPr>
              <w:t>2,986</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2,241</w:t>
            </w: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2,986</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 2018, we adopted the new revenue recognition standard using the modified retrospective transition method. We applied the guidance to customer contracts which were not substantially complete at that time and we determined that no adjustment to retained earnings was necessary. Financial results for reporting periods after October 1, 2018 are reported under the new guidance; however financial results for prior periods were not adjusted and will continue to be presented in accordance with the previous guidance.</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3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majority of our revenues are generated from the manufacturing of custom engineered products and systems under long-term fixed price contracts under which we agree to manufacture various products such as traditional and arc-resistant distribution switchgear and control gear, medium-voltage circuit breakers, monitoring and control communications systems, motor control centers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these contracts is generally recognized over time utilizing the cost to cost method to measure the extent of progress toward the completion of the performance obligation and the recognition of revenue over time. We believe that this method is the most accurate representation of our performance because it directly measures the value of the services transferred to the customer</w:t>
      </w:r>
    </w:p>
    <w:p>
      <w:pPr>
        <w:sectPr>
          <w:pgSz w:w="11900" w:h="16838" w:orient="portrait"/>
          <w:cols w:equalWidth="0" w:num="1">
            <w:col w:w="11420"/>
          </w:cols>
          <w:pgMar w:left="240" w:top="584"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84" w:right="239" w:bottom="1440" w:gutter="0" w:footer="0" w:header="0"/>
          <w:type w:val="continuous"/>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over time as we incur costs on our contracts. Contract costs include all direct materials, labor, and indirect costs related to contract performance which may include indirect labor, supplies, tools, repairs and depreciation costs.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also have contracts to provide value-added services such as field service inspection, installation, commissioning, modification and repair, as well as retrofit and retrofill components for existing systems. As a practical expedient,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with which we have the right to invoice. Our performance obligations are satisfied as the work progresses. Revenues from our custom-engineered products and value-added services transferred to customers over time accounted for approximately 93% of total revenues for both the three and six months ended March 31, 2019.</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sales orders for spare parts and replacement circuit breakers for switchgear that are obsolete or that are no longer produced by the original manufacturer. Revenues from these sales orders are recognized at a point in time when we fulfill our performance obligation to the customer which is typically upon shipment. Revenue related to sales orders represents approximately 7% of total revenues for both the three and six months ended March 31, 2019.</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judgement. The majority of our contracts have a single performance obligation where multiple engineered products and services are combined into a single custom engineered solution. Our contracts generally include a standard assurance warranty that typically ends eighteen months after shipment. Occasionally, we provide service-type warranties that will extend the warranty period. These extended warranties qualify as a separate performance obligation.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87"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Remaining unsatisfied performance obligations, which we refer to as backlog, represent the estimated transaction price for goods and services for which we have a material right but work has not been performed. As of March 31, 2019, we had backlog of $397.2 million, of which approximately $334.7 million is expected to be recognized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Estimates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Whenever revisions of estimated contract costs and contract values indicate that the contract costs will exceed estimated revenues, thus creating a loss, a provision for the total estimated loss is recorded in that period.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March 31, 2019 and 2018, our operating loss was positively impacted by $4.3 million and $2.5 million, respectively, as a result of changes in contract estimates related to projects in progress at the beginning of the respective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These changes in estimates resulted primarily from favorable project execution and negotiations of variable consideration, discussed below, as well as other changes in facts and circumstances during these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probability-weighted amount,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Modifications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 up adjustment to revenue based on our measure of progress for the performance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timing of revenue recognition, billings and cash collections affects accounts receivable, costs and estimated earnings in excess of billings on uncompleted contracts (contract assets) and billings in excess of costs and estimated earnings on uncompleted contracts (contract liabilities) in our Condensed Consolidated Balance Sheet.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Contract assets, previously referred to as costs and estimated earnings in excess of billings on uncompleted contracts, are recorded when revenues are recognized in excess of amounts billed for fixed-price contracts as determined by the billing milestone schedule. Contract assets are transferred to accounts receivables when billing milestones have been met or we have an unconditional right to payment.</w:t>
      </w:r>
    </w:p>
    <w:p>
      <w:pPr>
        <w:spacing w:after="0" w:line="87"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Contract liabilities, previously referred to as billings in excess of costs and estimated earnings on uncompleted contracts,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contract assets and liabilities are reported in a net position on a contract-by-contract basis at the end of each reporting period and are generally classified as current.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as of March 31, 2019 and September 30, 2018 are summarized below (in thousands):</w:t>
      </w:r>
    </w:p>
    <w:p>
      <w:pPr>
        <w:spacing w:after="0" w:line="365"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48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September 30, 2018</w:t>
            </w:r>
          </w:p>
        </w:tc>
      </w:tr>
      <w:tr>
        <w:trPr>
          <w:trHeight w:val="250"/>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70,727</w:t>
            </w:r>
          </w:p>
        </w:tc>
        <w:tc>
          <w:tcPr>
            <w:tcW w:w="200" w:type="dxa"/>
            <w:vAlign w:val="bottom"/>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82,545</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(51,088)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(43,174)</w:t>
            </w:r>
          </w:p>
        </w:tc>
      </w:tr>
      <w:tr>
        <w:trPr>
          <w:trHeight w:val="27"/>
        </w:trPr>
        <w:tc>
          <w:tcPr>
            <w:tcW w:w="7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74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contract assets</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19,639</w:t>
            </w:r>
          </w:p>
        </w:tc>
        <w:tc>
          <w:tcPr>
            <w:tcW w:w="200" w:type="dxa"/>
            <w:vAlign w:val="bottom"/>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39,371</w:t>
            </w: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net contract assets at March 31, 2019 was primarily due to our progress towards completion on our projects and the timing of contract billing milestones and new orders. To determine the amount of revenue recognized during the period from contract liabilities, we first allocate revenue to the individual contract liability balance outstanding at the beginning of the period until the revenue exceeds that balance. During the three and six months ended March 31, 2019, we recognized revenue of approximately $15.6 million and $37.2 million, respectively, related to contract liabilities outstanding at September 30, 2018.</w:t>
      </w:r>
    </w:p>
    <w:p>
      <w:pPr>
        <w:spacing w:after="0" w:line="10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Condensed Consolidated Balance Sheets. Certain contracts contain retention provisions that become due upon completion of contractual requirements. As of March 31, 2019 and September 30, 2018, accounts receivable included retention amounts of $3.8 million and $4.2 million, respectively. Of the retained amount at March 31, 2019, $3.4 million is expected to be collected in the next twelve months.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Disaggregation of Revenue</w:t>
      </w:r>
    </w:p>
    <w:p>
      <w:pPr>
        <w:spacing w:after="0" w:line="36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present our disaggregated revenue by geographic destination and market sector for the three and six months ended March 31, 2019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Three months ended March</w:t>
            </w:r>
          </w:p>
        </w:tc>
        <w:tc>
          <w:tcPr>
            <w:tcW w:w="220" w:type="dxa"/>
            <w:vAlign w:val="bottom"/>
          </w:tcPr>
          <w:p>
            <w:pPr>
              <w:spacing w:after="0"/>
              <w:rPr>
                <w:sz w:val="14"/>
                <w:szCs w:val="14"/>
                <w:color w:val="auto"/>
              </w:rPr>
            </w:pPr>
          </w:p>
        </w:tc>
        <w:tc>
          <w:tcPr>
            <w:tcW w:w="182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Six months ended March 31,</w:t>
            </w:r>
          </w:p>
        </w:tc>
      </w:tr>
      <w:tr>
        <w:trPr>
          <w:trHeight w:val="192"/>
        </w:trPr>
        <w:tc>
          <w:tcPr>
            <w:tcW w:w="75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31, 2019</w:t>
            </w: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102,406</w:t>
            </w:r>
          </w:p>
        </w:tc>
        <w:tc>
          <w:tcPr>
            <w:tcW w:w="220" w:type="dxa"/>
            <w:vAlign w:val="bottom"/>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192,304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Canada</w:t>
            </w:r>
          </w:p>
        </w:tc>
        <w:tc>
          <w:tcPr>
            <w:tcW w:w="40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15,094</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24,809</w:t>
            </w:r>
          </w:p>
        </w:tc>
      </w:tr>
      <w:tr>
        <w:trPr>
          <w:trHeight w:val="27"/>
        </w:trPr>
        <w:tc>
          <w:tcPr>
            <w:tcW w:w="7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Middle East and Africa</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5,508</w:t>
            </w:r>
          </w:p>
        </w:tc>
        <w:tc>
          <w:tcPr>
            <w:tcW w:w="220" w:type="dxa"/>
            <w:vAlign w:val="bottom"/>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10,949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40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729</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4,473</w:t>
            </w:r>
          </w:p>
        </w:tc>
      </w:tr>
      <w:tr>
        <w:trPr>
          <w:trHeight w:val="27"/>
        </w:trPr>
        <w:tc>
          <w:tcPr>
            <w:tcW w:w="7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 Central and South America</w:t>
            </w: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w:t>
            </w:r>
          </w:p>
        </w:tc>
      </w:tr>
      <w:tr>
        <w:trPr>
          <w:trHeight w:val="257"/>
        </w:trPr>
        <w:tc>
          <w:tcPr>
            <w:tcW w:w="7540" w:type="dxa"/>
            <w:vAlign w:val="bottom"/>
          </w:tcPr>
          <w:p>
            <w:pPr>
              <w:ind w:left="260"/>
              <w:spacing w:after="0"/>
              <w:rPr>
                <w:sz w:val="20"/>
                <w:szCs w:val="20"/>
                <w:color w:val="auto"/>
              </w:rPr>
            </w:pPr>
            <w:r>
              <w:rPr>
                <w:rFonts w:ascii="Arial" w:cs="Arial" w:eastAsia="Arial" w:hAnsi="Arial"/>
                <w:sz w:val="18"/>
                <w:szCs w:val="18"/>
                <w:color w:val="auto"/>
              </w:rPr>
              <w:t>Total revenues by geographic destination</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123,737</w:t>
            </w:r>
          </w:p>
        </w:tc>
        <w:tc>
          <w:tcPr>
            <w:tcW w:w="220" w:type="dxa"/>
            <w:vAlign w:val="bottom"/>
          </w:tcPr>
          <w:p>
            <w:pPr>
              <w:spacing w:after="0"/>
              <w:rPr>
                <w:sz w:val="22"/>
                <w:szCs w:val="22"/>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233,088</w:t>
            </w:r>
          </w:p>
        </w:tc>
      </w:tr>
      <w:tr>
        <w:trPr>
          <w:trHeight w:val="20"/>
        </w:trPr>
        <w:tc>
          <w:tcPr>
            <w:tcW w:w="7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ectPr>
          <w:pgSz w:w="11900" w:h="16838" w:orient="portrait"/>
          <w:cols w:equalWidth="0" w:num="1">
            <w:col w:w="11420"/>
          </w:cols>
          <w:pgMar w:left="240" w:top="800" w:right="239" w:bottom="1440" w:gutter="0" w:footer="0" w:header="0"/>
        </w:sectPr>
      </w:pPr>
    </w:p>
    <w:p>
      <w:pPr>
        <w:jc w:val="center"/>
        <w:ind w:left="7600"/>
        <w:spacing w:after="0"/>
        <w:rPr>
          <w:sz w:val="20"/>
          <w:szCs w:val="20"/>
          <w:color w:val="auto"/>
        </w:rPr>
      </w:pPr>
      <w:r>
        <w:rPr>
          <w:rFonts w:ascii="Arial" w:cs="Arial" w:eastAsia="Arial" w:hAnsi="Arial"/>
          <w:sz w:val="13"/>
          <w:szCs w:val="13"/>
          <w:b w:val="1"/>
          <w:bCs w:val="1"/>
          <w:color w:val="auto"/>
        </w:rPr>
        <w:t>Three months ended March</w:t>
      </w:r>
    </w:p>
    <w:p>
      <w:pPr>
        <w:spacing w:after="0" w:line="15"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31, 2019</w:t>
      </w:r>
    </w:p>
    <w:p>
      <w:pPr>
        <w:spacing w:after="0" w:line="20" w:lineRule="exact"/>
        <w:rPr>
          <w:sz w:val="20"/>
          <w:szCs w:val="20"/>
          <w:color w:val="auto"/>
        </w:rPr>
      </w:pPr>
      <w:r>
        <w:rPr>
          <w:sz w:val="20"/>
          <w:szCs w:val="20"/>
          <w:color w:val="auto"/>
        </w:rPr>
        <w:br w:type="column"/>
      </w:r>
    </w:p>
    <w:p>
      <w:pPr>
        <w:jc w:val="center"/>
        <w:ind w:right="40"/>
        <w:spacing w:after="0" w:line="259" w:lineRule="auto"/>
        <w:rPr>
          <w:sz w:val="20"/>
          <w:szCs w:val="20"/>
          <w:color w:val="auto"/>
        </w:rPr>
      </w:pPr>
      <w:r>
        <w:rPr>
          <w:rFonts w:ascii="Arial" w:cs="Arial" w:eastAsia="Arial" w:hAnsi="Arial"/>
          <w:sz w:val="14"/>
          <w:szCs w:val="14"/>
          <w:b w:val="1"/>
          <w:bCs w:val="1"/>
          <w:color w:val="auto"/>
        </w:rPr>
        <w:t>Six months ended March 31, 2019</w:t>
      </w:r>
    </w:p>
    <w:p>
      <w:pPr>
        <w:spacing w:after="0" w:line="1" w:lineRule="exact"/>
        <w:rPr>
          <w:sz w:val="20"/>
          <w:szCs w:val="20"/>
          <w:color w:val="auto"/>
        </w:rPr>
      </w:pPr>
    </w:p>
    <w:p>
      <w:pPr>
        <w:sectPr>
          <w:pgSz w:w="11900" w:h="16838" w:orient="portrait"/>
          <w:cols w:equalWidth="0" w:num="2">
            <w:col w:w="9320" w:space="320"/>
            <w:col w:w="1780"/>
          </w:cols>
          <w:pgMar w:left="240" w:top="800" w:right="2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gas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105,598</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Petrochemical</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22,523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42,301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 utility</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39,641</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Traction power</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6,025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11,034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others</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34,514</w:t>
            </w:r>
          </w:p>
        </w:tc>
        <w:tc>
          <w:tcPr>
            <w:tcW w:w="0" w:type="dxa"/>
            <w:vAlign w:val="bottom"/>
          </w:tcPr>
          <w:p>
            <w:pPr>
              <w:spacing w:after="0"/>
              <w:rPr>
                <w:sz w:val="1"/>
                <w:szCs w:val="1"/>
                <w:color w:val="auto"/>
              </w:rPr>
            </w:pPr>
          </w:p>
        </w:tc>
      </w:tr>
      <w:tr>
        <w:trPr>
          <w:trHeight w:val="257"/>
        </w:trPr>
        <w:tc>
          <w:tcPr>
            <w:tcW w:w="7540" w:type="dxa"/>
            <w:vAlign w:val="bottom"/>
          </w:tcPr>
          <w:p>
            <w:pPr>
              <w:ind w:left="260"/>
              <w:spacing w:after="0"/>
              <w:rPr>
                <w:sz w:val="20"/>
                <w:szCs w:val="20"/>
                <w:color w:val="auto"/>
              </w:rPr>
            </w:pPr>
            <w:r>
              <w:rPr>
                <w:rFonts w:ascii="Arial" w:cs="Arial" w:eastAsia="Arial" w:hAnsi="Arial"/>
                <w:sz w:val="18"/>
                <w:szCs w:val="18"/>
                <w:color w:val="auto"/>
              </w:rPr>
              <w:t>Total revenues by market sector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123,737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233,088</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E. LONG-TERM DEBT</w:t>
            </w: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tcPr>
          <w:p>
            <w:pPr>
              <w:spacing w:after="0"/>
              <w:rPr>
                <w:sz w:val="20"/>
                <w:szCs w:val="20"/>
                <w:color w:val="auto"/>
              </w:rPr>
            </w:pPr>
            <w:r>
              <w:rPr>
                <w:rFonts w:ascii="Arial" w:cs="Arial" w:eastAsia="Arial" w:hAnsi="Arial"/>
                <w:sz w:val="18"/>
                <w:szCs w:val="18"/>
                <w:color w:val="auto"/>
              </w:rPr>
              <w:t>Long-term debt consisted of the following (in thousands):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54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6"/>
              </w:rPr>
              <w:t>September 30, 2018</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Industrial development revenue bonds</w:t>
            </w: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long-term debt</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
        </w:trPr>
        <w:tc>
          <w:tcPr>
            <w:tcW w:w="75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Revolver</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 $75.0 million revolving credit facility (U.S. Revolver) to provide working capital support and letters of credit which expires in June 2022. The amount available under the U.S. Revolver at March 31, 2019 was reduced by $15.6 million for our outstanding letters of credit. Currently, our U.S. Revolver can only be used for letters of credit until we meet certain financial ratios. There were no loans outstanding under the U.S. Revolver as of March 31, 2019.</w:t>
      </w:r>
    </w:p>
    <w:p>
      <w:pPr>
        <w:spacing w:after="0" w:line="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Per the terms of the U.S. Revolver, we are required to maintain cash in a pledged collateral account until we satisfy the following two financial ratios for two consecutive fiscal quarters: a max leverage ratio and a fixed charge coverage ratio. The max leverage ratio requires that the ratio of our consolidated funded indebtedness to our consolidated earnings before interest, taxes and depreciation (EBITDA) for the last four consecutive quarters not exceed 2.75 to 1.00. The fixed charge coverage ratio requires that the ratio of consolidated EBITDA for the last four fiscal quarters, less income taxes, capital expenditures, principal debt payments and interest charges be at least 1.25 to 1.00. If we are not in compliance with the these two ratios, we are required to maintain a cash balance in a pledged cash collateral account equal to 102% of the outstanding amount of any loans and letter of credit obligations until we meet the aforementioned required ratios. As of March 31, 2019, the balance in the cash collateral account was $18.6 million and is recorded as restricted cash in our Condensed Consolidated Balance Sheets. The portion of the cash collateral associated with the outstanding letters of credit that are due to expire beyond twelve months has been classified as non-current restricted cash on the balance sheet. As of March 31, 2019, there was $59.4 million available for the issuance of letters of credit under the U.S. Revolver, subject to the cash collateral requirements mentioned above.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type w:val="continuous"/>
        </w:sectPr>
      </w:pPr>
    </w:p>
    <w:bookmarkStart w:id="14" w:name="page15"/>
    <w:bookmarkEnd w:id="14"/>
    <w:p>
      <w:pPr>
        <w:jc w:val="both"/>
        <w:spacing w:after="0" w:line="342" w:lineRule="auto"/>
        <w:rPr>
          <w:sz w:val="20"/>
          <w:szCs w:val="20"/>
          <w:color w:val="auto"/>
        </w:rPr>
      </w:pPr>
      <w:r>
        <w:rPr>
          <w:rFonts w:ascii="Arial" w:cs="Arial" w:eastAsia="Arial" w:hAnsi="Arial"/>
          <w:sz w:val="16"/>
          <w:szCs w:val="16"/>
          <w:color w:val="auto"/>
        </w:rPr>
        <w:t>The interest rate for amounts outstanding under the U.S. Revolver is a floating rate based upon the higher of the Federal Funds Rate plus 0.5%, the bank’s prime rate, or the Eurocurrency rate plus 1.00%. Once the applicable rate is determined, a margin ranging up to 1.25% is added to the applicable rate.</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outstanding under the U.S. Revolver may be accelerated and may become immediately due and payable. It also contains financial covenants defining various financial measures and the levels of these measures with which we must comply, as well as a “material adverse change” clause. A “material adverse change” is defined as a material change in our operations, business, properties, liabilities or condition (financial or otherwise) or a material impairment of our ability to perform our obligations under our credit agreements. As of March 31, 2019, we were in compliance with all of the financial covenants of the U.S. Revolver.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Development Revenue Bonds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borrowed $8.0 million in October 2001 through a loan agreement funded with proceeds from tax-exempt industrial development revenue bonds (Bonds). These Bonds were issued by the Illinois Development Finance Authority and were used for the completion of our Northlake, Illinois facility. Pursuant to the Bond issuance, a reimbursement agreement between us and a major domestic bank required an issuance by the bank of an irrevocable direct-pay letter of credit (Bond LC), as collateral, to the Bonds’ trustee to guarantee payment of the Bonds’ principal and interest when due. The Bond LC is subject to both early termination and extension provisions customary to such agreements, as well as various covenants, for which we were in compliance at March 31, 2019. While the Bonds mature in 2021, the reimbursement agreement requires annual redemptions of $0.4 million that commenced on October 25, 2002. A sinking fund is used for the redemption of the Bonds. The Bonds bear interest at a floating rate determined weekly by the Bonds’ remarketing agent, which was the underwriter for the Bonds and is an affiliate of the bank. This interest rate was 1.62% as of March 31, 2019.</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F.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 Surety Bonds and Bank Guarantees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customers require us to post letters of credit or surety bonds which assure that we will perform under the terms of our contract. In the event of default, the counterparty may demand payment from the bank under a letter of credit or performance by the surety under a bond. To date, there have been no significant expenses related to either letters of credit or surety bonds for the periods reported. We were contingently liable for letters of credit of $15.6 million as of March 31, 2019. We also had surety bonds totaling $140.7 million that were outstanding, with additional bonding capacity of $609.3 million available, at March 31, 2019.</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we have a $6.5 million facility agreement (Facility Agreement) between Powell (UK) Limited and a large international bank. This Facility Agreement provides Powell (UK) Limited the ability to enter into bank guarantees as well as forward exchange contracts and currency options. At March 31, 2019, we had outstanding guarantees totaling $3.8 million under this Facility Agreement and amounts available under this Facility Agreement were $2.7 million. The Facility Agreement provides for financial covenants and customary events of default, and carries cross-default provisions with our U.S. Revolver. If an event of default (as defined in the Facility Agreement) occurs and is continuing, per the terms and subject to the conditions set forth therein, obligations outstanding under the Facility Agreement may be accelerated and declared immediately due and payable. As of March 31, 2019, we were in compliance with all of the financial covenants of the Facility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G.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Refer to our Annual Report on Form 10-K for the fiscal year ended September 30, 2018 for a full description of our existing stock-based compensation plans.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issue restricted stock units (RSUs) to certain officers and key employees of the Company. The fair value of the RSUs is based on the price of our common stock as reported on the NASDAQ Global Market on the grant dates. The typical annual grant vests over a three-year period from the date of issuance and is a blend of time-based and performance-based shares. The portion of the grant that is time-based typically vests over a three-year period on each anniversary of the grant date, based on continued employment. The performance-based shares vest based on the three-year earnings performance of the Company following the grant date. At March 31, 2019, there were 159,716 RSUs outstanding. The RSUs do not have voting rights but do receive dividend equivalents upon vesting; additionally, the shares of common stock underlying the RSUs are not considered issued and outstanding until vested and common stock is issued.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RSU activity (number of shares) for the six months ended March 31, 2019 is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85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85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8"/>
              </w:rPr>
              <w:t>Fair Value</w:t>
            </w:r>
          </w:p>
        </w:tc>
      </w:tr>
      <w:tr>
        <w:trPr>
          <w:trHeight w:val="192"/>
        </w:trPr>
        <w:tc>
          <w:tcPr>
            <w:tcW w:w="8500" w:type="dxa"/>
            <w:vAlign w:val="bottom"/>
            <w:tcBorders>
              <w:bottom w:val="single" w:sz="8" w:color="CFF0FC"/>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4"/>
              </w:rPr>
              <w:t>Per Share</w:t>
            </w:r>
          </w:p>
        </w:tc>
      </w:tr>
      <w:tr>
        <w:trPr>
          <w:trHeight w:val="250"/>
        </w:trPr>
        <w:tc>
          <w:tcPr>
            <w:tcW w:w="8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September 30, 2018</w:t>
            </w:r>
          </w:p>
        </w:tc>
        <w:tc>
          <w:tcPr>
            <w:tcW w:w="136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190,500</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33.73</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77,150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34.89</w:t>
            </w:r>
          </w:p>
        </w:tc>
      </w:tr>
      <w:tr>
        <w:trPr>
          <w:trHeight w:val="27"/>
        </w:trPr>
        <w:tc>
          <w:tcPr>
            <w:tcW w:w="8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(97,184)</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32.35</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Forfeited/canceled</w:t>
            </w:r>
          </w:p>
        </w:tc>
        <w:tc>
          <w:tcPr>
            <w:tcW w:w="1360" w:type="dxa"/>
            <w:vAlign w:val="bottom"/>
          </w:tcPr>
          <w:p>
            <w:pPr>
              <w:jc w:val="right"/>
              <w:spacing w:after="0"/>
              <w:rPr>
                <w:sz w:val="20"/>
                <w:szCs w:val="20"/>
                <w:color w:val="auto"/>
              </w:rPr>
            </w:pPr>
            <w:r>
              <w:rPr>
                <w:rFonts w:ascii="Arial" w:cs="Arial" w:eastAsia="Arial" w:hAnsi="Arial"/>
                <w:sz w:val="18"/>
                <w:szCs w:val="18"/>
                <w:color w:val="auto"/>
              </w:rPr>
              <w:t>(10,750)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34.27</w:t>
            </w:r>
          </w:p>
        </w:tc>
      </w:tr>
      <w:tr>
        <w:trPr>
          <w:trHeight w:val="27"/>
        </w:trPr>
        <w:tc>
          <w:tcPr>
            <w:tcW w:w="850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120" w:type="dxa"/>
            <w:vAlign w:val="bottom"/>
            <w:tcBorders>
              <w:bottom w:val="single" w:sz="8" w:color="CFF0FC"/>
            </w:tcBorders>
          </w:tcPr>
          <w:p>
            <w:pPr>
              <w:spacing w:after="0"/>
              <w:rPr>
                <w:sz w:val="2"/>
                <w:szCs w:val="2"/>
                <w:color w:val="auto"/>
              </w:rPr>
            </w:pPr>
          </w:p>
        </w:tc>
      </w:tr>
      <w:tr>
        <w:trPr>
          <w:trHeight w:val="257"/>
        </w:trPr>
        <w:tc>
          <w:tcPr>
            <w:tcW w:w="8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March 31, 2019</w:t>
            </w:r>
          </w:p>
        </w:tc>
        <w:tc>
          <w:tcPr>
            <w:tcW w:w="13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159,716</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34.45</w:t>
            </w:r>
          </w:p>
        </w:tc>
      </w:tr>
      <w:tr>
        <w:trPr>
          <w:trHeight w:val="20"/>
        </w:trPr>
        <w:tc>
          <w:tcPr>
            <w:tcW w:w="8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March 31, 2019 and 2018, we recorded compensation expense of $1.6 million and $1.7 million, respectively, related to the RSUs.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Each non-employee director receives 2,000 restricted shares of the Company’s common stock annually. Fifty-percent of the restricted stock granted to each of our non-employee directors vests immediately, while the remaining fifty-percent vests on the anniversary of the grant date. Compensation expense is recognized immediately for the first fifty-percent of the restricted stock granted, while compensation expense for the remaining fifty-percent is recognized over the remaining vesting period based on the closing price per share on the grant date. In February 2019, 14,000 shares of restricted stock were issued to our non-employee directors under the 2014 Director Plan at a price of $34.02 per share. During the six months ended March 31, 2019 and 2018, we recorded compensation expense of $0.3 million and $0.4 million, respectively, related to restricted stock.</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H. FAIR VALUE MEASUREMENTS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March 31, 2019 (in thousands):</w:t>
      </w:r>
    </w:p>
    <w:p>
      <w:pPr>
        <w:spacing w:after="0" w:line="200" w:lineRule="exact"/>
        <w:rPr>
          <w:sz w:val="20"/>
          <w:szCs w:val="20"/>
          <w:color w:val="auto"/>
        </w:rPr>
      </w:pPr>
    </w:p>
    <w:p>
      <w:pPr>
        <w:spacing w:after="0" w:line="219" w:lineRule="exact"/>
        <w:rPr>
          <w:sz w:val="20"/>
          <w:szCs w:val="20"/>
          <w:color w:val="auto"/>
        </w:rPr>
      </w:pPr>
    </w:p>
    <w:p>
      <w:pPr>
        <w:ind w:left="6700"/>
        <w:spacing w:after="0"/>
        <w:rPr>
          <w:sz w:val="20"/>
          <w:szCs w:val="20"/>
          <w:color w:val="auto"/>
        </w:rPr>
      </w:pPr>
      <w:r>
        <w:rPr>
          <w:rFonts w:ascii="Arial" w:cs="Arial" w:eastAsia="Arial" w:hAnsi="Arial"/>
          <w:sz w:val="14"/>
          <w:szCs w:val="14"/>
          <w:b w:val="1"/>
          <w:bCs w:val="1"/>
          <w:color w:val="auto"/>
        </w:rPr>
        <w:t>Fair Value Measurements at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Significant Other</w:t>
            </w:r>
          </w:p>
        </w:tc>
        <w:tc>
          <w:tcPr>
            <w:tcW w:w="17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Significant</w:t>
            </w:r>
          </w:p>
        </w:tc>
        <w:tc>
          <w:tcPr>
            <w:tcW w:w="134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7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7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34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(Level 2)</w:t>
            </w:r>
          </w:p>
        </w:tc>
        <w:tc>
          <w:tcPr>
            <w:tcW w:w="17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(Level 3)</w:t>
            </w:r>
          </w:p>
        </w:tc>
        <w:tc>
          <w:tcPr>
            <w:tcW w:w="134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66,376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720" w:type="dxa"/>
            <w:vAlign w:val="bottom"/>
            <w:gridSpan w:val="3"/>
          </w:tcPr>
          <w:p>
            <w:pPr>
              <w:ind w:left="1080"/>
              <w:spacing w:after="0"/>
              <w:rPr>
                <w:sz w:val="20"/>
                <w:szCs w:val="20"/>
                <w:color w:val="auto"/>
              </w:rPr>
            </w:pPr>
            <w:r>
              <w:rPr>
                <w:rFonts w:ascii="Arial" w:cs="Arial" w:eastAsia="Arial" w:hAnsi="Arial"/>
                <w:sz w:val="18"/>
                <w:szCs w:val="18"/>
                <w:color w:val="auto"/>
              </w:rPr>
              <w:t>—   $</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66,376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5,991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5,991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18,626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72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18,626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6,621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6,119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September 30, 2018 (in thousands):</w:t>
      </w:r>
    </w:p>
    <w:p>
      <w:pPr>
        <w:spacing w:after="0" w:line="176"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Fair Value Measurements at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Significant Other</w:t>
            </w:r>
          </w:p>
        </w:tc>
        <w:tc>
          <w:tcPr>
            <w:tcW w:w="17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Significant</w:t>
            </w:r>
          </w:p>
        </w:tc>
        <w:tc>
          <w:tcPr>
            <w:tcW w:w="136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Inputs</w:t>
            </w:r>
          </w:p>
        </w:tc>
        <w:tc>
          <w:tcPr>
            <w:tcW w:w="136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(Level 2)</w:t>
            </w:r>
          </w:p>
        </w:tc>
        <w:tc>
          <w:tcPr>
            <w:tcW w:w="17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(Level 3)</w:t>
            </w:r>
          </w:p>
        </w:tc>
        <w:tc>
          <w:tcPr>
            <w:tcW w:w="136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36,584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700" w:type="dxa"/>
            <w:vAlign w:val="bottom"/>
            <w:gridSpan w:val="3"/>
          </w:tcPr>
          <w:p>
            <w:pPr>
              <w:ind w:left="1080"/>
              <w:spacing w:after="0"/>
              <w:rPr>
                <w:sz w:val="20"/>
                <w:szCs w:val="20"/>
                <w:color w:val="auto"/>
              </w:rPr>
            </w:pPr>
            <w:r>
              <w:rPr>
                <w:rFonts w:ascii="Arial" w:cs="Arial" w:eastAsia="Arial" w:hAnsi="Arial"/>
                <w:sz w:val="18"/>
                <w:szCs w:val="18"/>
                <w:color w:val="auto"/>
              </w:rPr>
              <w:t>—   $</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36,584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13,170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13,170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25,141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70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25,141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6,817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6,817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5,644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and cash equivalents, primarily funds held in money market savings instruments, are reported at their current carrying value which approximates fair value due to the short-term nature of these instruments and are included in cash and cash equivalents in our Condensed Consolidated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 Restricted cash represents a pledged cash collateral balance which is required under our amended credit agreement and is held in an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interest-bearing account. See Note E for further discussion on restricted cash.</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Other Assets/Deferred Compensation </w:t>
      </w:r>
      <w:r>
        <w:rPr>
          <w:rFonts w:ascii="Arial" w:cs="Arial" w:eastAsia="Arial" w:hAnsi="Arial"/>
          <w:sz w:val="18"/>
          <w:szCs w:val="18"/>
          <w:color w:val="auto"/>
        </w:rPr>
        <w:t>– We hold investments in an irrevocable Rabbi Trust for our deferred compensation plan. The assets include both</w:t>
      </w:r>
      <w:r>
        <w:rPr>
          <w:rFonts w:ascii="Arial" w:cs="Arial" w:eastAsia="Arial" w:hAnsi="Arial"/>
          <w:sz w:val="18"/>
          <w:szCs w:val="18"/>
          <w:i w:val="1"/>
          <w:iCs w:val="1"/>
          <w:color w:val="auto"/>
        </w:rPr>
        <w:t xml:space="preserve"> </w:t>
      </w:r>
      <w:r>
        <w:rPr>
          <w:rFonts w:ascii="Arial" w:cs="Arial" w:eastAsia="Arial" w:hAnsi="Arial"/>
          <w:sz w:val="18"/>
          <w:szCs w:val="18"/>
          <w:color w:val="auto"/>
        </w:rPr>
        <w:t>mutual fund investments and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notional value of their accounts. Because the deferred compensation liability is intended to offset the plan assets, it is also categorized as Level 2 in the fair value measurement hierarchy.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within the fair value measurement hierarchy during the quarter ended March 31,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the effective tax rate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380" w:type="dxa"/>
            <w:vAlign w:val="bottom"/>
            <w:gridSpan w:val="6"/>
          </w:tcPr>
          <w:p>
            <w:pPr>
              <w:ind w:left="640"/>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Pr>
          <w:p>
            <w:pPr>
              <w:spacing w:after="0"/>
              <w:rPr>
                <w:sz w:val="16"/>
                <w:szCs w:val="16"/>
                <w:color w:val="auto"/>
              </w:rPr>
            </w:pPr>
          </w:p>
        </w:tc>
        <w:tc>
          <w:tcPr>
            <w:tcW w:w="284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482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8"/>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(5,090)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(11,823)</w:t>
            </w:r>
          </w:p>
        </w:tc>
      </w:tr>
      <w:tr>
        <w:trPr>
          <w:trHeight w:val="270"/>
        </w:trPr>
        <w:tc>
          <w:tcPr>
            <w:tcW w:w="4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(2,831)</w:t>
            </w:r>
          </w:p>
        </w:tc>
      </w:tr>
      <w:tr>
        <w:trPr>
          <w:trHeight w:val="230"/>
        </w:trPr>
        <w:tc>
          <w:tcPr>
            <w:tcW w:w="48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(3,330)</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(1,737)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(8,992)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9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48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Tax Cuts and Jobs Act was signed into law, which lowered the corporate tax rate from 35% to 21% effective January 1, 2018. As a result, the U.S. federal statutory rate for Fiscal 2019 is 21%, compared to the blended statutory rate of 24.5% effective for Fiscal 2018. The effective tax rate of 30% for the second quarter of Fiscal 2019 and the effective tax rate of 35% in the second quarter of Fiscal 2018 was negatively impacted by foreign tax losses that are reserved with a valuation allowance.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six months ended March 31, 2019, the effective tax rate of a negative 11% was negatively impacted by foreign tax losses that are reserved with a valuation allowance. The effective tax rate of 24% for the six months ended March 31, 2018 was similarly impacted by foreign tax losses reserved with a valuation allowance, as well as $0.8 million of tax expense related to the re-measurement of U.S. deferred tax assets as a result of tax reform.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J. SUBSEQUENT EVENTS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7, 2019, our Board of Directors declared a quarterly cash dividend on our common stock in the amount of $0.26 per share. The dividend is payable on June 19, 2019 to shareholders of record at the close of business on May 22,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including the following discussion to inform our existing and potential shareholders generally of some of the risks and uncertainties that can affect our Company and to take advantage of the “safe harbor” protection for forward-looking statements that applicable federal securities law affords.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our management or persons acting on our behalf make forward-looking statements to inform existing and potential shareholders about our Company. These statements may include projections and estimates concerning the timing and success of specific projects and our future backlog, revenues, income, acquisitions and capital spending.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In addition, sometimes we will specifically describe a statement as being a forward-looking statement and refer to this cautionary statement.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various statements in this Quarterly Report on Form 10-Q, including those that express a belief, expectation or intention, as well as those that are not statements of historical fact, are forward-looking statements. These forward-looking statements speak only as of the date of this report; we disclaim any obligation to update these statements unless required by securities law,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risks, contingencies and uncertainties relate to, among other matters, the following:</w:t>
      </w:r>
    </w:p>
    <w:p>
      <w:pPr>
        <w:spacing w:after="0" w:line="81" w:lineRule="exact"/>
        <w:rPr>
          <w:sz w:val="20"/>
          <w:szCs w:val="20"/>
          <w:color w:val="auto"/>
        </w:rPr>
      </w:pPr>
    </w:p>
    <w:p>
      <w:pPr>
        <w:jc w:val="both"/>
        <w:ind w:left="600" w:hanging="322"/>
        <w:spacing w:after="0" w:line="264"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largely dependent on customers in the oil and gas markets and we are adversely impacted by extended periods of low oil or gas prices, which decrease our customers' spending, the demand for our products and services and the prices we are able to charge. This has had, and may continue to have, an adverse effect on our future operating results.</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and financial market conditions may impact our customer base, suppliers and backlog.</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backlog is subject to unexpected adjustments and cancellations and, therefore, may not be a reliable indicator of our future earnings.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percentage-of-completion accounting on our fixed-price contracts could result in volatility in our results of operations.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majority of our contracts contain performance obligations that may subject us to penalties or additional liabilities.</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price and supply of materials used to manufacture our products may reduce our profits and could adversely impact our ability to meet commitments to our customers.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industry is highly competitive.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operations could be adversely impacted by the effects of government regulations.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laws and regulations may change our effective tax rate and could have a material effect on our financial results.</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operations expose us to risks that are different from, or possibly greater than, the risks we are exposed to domestically and may adversely affect our operations.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departure of key personnel could disrupt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requires skilled labor and we may be unable to attract and retain qualified employees.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exposed to risks relating to the use of subcontractors on some of our projects.</w:t>
      </w:r>
    </w:p>
    <w:p>
      <w:pPr>
        <w:spacing w:after="0" w:line="117"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Misconduct by our employees or subcontractors, or a failure to </w:t>
      </w:r>
      <w:r>
        <w:rPr>
          <w:rFonts w:ascii="Arial" w:cs="Arial" w:eastAsia="Arial" w:hAnsi="Arial"/>
          <w:sz w:val="18"/>
          <w:szCs w:val="18"/>
          <w:color w:val="252525"/>
        </w:rPr>
        <w:t>comply with laws or regulations, could harm our reputation, damage our relationships</w:t>
      </w:r>
      <w:r>
        <w:rPr>
          <w:rFonts w:ascii="Arial" w:cs="Arial" w:eastAsia="Arial" w:hAnsi="Arial"/>
          <w:sz w:val="18"/>
          <w:szCs w:val="18"/>
          <w:color w:val="auto"/>
        </w:rPr>
        <w:t xml:space="preserve"> </w:t>
      </w:r>
      <w:r>
        <w:rPr>
          <w:rFonts w:ascii="Arial" w:cs="Arial" w:eastAsia="Arial" w:hAnsi="Arial"/>
          <w:sz w:val="18"/>
          <w:szCs w:val="18"/>
          <w:color w:val="252525"/>
        </w:rPr>
        <w:t>with customers and subject us to criminal and civil enforcement actions.</w:t>
      </w:r>
    </w:p>
    <w:p>
      <w:pPr>
        <w:spacing w:after="0" w:line="62"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3"/>
        </w:numPr>
        <w:rPr>
          <w:rFonts w:ascii="Arial" w:cs="Arial" w:eastAsia="Arial" w:hAnsi="Arial"/>
          <w:sz w:val="18"/>
          <w:szCs w:val="18"/>
          <w:color w:val="252525"/>
        </w:rPr>
      </w:pPr>
      <w:r>
        <w:rPr>
          <w:rFonts w:ascii="Arial" w:cs="Arial" w:eastAsia="Arial" w:hAnsi="Arial"/>
          <w:sz w:val="18"/>
          <w:szCs w:val="18"/>
          <w:color w:val="252525"/>
        </w:rPr>
        <w:t>Unsatisfactory safety performance may subject us to penalties, negatively impact customer relationships, result in higher operating costs, and negatively impact employee morale and turnover.</w:t>
      </w:r>
    </w:p>
    <w:p>
      <w:pPr>
        <w:spacing w:after="0" w:line="62" w:lineRule="exact"/>
        <w:rPr>
          <w:rFonts w:ascii="Arial" w:cs="Arial" w:eastAsia="Arial" w:hAnsi="Arial"/>
          <w:sz w:val="18"/>
          <w:szCs w:val="18"/>
          <w:color w:val="252525"/>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Actual and potential claims, lawsuits and proceedings could ultimately reduce our profitability and liquidity and weaken our financial condition.</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Quality problems with our products could harm our reputation and erode our competitive position.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ind w:left="600" w:right="2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failure in our business systems or cyber security attacks on any of our facilities, or those of third parties, could adversely affect our business and our internal controls.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carry insurance against many potential liabilities, but our management of risk may leave us exposed to unidentified or unanticipated risks.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and compliance with environmental laws could adversely impact our financial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innovations by competitors may make existing products and production methods obsolete.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Catastrophic events could disrupt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difficulties with expansions, relocations or consolidations of existing facilities could adversely affect our operations.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and product diversification through strategic acquisitions involves a number of risks.</w:t>
      </w:r>
    </w:p>
    <w:p>
      <w:pPr>
        <w:spacing w:after="0" w:line="117"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62"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could decline or fluctuate significantly due to unforeseen circumstances. These fluctuations may cause our stockholders to incur losses.</w:t>
      </w:r>
    </w:p>
    <w:p>
      <w:pPr>
        <w:spacing w:after="0" w:line="62"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Obtaining surety bonds, letters of credit, bank guarantees, or other financial assurances, may be necessary for us to successfully bid on and obtain certain contracts.</w:t>
      </w:r>
    </w:p>
    <w:p>
      <w:pPr>
        <w:spacing w:after="0" w:line="62"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remain in compliance with covenants, or obtain waivers or amendments and our inability to borrow under our credit agreement could adversely impact our business.</w:t>
      </w:r>
    </w:p>
    <w:p>
      <w:pPr>
        <w:spacing w:after="0" w:line="62"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Failures or weaknesses in our internal controls over financial reporting could adversely affect our ability to report on our financial condition and results of operations accurately and/or on a timely basis.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the items we have outlined above are important factors that could cause estimates included in our financial statements to differ materially from actual results and those expressed in a forward-looking statement made in this report or elsewhere by us or on our behalf. We have discussed these factors in more detail in our Annual Report on Form 10-K for the year ended September 30, 2018. These factors are not necessarily all of the factors that could affect us. Unpredictable or unanticipated factors we have not discussed in this report could also have material adverse effects on actual results. We do not intend to update our description of important factors each time a potential important factor arises, except as required by applicable securities laws and regulations. We advise our shareholders that they should (1) be aware that factors not referred to above could affect the accuracy of our forward-looking statements and (2) use caution when considering our forward-looking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year ended September 30, 2018, which was filed with the Securities and Exchange Commission (SEC) on December 12, 2018 and is available on the SEC’s website at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We develop, design, manufacture and service custom-engineered equipment and systems for the distribution, control and monitoring of electrical energy. Headquartered in Houston, Texas, we serve the oil and gas markets, including onshore and offshore oil and gas production, pipeline, refining and liquid natural gas terminals, as well as petrochemical, electric utility and light traction power. Revenues and costs are primarily related to custom engineered-to-order equipment and systems and are accounted for under percentage-of-completion accounting which precludes us from providing detailed price and volume information. Our backlog includes various projects that typically take a number of months to produce.</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markets in which we participate are capital intensive and cyclical in nature. Cyclicality is predominantly driven by customer demand, global economic conditions and anticipated environmental, safety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the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significant decline in oil and gas prices from peak 2014 levels, many of our customers reduced their capital budgets and cut costs, and in certain instances have delayed or canceled projects that we were pursuing. This decline in projects negatively impacted our results in Fiscal 2018. However, customers have begun to invest in projects in our key oil and gas and petrochemical markets and this shift has had a favorable impact on our orders and backlog over recent quarters, resulting in increased revenues in Fiscal 2019.</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March 31, 2019 Compared to the Quarter Ended March 31, 2018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Gross Profit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by 22%, or $22.2 million, to $123.7 million in the second quarter of Fiscal 2019, compared to the second quarter of Fiscal 2018, primarily due to an increase in orders over the past few quarters in our domestic operations from improved market conditions, primarily in our oil and gas markets. Domestic revenues increased by 36%, or $25.8 million, to $97.3 million in the second quarter of Fiscal 2019, compared to the second quarter of Fiscal 2018. International revenues decreased by 12%, or $3.6 million, to $26.4 million in the second quarter of Fiscal 2019, compared to the second quarter of Fiscal 2018. Our international revenue includes both revenue generated from our international facilities, as well as export revenues from our domestic facilities.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from commercial and industrial projects increased by 30%, or $21.0 million, to $91.6 million in the second quarter of Fiscal 2019, compared to the second quarter of Fiscal 2018, primarily driven by the continued strengthening of the core oil and gas and petrochemical end markets. Revenues from public and private utilities decreased by 11%, or $2.5 million, to $20.4 million in the second quarter of Fiscal 2019, compared to the second quarter of Fiscal 2018 as the business nears completion of select large utility projects in the backlog. Revenues from municipal and transit projects increased by 46%, or $3.7 million, to $11.7 million in the second quarter of Fiscal 2019, compared to the second quarter of Fiscal 2018, primarily impacted by project timing and product mix as this market remains stable versus the prior year.</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Gross profit for the second quarter of Fiscal 2019 increased by 62%, or $7.7 million, to $20.1 million, compared to the second quarter of Fiscal 2018. Gross profit as a percentage of revenues increased to 16% in the second quarter of Fiscal 2019, compared to 12% in the second quarter of Fiscal 2018. Gross profit and margins increased due to improved market conditions and efficiencies resulting from increased volume in our domestic manufacturing facilities.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increased by 7%, or $1.1 million, to $17.2 million during the second quarter of Fiscal 2019, compared to $16.1 million in the second quarter of Fiscal 2018. Selling, general and administrative expenses, as a percentage of revenues, decreased to 14% during the second quarter of Fiscal 2019, compared to 16% during the second quarter of Fiscal 2018, primarily due to the increase in revenues and our continued focus on our cost structure.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Expense/Benefit</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recorded income tax expense of $0.4 million in the second quarter of Fiscal 2019, compared to an income tax benefit of $1.8 million in the second quarter of Fiscal 2018. The effective tax rate for the second quarter of Fiscal 2019 was 30%, compared to an effective tax rate of 35% in the second quarter of Fiscal 2018. On December 22, 2017, the Tax Cuts and Jobs Act was signed into law, which lowered the corporate tax rate from 35% to 21% effective January 1,</w:t>
      </w:r>
    </w:p>
    <w:p>
      <w:pPr>
        <w:jc w:val="both"/>
        <w:spacing w:after="0" w:line="254" w:lineRule="auto"/>
        <w:rPr>
          <w:sz w:val="20"/>
          <w:szCs w:val="20"/>
          <w:color w:val="auto"/>
        </w:rPr>
      </w:pPr>
      <w:r>
        <w:rPr>
          <w:rFonts w:ascii="Arial" w:cs="Arial" w:eastAsia="Arial" w:hAnsi="Arial"/>
          <w:sz w:val="18"/>
          <w:szCs w:val="18"/>
          <w:color w:val="auto"/>
        </w:rPr>
        <w:t>2018. As a result, the U.S. federal statutory rate for Fiscal 2019 is 21%, compared to the blended statutory rate of 24.5% effective for Fiscal 2018. For the three months ended March 31, 2019 and 2018, the effective tax rate was negatively impacted by foreign tax losses that are reserved with a valuation allowance. The change in the effective tax rate for the three months ended March 31, 2019 compared to the same period of the prior year primarily relates to the relative amounts of income (loss) recognized in various jurisdictions.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Income/Loss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second quarter of Fiscal 2019, we recorded net income of $1.0 million, or $0.08 per diluted share, compared to a net loss of $3.3 million, or $0.29 per diluted share, in the second quarter of Fiscal 2018. This improvement in operating results over the prior year was primarily due to improved market conditions and efficiencies resulting from increased volume in our domestic manufacturing facilities.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includes various projects that can take a number of months to produce. The order backlog at March 31, 2019 increased to $397.2 million, compared to $322.0 million at December 31, 2018, primarily due to increased demand from our customers in our core oil and gas and petrochemical markets. New orders placed during the second quarter of Fiscal 2019 increased to $196.7 million, compared to $141.5 million in the second quarter of Fiscal 2018, primarily due to increased demand from our customers in our core oil and gas and petrochemical markets.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March 31, 2019 Compared to the Six Months Ended March 31, 2018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Gross Profit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increased by 22%, or $41.4 million, to $233.1 million for the six months ended March 31, 2019, compared to the six months ended March 31, 2018, primarily due to an increase in orders over the past few quarters in our domestic operations from improved market conditions, primarily in our oil and gas markets. Domestic revenues increased by 42%, or $55.6 million, to $187.2 million for the six months ended March 31, 2019, compared to the six months ended March 31, 2018. International revenues decreased by 24%, or $14.2 million, to $45.9 million for the six months ended March 31, 2019, compared to the six months ended March 31, 2018, primarily due to a decrease in export projects from our domestic facilities. Our international revenue includes both revenue generated from our international facilities, as well as export revenues from our domestic facilities.</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from commercial and industrial projects increased by 33%, or $43.4 million, to $174.8 million for the six months ended March 31, 2019, compared to the six months ended March 31, 2018, driven by the strength across the core oil and gas and petrochemical end markets. Revenues from public and private utilities decreased by 18%, or $8.5 million, to $39.6 million for the six months ended March 31, 2019, compared to the six months ended March 31, 2018, as the business nears completion of select large utility projects in the backlog. Revenues from municipal and transit projects increased by 53%, or $6.5 million, to $18.7 million for the six months ended March 31, 2019, compared to the six months ended March 31, 2018, primarily impacted by the project timing and product mix of projects at or near completion for some of our key municipal customers.</w:t>
      </w:r>
    </w:p>
    <w:p>
      <w:pPr>
        <w:spacing w:after="0" w:line="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Gross profit for the six months ended March 31, 2019 increased by 51%, or $11.7 million, to $34.7 million, compared to the six months ended March 31, 2018. Gross profit as a percentage of revenues increased to 15% for the six months ended March 31, 2019, compared to 12% for the six months ended March 31, 2018. Gross profit increased due to improved market conditions and efficiencies resulting from increased volume in our domestic manufacturing facilities.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5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increased by 3%, or $0.8 million, to $33.1 million for the six months ended March 31, 2019, compared to the six months ended March 31, 2018. Selling, general and administrative expenses, as a percentage of revenues, decreased to 14% during the six months ended March 31, 2019, compared to 17% during the six months ended March 31, 2018, primarily due to the increase in revenues and our continued focus on our cost structure.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Expense/Benefit</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recorded income tax expense of $0.2 million for the six months ended March 31, 2019 compared to an income tax benefit of $2.8 million for the six months ended March 31, 2018. The effective tax rate for the six months ended March 31, 2019 was a negative 11% compared to an effective tax rate of 24% for the six months ended March 31, 2018. The effective tax rate for the six months ended March 31, 2019 and 2018 was negatively impacted by foreign tax losses that are reserved with a valuation allowance. The income tax benefit for the six months ended March 31, 2018 was also negatively impacted from a deferred tax expense of $0.8 million due to the re-measurement of our U.S. deferred tax assets. The change in the effective tax rate for the six months ended March 31, 2019 compared to the same period of the prior year primarily relates to the relative amounts of income (loss) recognized in various jurisdictions.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March 31, 2019, we recorded a net loss of $1.7 million, or $0.15 per diluted share, compared to a net loss of $9.0 million, or $0.78 per diluted share, for the six months ended March 31, 2018. The improvement in our operating results over the prior year was primarily due to improved market conditions and efficiencies resulting from increased volume in our domestic manufacturing facilities.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order backlog at March 31, 2019 was $397.2 million, an increase from the $260.9 million at September 30, 2018, primarily due to increased demand from our customers in our core oil and gas and petrochemical markets. New orders increased during the six months ended March 31, 2019 to $369.1 million, compared to $241.4 million for the six months ended March 31, 2018, primarily due to improved market conditions.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markets in which we participate are capital-intensive and cyclical in nature. Cyclicality is predominantly driven by customer demand, global economic conditions and anticipated environmental, safety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revenues have historically been from the oil, gas and petrochemical markets. Oil and gas commodity price levels have been unstable over the last several years and our customers delayed some of their major capital investment projects. Commodity prices have begun to improve and customers have begun to invest in projects in our key oil and gas and petrochemical markets and this shift in market sentiment has had a favorable impact on our orders and backlog over recent quarters.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operating results are impacted by factors such as the timing of new order awards, customer approval of final engineering and design specifications and delays in customer construction schedules, all of which contribute to short-term earnings variability and the timing of project execution. Our operating results also have been, and could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These factors may result in periods of underutilization of our resources and facilities and negatively impact our ability to cover our fixed costs. We continue to assess our cost structure, operating performance and service offerings as the oil and gas and petrochemical markets remain challenging and uncertain. In Fiscal 2018, we experienced an increase in new orders which has continued into the first half of 2019. This improvement in orders has led to improvement in revenues and operating results that we anticipate will continue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for the remainder of Fiscal 2019. We continue to focus on maintaining our cash position, improving efficiencies in production and investing in future business opportunities.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increase in project volume typically requires cash to fund operations, but we believe that our strong working capital position and available cash and short-term investments should be sufficient to finance future operating activities, research and development initiatives, capital improvements and debt repayments for the foreseeable future. We continue to monitor the factors that drive our markets and will continue to strive to maintain our leadership and competitive advantage in the markets we serve while aligning our cost structures with market conditions.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current assets exceeded current liabilities by 2.4 times and our debt to total capitalization was 0.41%.</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Cash, cash equivalents and short-term investments increased to $72.4 million at March 31, 2019, compared to $49.8 million at September 30, 2018. We also had restricted cash held in a pledged collateral account related to our amended credit agreement (U.S. Revolver) of $18.6 million at March 31, 2019 and $25.1 million at September 30, 2018. For further information regarding our U.S. Revolver, see Note E of Notes to Condensed Consolidated Financial Statements.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U.S. Revolver is a $75.0 million revolving credit facility in the U.S. As of March 31, 2019, there were no amounts borrowed under this facility. Total letters of credit outstanding under our U.S. Revolver, which reduce our availability, were $15.6 million at March 31, 2019 and $23.1 million at September 30, 2018. Currently, our U.S. Revolver can only be used for letters of credit until we meet certain financial ratios as described in Note E of Notes to Condensed Consolidated Financial Statements. As of March 31, 2019, there was $59.4 million available for the issuance of letters of credit under the U.S. Revolver. Total long-term debt, including current maturities, totaled $1.2 million at March 31, 2019, compared to $1.6 million at September 30, 2018.</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$23.6 million of our cash and short-term investments at March 31, 2019 was held outside of the U.S. for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under current tax laws we would incur additional tax expense upon such repatriation.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Cash provided by operating activities increased to $26.0 million during the six months ended March 31, 2019, compared to cash used in operating activities of $10.6 million during the same period in Fiscal 2018. This increase in operating cash flow for the six months ended March 31, 2019 was primarily due to the collection of accounts receivable and the receipt of a $6.6 million income tax refund in the first quarter of Fiscal 2019. Cash flow from operations is primarily influenced by project volume, the timing of milestone payments from our customers and the payment terms with our suppliers.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investing activities during the six months ended March 31, 2019 totaled $5.3 million compared to cash provided by investing activities of $2.5 million during the same period in Fiscal 2018. This increase in cash provided by investing activities in the current period was primarily due to an increase in the net maturities of short-term investments and a decrease in property, plant and equipment expenditures compared to the same period in the prior year.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was $7.5 million and $6.8 million during the six months ended March 31, 2019 and 2018, respectively. These amounts primarily consisted of cash dividends of approximately $6.0 million in each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A of Notes to Condensed Consolidated Financial Statements included in this report for information on new accounting standards.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Effective October 1, 2018, we adopted the new revenue recognition guidance which resulted in changes to our revenue recognition policy. See Note D of Notes to Condensed Consolidated Financial Statements for information on the new revenue recognition guidance and related disclosures. There have been no other material changes to our critical accounting policies as disclosed in our Annual Report on Form 10-K for the year ended September 30,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market risks arising from transactions we have entered into in the normal course of business. These risks primarily relate to fluctuations in market conditions, commodity prices, foreign exchange rates and interest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are typically in the oil and gas markets, including onshore and offshore oil and gas production, pipeline, refining and liquid natural gas terminals, as well as petrochemical, electric utility and light traction power. We maintain ongoing discussions with customers regarding contract status with respect to payment status, change orders and billing terms in an effort to monitor collections of amounts billed.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profit margin. While we may do so in the future, we have not currently entered into any derivative contracts to hedge our exposure to commodity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Risk</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operations that expose us to currency risk in the British Pound Sterling, the Canadian Dollar and to a lesser extent the Euro. Amounts invested in our foreign operations are translated into U.S. Dollars at the exchange rates in effect at the balance sheet date. The resulting translation adjustments are recorded as accumulated other comprehensive income (loss), a component of stockholders’ equity in our condensed consolidated balance sheets. We believe the exposure to the effects that fluctuating foreign currencies have on our consolidated results of operations is limited because the foreign operations primarily invoice customers and collect obligations in their respective currencies or U.S. Dollars. Additionally, expenses associated with these transactions are generally contracted and paid for in the same local currencies. For the six months ended March 31, 2019, our realized foreign exchange gain was less than $0.1 million and is included in selling, general and administrative expenses in the Condensed Consolidated Statements of Operations.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accumulated other comprehensive loss, which is included as a component of stockholders’ equity, was $24.1 million as of March 31, 2019, an increase of $2.4 million compared to September 30, 2018. This increase in comprehensive loss was primarily a result of fluctuations in the currency exchange rates for the Canadian Dollar and British Pound Sterling as we remeasured the foreign operations of those divisions.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hedge our exposure to potential foreign currency translation adjustments.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0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meet certain covenants and are able to borrow under our U.S. Revolver,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last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no material changes from the risk factors previously disclosed in the Company’s Annual Report on Form 10-K for the fiscal year ended September 30, 2018.</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0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ind w:left="1420" w:right="20" w:hanging="818"/>
        <w:spacing w:after="0" w:line="293" w:lineRule="auto"/>
        <w:tabs>
          <w:tab w:leader="none" w:pos="1400" w:val="left"/>
        </w:tabs>
        <w:rPr>
          <w:rFonts w:ascii="Arial" w:cs="Arial" w:eastAsia="Arial" w:hAnsi="Arial"/>
          <w:sz w:val="18"/>
          <w:szCs w:val="18"/>
          <w:color w:val="0000FF"/>
        </w:rPr>
      </w:pPr>
      <w:r>
        <w:rPr>
          <w:rFonts w:ascii="Arial" w:cs="Arial" w:eastAsia="Arial" w:hAnsi="Arial"/>
          <w:sz w:val="18"/>
          <w:szCs w:val="18"/>
          <w:color w:val="auto"/>
        </w:rPr>
        <w:t>3.1</w:t>
        <w:tab/>
        <w:t xml:space="preserve">— </w:t>
      </w:r>
      <w:hyperlink r:id="rId22">
        <w:r>
          <w:rPr>
            <w:rFonts w:ascii="Arial" w:cs="Arial" w:eastAsia="Arial" w:hAnsi="Arial"/>
            <w:sz w:val="18"/>
            <w:szCs w:val="18"/>
            <w:u w:val="single" w:color="auto"/>
            <w:color w:val="0000FF"/>
          </w:rPr>
          <w:t>Certificate of Incorporation of Powell Industries, Inc. filed with the Secretary of State of the State of Delaware on February 11, 2004</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FF"/>
          </w:rPr>
          <w:t>(filed as Exhibit 3.1 to our Form 8-A/A filed November 1, 2004, and incorporated herein by reference)</w:t>
        </w:r>
        <w:r>
          <w:rPr>
            <w:rFonts w:ascii="Arial" w:cs="Arial" w:eastAsia="Arial" w:hAnsi="Arial"/>
            <w:sz w:val="18"/>
            <w:szCs w:val="18"/>
            <w:color w:val="000000"/>
          </w:rPr>
          <w:t>.</w:t>
        </w:r>
      </w:hyperlink>
    </w:p>
    <w:p>
      <w:pPr>
        <w:spacing w:after="0" w:line="210" w:lineRule="exact"/>
        <w:rPr>
          <w:sz w:val="20"/>
          <w:szCs w:val="20"/>
          <w:color w:val="auto"/>
        </w:rPr>
      </w:pPr>
    </w:p>
    <w:p>
      <w:pPr>
        <w:ind w:left="1420" w:hanging="818"/>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3.2</w:t>
        <w:tab/>
        <w:t xml:space="preserve">— </w:t>
      </w:r>
      <w:hyperlink r:id="rId23">
        <w:r>
          <w:rPr>
            <w:rFonts w:ascii="Arial" w:cs="Arial" w:eastAsia="Arial" w:hAnsi="Arial"/>
            <w:sz w:val="18"/>
            <w:szCs w:val="18"/>
            <w:u w:val="single" w:color="auto"/>
            <w:color w:val="0000FF"/>
          </w:rPr>
          <w:t>Amended and Restated Bylaws of Powell Industries, Inc. (filed as Exhibit 3.1 to our Form 8-K filed October 12, 2012, and</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FF"/>
          </w:rPr>
          <w:t>incorporated herein by reference).</w:t>
        </w:r>
      </w:hyperlink>
    </w:p>
    <w:p>
      <w:pPr>
        <w:spacing w:after="0" w:line="184" w:lineRule="exact"/>
        <w:rPr>
          <w:sz w:val="20"/>
          <w:szCs w:val="20"/>
          <w:color w:val="auto"/>
        </w:rPr>
      </w:pPr>
    </w:p>
    <w:p>
      <w:pPr>
        <w:ind w:left="1760" w:right="20" w:hanging="908"/>
        <w:spacing w:after="0" w:line="277" w:lineRule="auto"/>
        <w:tabs>
          <w:tab w:leader="none" w:pos="174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24">
        <w:r>
          <w:rPr>
            <w:rFonts w:ascii="Arial" w:cs="Arial" w:eastAsia="Arial" w:hAnsi="Arial"/>
            <w:sz w:val="18"/>
            <w:szCs w:val="18"/>
            <w:u w:val="single" w:color="auto"/>
            <w:color w:val="0000FF"/>
          </w:rPr>
          <w:t>Consulting and Advisory Services Agreement effective January 5, 2019 by and between the Company and Don R. Madison (filed as</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Exhibit 10.1 to our Form 8-K filed December 21, 2018 and incorporated herein by reference).</w:t>
        </w:r>
      </w:hyperlink>
    </w:p>
    <w:p>
      <w:pPr>
        <w:spacing w:after="0" w:line="224" w:lineRule="exact"/>
        <w:rPr>
          <w:sz w:val="20"/>
          <w:szCs w:val="20"/>
          <w:color w:val="auto"/>
        </w:rPr>
      </w:pPr>
    </w:p>
    <w:p>
      <w:pPr>
        <w:ind w:left="760"/>
        <w:spacing w:after="0"/>
        <w:tabs>
          <w:tab w:leader="none" w:pos="140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*31.1</w:t>
        <w:tab/>
        <w:t>—</w:t>
      </w:r>
      <w:r>
        <w:rPr>
          <w:sz w:val="20"/>
          <w:szCs w:val="20"/>
          <w:color w:val="auto"/>
        </w:rPr>
        <w:tab/>
      </w:r>
      <w:hyperlink w:anchor="page29">
        <w:r>
          <w:rPr>
            <w:rFonts w:ascii="Arial" w:cs="Arial" w:eastAsia="Arial" w:hAnsi="Arial"/>
            <w:sz w:val="16"/>
            <w:szCs w:val="16"/>
            <w:u w:val="single" w:color="auto"/>
            <w:color w:val="0000FF"/>
          </w:rPr>
          <w:t>Certification of Chief Executive Officer pursuant to Rule 13a-14(a)/15d-14(a).</w:t>
        </w:r>
      </w:hyperlink>
    </w:p>
    <w:p>
      <w:pPr>
        <w:spacing w:after="0" w:line="279" w:lineRule="exact"/>
        <w:rPr>
          <w:sz w:val="20"/>
          <w:szCs w:val="20"/>
          <w:color w:val="auto"/>
        </w:rPr>
      </w:pPr>
    </w:p>
    <w:p>
      <w:pPr>
        <w:ind w:left="760"/>
        <w:spacing w:after="0"/>
        <w:tabs>
          <w:tab w:leader="none" w:pos="140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*31.2</w:t>
        <w:tab/>
        <w:t>—</w:t>
      </w:r>
      <w:r>
        <w:rPr>
          <w:sz w:val="20"/>
          <w:szCs w:val="20"/>
          <w:color w:val="auto"/>
        </w:rPr>
        <w:tab/>
      </w:r>
      <w:hyperlink w:anchor="page30">
        <w:r>
          <w:rPr>
            <w:rFonts w:ascii="Arial" w:cs="Arial" w:eastAsia="Arial" w:hAnsi="Arial"/>
            <w:sz w:val="16"/>
            <w:szCs w:val="16"/>
            <w:u w:val="single" w:color="auto"/>
            <w:color w:val="0000FF"/>
          </w:rPr>
          <w:t>Certification of Chief Financial Officer pursuant to Rule 13a-14(a)/15d-14(a).</w:t>
        </w:r>
      </w:hyperlink>
    </w:p>
    <w:p>
      <w:pPr>
        <w:spacing w:after="0" w:line="279" w:lineRule="exact"/>
        <w:rPr>
          <w:sz w:val="20"/>
          <w:szCs w:val="20"/>
          <w:color w:val="auto"/>
        </w:rPr>
      </w:pPr>
    </w:p>
    <w:p>
      <w:pPr>
        <w:ind w:left="1420" w:right="20" w:hanging="1088"/>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**32.1</w:t>
        <w:tab/>
        <w:t xml:space="preserve">— </w:t>
      </w:r>
      <w:hyperlink w:anchor="page31">
        <w:r>
          <w:rPr>
            <w:rFonts w:ascii="Arial" w:cs="Arial" w:eastAsia="Arial" w:hAnsi="Arial"/>
            <w:sz w:val="18"/>
            <w:szCs w:val="18"/>
            <w:u w:val="single" w:color="auto"/>
            <w:color w:val="0000FF"/>
          </w:rPr>
          <w:t>Certification of Chief Executive Officer Pursuant to Section 18 U.S.C. Section 1350, as Adopted Pursuant to Section 906 of the</w:t>
        </w:r>
      </w:hyperlink>
      <w:r>
        <w:rPr>
          <w:rFonts w:ascii="Arial" w:cs="Arial" w:eastAsia="Arial" w:hAnsi="Arial"/>
          <w:sz w:val="18"/>
          <w:szCs w:val="18"/>
          <w:color w:val="auto"/>
        </w:rPr>
        <w:t xml:space="preserve"> </w:t>
      </w:r>
      <w:hyperlink w:anchor="page31">
        <w:r>
          <w:rPr>
            <w:rFonts w:ascii="Arial" w:cs="Arial" w:eastAsia="Arial" w:hAnsi="Arial"/>
            <w:sz w:val="18"/>
            <w:szCs w:val="18"/>
            <w:u w:val="single" w:color="auto"/>
            <w:color w:val="0000FF"/>
          </w:rPr>
          <w:t>Sarbanes-Oxley Act of 2002.</w:t>
        </w:r>
      </w:hyperlink>
    </w:p>
    <w:p>
      <w:pPr>
        <w:spacing w:after="0" w:line="224" w:lineRule="exact"/>
        <w:rPr>
          <w:sz w:val="20"/>
          <w:szCs w:val="20"/>
          <w:color w:val="auto"/>
        </w:rPr>
      </w:pPr>
    </w:p>
    <w:p>
      <w:pPr>
        <w:ind w:left="1420" w:hanging="1088"/>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**32.2</w:t>
        <w:tab/>
        <w:t xml:space="preserve">— </w:t>
      </w:r>
      <w:hyperlink w:anchor="page32">
        <w:r>
          <w:rPr>
            <w:rFonts w:ascii="Arial" w:cs="Arial" w:eastAsia="Arial" w:hAnsi="Arial"/>
            <w:sz w:val="18"/>
            <w:szCs w:val="18"/>
            <w:u w:val="single" w:color="auto"/>
            <w:color w:val="0000FF"/>
          </w:rPr>
          <w:t>Certification of Chief Financial Officer Pursuant to Section 18 U.S.C. Section 1350, as Adopted Pursuant to Section 906 of the</w:t>
        </w:r>
      </w:hyperlink>
      <w:r>
        <w:rPr>
          <w:rFonts w:ascii="Arial" w:cs="Arial" w:eastAsia="Arial" w:hAnsi="Arial"/>
          <w:sz w:val="18"/>
          <w:szCs w:val="18"/>
          <w:color w:val="auto"/>
        </w:rPr>
        <w:t xml:space="preserve"> </w:t>
      </w:r>
      <w:hyperlink w:anchor="page32">
        <w:r>
          <w:rPr>
            <w:rFonts w:ascii="Arial" w:cs="Arial" w:eastAsia="Arial" w:hAnsi="Arial"/>
            <w:sz w:val="18"/>
            <w:szCs w:val="18"/>
            <w:u w:val="single" w:color="auto"/>
            <w:color w:val="0000FF"/>
          </w:rPr>
          <w:t>Sarbanes-Oxley Act of 2002.</w:t>
        </w:r>
      </w:hyperlink>
    </w:p>
    <w:p>
      <w:pPr>
        <w:spacing w:after="0" w:line="224" w:lineRule="exact"/>
        <w:rPr>
          <w:sz w:val="20"/>
          <w:szCs w:val="20"/>
          <w:color w:val="auto"/>
        </w:rPr>
      </w:pPr>
    </w:p>
    <w:p>
      <w:pPr>
        <w:ind w:left="460"/>
        <w:spacing w:after="0"/>
        <w:tabs>
          <w:tab w:leader="none" w:pos="1400" w:val="left"/>
          <w:tab w:leader="none" w:pos="1740" w:val="left"/>
        </w:tabs>
        <w:rPr>
          <w:sz w:val="20"/>
          <w:szCs w:val="20"/>
          <w:color w:val="auto"/>
        </w:rPr>
      </w:pPr>
      <w:r>
        <w:rPr>
          <w:rFonts w:ascii="Arial" w:cs="Arial" w:eastAsia="Arial" w:hAnsi="Arial"/>
          <w:sz w:val="18"/>
          <w:szCs w:val="18"/>
          <w:color w:val="auto"/>
        </w:rPr>
        <w:t>*101.INS</w:t>
        <w:tab/>
        <w:t>—</w:t>
      </w:r>
      <w:r>
        <w:rPr>
          <w:sz w:val="20"/>
          <w:szCs w:val="20"/>
          <w:color w:val="auto"/>
        </w:rPr>
        <w:tab/>
      </w:r>
      <w:r>
        <w:rPr>
          <w:rFonts w:ascii="Arial" w:cs="Arial" w:eastAsia="Arial" w:hAnsi="Arial"/>
          <w:sz w:val="16"/>
          <w:szCs w:val="16"/>
          <w:color w:val="auto"/>
        </w:rPr>
        <w:t>XBRL Instance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*101.SCH</w:t>
        <w:tab/>
        <w:t>—</w:t>
      </w:r>
      <w:r>
        <w:rPr>
          <w:sz w:val="20"/>
          <w:szCs w:val="20"/>
          <w:color w:val="auto"/>
        </w:rPr>
        <w:tab/>
      </w:r>
      <w:r>
        <w:rPr>
          <w:rFonts w:ascii="Arial" w:cs="Arial" w:eastAsia="Arial" w:hAnsi="Arial"/>
          <w:sz w:val="16"/>
          <w:szCs w:val="16"/>
          <w:color w:val="auto"/>
        </w:rPr>
        <w:t>XBRL Taxonomy Extension Schema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*101.CAL</w:t>
        <w:tab/>
        <w:t>—</w:t>
      </w:r>
      <w:r>
        <w:rPr>
          <w:sz w:val="20"/>
          <w:szCs w:val="20"/>
          <w:color w:val="auto"/>
        </w:rPr>
        <w:tab/>
      </w:r>
      <w:r>
        <w:rPr>
          <w:rFonts w:ascii="Arial" w:cs="Arial" w:eastAsia="Arial" w:hAnsi="Arial"/>
          <w:sz w:val="16"/>
          <w:szCs w:val="16"/>
          <w:color w:val="auto"/>
        </w:rPr>
        <w:t>XBRL Taxonomy Extension Calculation Linkbase Document</w:t>
      </w:r>
    </w:p>
    <w:p>
      <w:pPr>
        <w:spacing w:after="0" w:line="279" w:lineRule="exact"/>
        <w:rPr>
          <w:sz w:val="20"/>
          <w:szCs w:val="20"/>
          <w:color w:val="auto"/>
        </w:rPr>
      </w:pPr>
    </w:p>
    <w:p>
      <w:pPr>
        <w:ind w:left="420"/>
        <w:spacing w:after="0"/>
        <w:tabs>
          <w:tab w:leader="none" w:pos="1400" w:val="left"/>
          <w:tab w:leader="none" w:pos="1740" w:val="left"/>
        </w:tabs>
        <w:rPr>
          <w:sz w:val="20"/>
          <w:szCs w:val="20"/>
          <w:color w:val="auto"/>
        </w:rPr>
      </w:pPr>
      <w:r>
        <w:rPr>
          <w:rFonts w:ascii="Arial" w:cs="Arial" w:eastAsia="Arial" w:hAnsi="Arial"/>
          <w:sz w:val="18"/>
          <w:szCs w:val="18"/>
          <w:color w:val="auto"/>
        </w:rPr>
        <w:t>*101.DEF</w:t>
        <w:tab/>
        <w:t>—</w:t>
      </w:r>
      <w:r>
        <w:rPr>
          <w:sz w:val="20"/>
          <w:szCs w:val="20"/>
          <w:color w:val="auto"/>
        </w:rPr>
        <w:tab/>
      </w:r>
      <w:r>
        <w:rPr>
          <w:rFonts w:ascii="Arial" w:cs="Arial" w:eastAsia="Arial" w:hAnsi="Arial"/>
          <w:sz w:val="16"/>
          <w:szCs w:val="16"/>
          <w:color w:val="auto"/>
        </w:rPr>
        <w:t>XBRL Taxonomy Extension Definition Linkbase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*101.LAB</w:t>
        <w:tab/>
        <w:t>—</w:t>
      </w:r>
      <w:r>
        <w:rPr>
          <w:sz w:val="20"/>
          <w:szCs w:val="20"/>
          <w:color w:val="auto"/>
        </w:rPr>
        <w:tab/>
      </w:r>
      <w:r>
        <w:rPr>
          <w:rFonts w:ascii="Arial" w:cs="Arial" w:eastAsia="Arial" w:hAnsi="Arial"/>
          <w:sz w:val="16"/>
          <w:szCs w:val="16"/>
          <w:color w:val="auto"/>
        </w:rPr>
        <w:t>XBRL Taxonomy Extension Label Linkbase Document</w:t>
      </w:r>
    </w:p>
    <w:p>
      <w:pPr>
        <w:spacing w:after="0" w:line="279" w:lineRule="exact"/>
        <w:rPr>
          <w:sz w:val="20"/>
          <w:szCs w:val="20"/>
          <w:color w:val="auto"/>
        </w:rPr>
      </w:pPr>
    </w:p>
    <w:p>
      <w:pPr>
        <w:ind w:left="420"/>
        <w:spacing w:after="0"/>
        <w:tabs>
          <w:tab w:leader="none" w:pos="1400" w:val="left"/>
          <w:tab w:leader="none" w:pos="1740" w:val="left"/>
        </w:tabs>
        <w:rPr>
          <w:sz w:val="20"/>
          <w:szCs w:val="20"/>
          <w:color w:val="auto"/>
        </w:rPr>
      </w:pPr>
      <w:r>
        <w:rPr>
          <w:rFonts w:ascii="Arial" w:cs="Arial" w:eastAsia="Arial" w:hAnsi="Arial"/>
          <w:sz w:val="18"/>
          <w:szCs w:val="18"/>
          <w:color w:val="auto"/>
        </w:rPr>
        <w:t>*101.PRE</w:t>
        <w:tab/>
        <w:t>—</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0890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Filed herewith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0" w:right="25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8020" w:type="dxa"/>
            <w:vAlign w:val="bottom"/>
            <w:gridSpan w:val="2"/>
          </w:tcPr>
          <w:p>
            <w:pPr>
              <w:ind w:left="2020"/>
              <w:spacing w:after="0"/>
              <w:rPr>
                <w:sz w:val="20"/>
                <w:szCs w:val="20"/>
                <w:color w:val="auto"/>
              </w:rPr>
            </w:pPr>
            <w:r>
              <w:rPr>
                <w:rFonts w:ascii="Arial" w:cs="Arial" w:eastAsia="Arial" w:hAnsi="Arial"/>
                <w:sz w:val="18"/>
                <w:szCs w:val="18"/>
                <w:color w:val="auto"/>
              </w:rPr>
              <w:t>POWELL INDUSTRIES, INC.</w:t>
            </w:r>
          </w:p>
        </w:tc>
      </w:tr>
      <w:tr>
        <w:trPr>
          <w:trHeight w:val="270"/>
        </w:trPr>
        <w:tc>
          <w:tcPr>
            <w:tcW w:w="3360" w:type="dxa"/>
            <w:vAlign w:val="bottom"/>
          </w:tcPr>
          <w:p>
            <w:pPr>
              <w:spacing w:after="0"/>
              <w:rPr>
                <w:sz w:val="23"/>
                <w:szCs w:val="23"/>
                <w:color w:val="auto"/>
              </w:rPr>
            </w:pPr>
          </w:p>
        </w:tc>
        <w:tc>
          <w:tcPr>
            <w:tcW w:w="8020" w:type="dxa"/>
            <w:vAlign w:val="bottom"/>
            <w:gridSpan w:val="2"/>
          </w:tcPr>
          <w:p>
            <w:pPr>
              <w:ind w:left="2020"/>
              <w:spacing w:after="0"/>
              <w:rPr>
                <w:sz w:val="20"/>
                <w:szCs w:val="20"/>
                <w:color w:val="auto"/>
              </w:rPr>
            </w:pPr>
            <w:r>
              <w:rPr>
                <w:rFonts w:ascii="Arial" w:cs="Arial" w:eastAsia="Arial" w:hAnsi="Arial"/>
                <w:sz w:val="18"/>
                <w:szCs w:val="18"/>
                <w:color w:val="auto"/>
              </w:rPr>
              <w:t>(Registrant)</w:t>
            </w:r>
          </w:p>
        </w:tc>
      </w:tr>
      <w:tr>
        <w:trPr>
          <w:trHeight w:val="540"/>
        </w:trPr>
        <w:tc>
          <w:tcPr>
            <w:tcW w:w="3360" w:type="dxa"/>
            <w:vAlign w:val="bottom"/>
          </w:tcPr>
          <w:p>
            <w:pPr>
              <w:spacing w:after="0"/>
              <w:rPr>
                <w:sz w:val="20"/>
                <w:szCs w:val="20"/>
                <w:color w:val="auto"/>
              </w:rPr>
            </w:pPr>
            <w:r>
              <w:rPr>
                <w:rFonts w:ascii="Arial" w:cs="Arial" w:eastAsia="Arial" w:hAnsi="Arial"/>
                <w:sz w:val="18"/>
                <w:szCs w:val="18"/>
                <w:color w:val="auto"/>
              </w:rPr>
              <w:t>Date: May 8, 2019</w:t>
            </w:r>
          </w:p>
        </w:tc>
        <w:tc>
          <w:tcPr>
            <w:tcW w:w="2780" w:type="dxa"/>
            <w:vAlign w:val="bottom"/>
          </w:tcPr>
          <w:p>
            <w:pPr>
              <w:ind w:left="202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Brett A. Cope</w:t>
            </w:r>
          </w:p>
        </w:tc>
      </w:tr>
      <w:tr>
        <w:trPr>
          <w:trHeight w:val="27"/>
        </w:trPr>
        <w:tc>
          <w:tcPr>
            <w:tcW w:w="33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Brett A. Cope</w:t>
            </w:r>
          </w:p>
        </w:tc>
      </w:tr>
      <w:tr>
        <w:trPr>
          <w:trHeight w:val="270"/>
        </w:trPr>
        <w:tc>
          <w:tcPr>
            <w:tcW w:w="33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3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3360" w:type="dxa"/>
            <w:vAlign w:val="bottom"/>
          </w:tcPr>
          <w:p>
            <w:pPr>
              <w:spacing w:after="0"/>
              <w:rPr>
                <w:sz w:val="24"/>
                <w:szCs w:val="24"/>
                <w:color w:val="auto"/>
              </w:rPr>
            </w:pPr>
          </w:p>
        </w:tc>
        <w:tc>
          <w:tcPr>
            <w:tcW w:w="2780" w:type="dxa"/>
            <w:vAlign w:val="bottom"/>
          </w:tcPr>
          <w:p>
            <w:pPr>
              <w:ind w:left="202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Michael W. Metcalf</w:t>
            </w:r>
          </w:p>
        </w:tc>
      </w:tr>
      <w:tr>
        <w:trPr>
          <w:trHeight w:val="27"/>
        </w:trPr>
        <w:tc>
          <w:tcPr>
            <w:tcW w:w="33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Michael W. Metcalf</w:t>
            </w:r>
          </w:p>
        </w:tc>
      </w:tr>
      <w:tr>
        <w:trPr>
          <w:trHeight w:val="270"/>
        </w:trPr>
        <w:tc>
          <w:tcPr>
            <w:tcW w:w="33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r>
        <w:trPr>
          <w:trHeight w:val="270"/>
        </w:trPr>
        <w:tc>
          <w:tcPr>
            <w:tcW w:w="33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33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3360" w:type="dxa"/>
            <w:vAlign w:val="bottom"/>
          </w:tcPr>
          <w:p>
            <w:pPr>
              <w:spacing w:after="0"/>
              <w:rPr>
                <w:sz w:val="24"/>
                <w:szCs w:val="24"/>
                <w:color w:val="auto"/>
              </w:rPr>
            </w:pPr>
          </w:p>
        </w:tc>
        <w:tc>
          <w:tcPr>
            <w:tcW w:w="2780" w:type="dxa"/>
            <w:vAlign w:val="bottom"/>
          </w:tcPr>
          <w:p>
            <w:pPr>
              <w:ind w:left="2220"/>
              <w:spacing w:after="0"/>
              <w:rPr>
                <w:sz w:val="20"/>
                <w:szCs w:val="20"/>
                <w:color w:val="auto"/>
              </w:rPr>
            </w:pPr>
            <w:r>
              <w:rPr>
                <w:rFonts w:ascii="Arial" w:cs="Arial" w:eastAsia="Arial" w:hAnsi="Arial"/>
                <w:sz w:val="18"/>
                <w:szCs w:val="18"/>
                <w:color w:val="auto"/>
              </w:rPr>
              <w:t>28</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1" w:lineRule="exact"/>
        <w:rPr>
          <w:rFonts w:ascii="Arial" w:cs="Arial" w:eastAsia="Arial" w:hAnsi="Arial"/>
          <w:sz w:val="14"/>
          <w:szCs w:val="14"/>
          <w:color w:val="auto"/>
        </w:rPr>
      </w:pPr>
    </w:p>
    <w:p>
      <w:pPr>
        <w:ind w:left="1300" w:right="20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1300" w:right="8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1300" w:right="10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jc w:val="both"/>
        <w:ind w:left="1300" w:right="6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30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52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Brett A. Cope</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Brett A. Cope</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(Principal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May 8, 2019</w:t>
      </w:r>
    </w:p>
    <w:p>
      <w:pPr>
        <w:sectPr>
          <w:pgSz w:w="11900" w:h="16838" w:orient="portrait"/>
          <w:cols w:equalWidth="0" w:num="1">
            <w:col w:w="11420"/>
          </w:cols>
          <w:pgMar w:left="240" w:top="58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Michael W. Metcalf, certify that:</w:t>
      </w:r>
    </w:p>
    <w:p>
      <w:pPr>
        <w:spacing w:after="0" w:line="19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1" w:lineRule="exact"/>
        <w:rPr>
          <w:rFonts w:ascii="Arial" w:cs="Arial" w:eastAsia="Arial" w:hAnsi="Arial"/>
          <w:sz w:val="14"/>
          <w:szCs w:val="14"/>
          <w:color w:val="auto"/>
        </w:rPr>
      </w:pPr>
    </w:p>
    <w:p>
      <w:pPr>
        <w:ind w:left="1300" w:right="20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1300" w:right="8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1300" w:right="10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jc w:val="both"/>
        <w:ind w:left="1300" w:right="6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30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52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Michael W. Metcalf</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Michael W. Metcalf</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Executive Vice President</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(Principal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May 8, 2019</w:t>
      </w:r>
    </w:p>
    <w:p>
      <w:pPr>
        <w:sectPr>
          <w:pgSz w:w="11900" w:h="16838" w:orient="portrait"/>
          <w:cols w:equalWidth="0" w:num="1">
            <w:col w:w="11420"/>
          </w:cols>
          <w:pgMar w:left="240" w:top="58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In connection with this Quarterly Report (the “Report”) on Form 10-Q of Powell Industries, Inc. (the “Company”) for the quarter ended March 31, 2019, as filed with the Securities and Exchange Commission on the date hereof, I, Brett A. Cope,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56"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Brett A. Cope</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Brett A. Cope</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President and Chief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May 8, 2019</w:t>
      </w:r>
    </w:p>
    <w:p>
      <w:pPr>
        <w:sectPr>
          <w:pgSz w:w="11900" w:h="16838" w:orient="portrait"/>
          <w:cols w:equalWidth="0" w:num="1">
            <w:col w:w="11420"/>
          </w:cols>
          <w:pgMar w:left="240" w:top="58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In connection with this Quarterly Report (the “Report”) on Form 10-Q of Powell Industries, Inc. (the “Company”) for the quarter ended March 31, 2019,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8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Michael W. Metcalf</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Michael W. Metcalf</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Executive Vice President</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Chief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May 8, 2019</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5" Type="http://schemas.openxmlformats.org/officeDocument/2006/relationships/image" Target="media/image15.png"/><Relationship Id="rId22" Type="http://schemas.openxmlformats.org/officeDocument/2006/relationships/hyperlink" Target="http://www.sec.gov/Archives/edgar/data/80420/000008042004000044/exhibit3_1.htm" TargetMode="External"/><Relationship Id="rId23" Type="http://schemas.openxmlformats.org/officeDocument/2006/relationships/hyperlink" Target="http://www.sec.gov/Archives/edgar/data/80420/000119312512421889/d424375dex31.htm" TargetMode="External"/><Relationship Id="rId24" Type="http://schemas.openxmlformats.org/officeDocument/2006/relationships/hyperlink" Target="http://www.sec.gov/Archives/edgar/data/80420/000008042018000038/ex101-dmadisonconsulting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2019-12-28T12:58:22Z</dcterms:created>
  <dcterms:modified xsi:type="dcterms:W3CDTF">2019-12-28T12:58:22Z</dcterms:modified>
</cp:coreProperties>
</file>