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414655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380365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107315</wp:posOffset>
            </wp:positionV>
            <wp:extent cx="18173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101600</wp:posOffset>
            </wp:positionV>
            <wp:extent cx="18173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5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34"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33" w:lineRule="exact"/>
        <w:rPr>
          <w:rFonts w:ascii="MS PGothic" w:cs="MS PGothic" w:eastAsia="MS PGothic" w:hAnsi="MS PGothic"/>
          <w:sz w:val="20"/>
          <w:szCs w:val="20"/>
          <w:color w:val="auto"/>
        </w:rPr>
      </w:pPr>
    </w:p>
    <w:p>
      <w:pPr>
        <w:ind w:left="4080"/>
        <w:spacing w:after="0"/>
        <w:rPr>
          <w:rFonts w:ascii="MS PGothic" w:cs="MS PGothic" w:eastAsia="MS PGothic" w:hAnsi="MS PGothic"/>
          <w:sz w:val="20"/>
          <w:szCs w:val="20"/>
          <w:color w:val="auto"/>
        </w:rPr>
      </w:pPr>
      <w:r>
        <w:rPr>
          <w:rFonts w:ascii="Times New Roman" w:cs="Times New Roman" w:eastAsia="Times New Roman" w:hAnsi="Times New Roman"/>
          <w:sz w:val="16"/>
          <w:szCs w:val="16"/>
          <w:b w:val="1"/>
          <w:bCs w:val="1"/>
          <w:color w:val="auto"/>
        </w:rPr>
        <w:t>For the fiscal year ended September 30, 2025</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34" w:lineRule="exact"/>
        <w:rPr>
          <w:sz w:val="24"/>
          <w:szCs w:val="24"/>
          <w:color w:val="auto"/>
        </w:rPr>
      </w:pPr>
    </w:p>
    <w:p>
      <w:pPr>
        <w:ind w:left="380" w:hanging="334"/>
        <w:spacing w:after="0"/>
        <w:tabs>
          <w:tab w:leader="none" w:pos="38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27" w:lineRule="exact"/>
        <w:rPr>
          <w:sz w:val="24"/>
          <w:szCs w:val="24"/>
          <w:color w:val="auto"/>
        </w:rPr>
      </w:pPr>
    </w:p>
    <w:tbl>
      <w:tblPr>
        <w:tblLayout w:type="fixed"/>
        <w:tblInd w:w="398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480" w:type="dxa"/>
            <w:vAlign w:val="bottom"/>
            <w:tcBorders>
              <w:bottom w:val="single" w:sz="8" w:color="auto"/>
            </w:tcBorders>
          </w:tcPr>
          <w:p>
            <w:pPr>
              <w:spacing w:after="0"/>
              <w:rPr>
                <w:sz w:val="16"/>
                <w:szCs w:val="16"/>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w w:val="89"/>
              </w:rPr>
              <w:t>to</w:t>
            </w:r>
          </w:p>
        </w:tc>
        <w:tc>
          <w:tcPr>
            <w:tcW w:w="480" w:type="dxa"/>
            <w:vAlign w:val="bottom"/>
            <w:tcBorders>
              <w:bottom w:val="single" w:sz="8" w:color="auto"/>
            </w:tcBorders>
          </w:tcPr>
          <w:p>
            <w:pPr>
              <w:spacing w:after="0"/>
              <w:rPr>
                <w:sz w:val="16"/>
                <w:szCs w:val="16"/>
                <w:color w:val="auto"/>
              </w:rPr>
            </w:pPr>
          </w:p>
        </w:tc>
      </w:tr>
      <w:tr>
        <w:trPr>
          <w:trHeight w:val="366"/>
        </w:trPr>
        <w:tc>
          <w:tcPr>
            <w:tcW w:w="3280" w:type="dxa"/>
            <w:vAlign w:val="bottom"/>
            <w:gridSpan w:val="4"/>
          </w:tcPr>
          <w:p>
            <w:pPr>
              <w:ind w:left="380"/>
              <w:spacing w:after="0"/>
              <w:rPr>
                <w:sz w:val="20"/>
                <w:szCs w:val="20"/>
                <w:color w:val="auto"/>
              </w:rPr>
            </w:pPr>
            <w:r>
              <w:rPr>
                <w:rFonts w:ascii="Times New Roman" w:cs="Times New Roman" w:eastAsia="Times New Roman" w:hAnsi="Times New Roman"/>
                <w:sz w:val="16"/>
                <w:szCs w:val="16"/>
                <w:b w:val="1"/>
                <w:bCs w:val="1"/>
                <w:color w:val="auto"/>
              </w:rPr>
              <w:t>Commission File Number 001-12488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106680</wp:posOffset>
            </wp:positionV>
            <wp:extent cx="2202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27" w:lineRule="exact"/>
        <w:rPr>
          <w:sz w:val="24"/>
          <w:szCs w:val="24"/>
          <w:color w:val="auto"/>
        </w:rPr>
      </w:pPr>
    </w:p>
    <w:tbl>
      <w:tblPr>
        <w:tblLayout w:type="fixed"/>
        <w:tblInd w:w="0" w:type="dxa"/>
        <w:tblCellMar>
          <w:top w:w="0" w:type="dxa"/>
          <w:left w:w="0" w:type="dxa"/>
          <w:bottom w:w="0" w:type="dxa"/>
          <w:right w:w="0" w:type="dxa"/>
        </w:tblCellMar>
      </w:tblPr>
      <w:tr>
        <w:trPr>
          <w:trHeight w:val="315"/>
        </w:trPr>
        <w:tc>
          <w:tcPr>
            <w:tcW w:w="3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00" w:type="dxa"/>
            <w:vAlign w:val="bottom"/>
            <w:gridSpan w:val="6"/>
          </w:tcPr>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Powell Industries, Inc.</w:t>
            </w:r>
          </w:p>
        </w:tc>
        <w:tc>
          <w:tcPr>
            <w:tcW w:w="5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00" w:type="dxa"/>
            <w:vAlign w:val="bottom"/>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5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800" w:type="dxa"/>
            <w:vAlign w:val="bottom"/>
            <w:vMerge w:val="restart"/>
          </w:tcPr>
          <w:p>
            <w:pPr>
              <w:jc w:val="center"/>
              <w:ind w:left="1544"/>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0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300" w:type="dxa"/>
            <w:vAlign w:val="bottom"/>
            <w:vMerge w:val="restart"/>
          </w:tcPr>
          <w:p>
            <w:pPr>
              <w:jc w:val="center"/>
              <w:ind w:right="2084"/>
              <w:spacing w:after="0"/>
              <w:rPr>
                <w:sz w:val="20"/>
                <w:szCs w:val="20"/>
                <w:color w:val="auto"/>
              </w:rPr>
            </w:pPr>
            <w:r>
              <w:rPr>
                <w:rFonts w:ascii="Times New Roman" w:cs="Times New Roman" w:eastAsia="Times New Roman" w:hAnsi="Times New Roman"/>
                <w:sz w:val="14"/>
                <w:szCs w:val="14"/>
                <w:b w:val="1"/>
                <w:bCs w:val="1"/>
                <w:color w:val="auto"/>
              </w:rPr>
              <w:t>88-0106100</w:t>
            </w:r>
          </w:p>
        </w:tc>
        <w:tc>
          <w:tcPr>
            <w:tcW w:w="0" w:type="dxa"/>
            <w:vAlign w:val="bottom"/>
          </w:tcPr>
          <w:p>
            <w:pPr>
              <w:spacing w:after="0"/>
              <w:rPr>
                <w:sz w:val="1"/>
                <w:szCs w:val="1"/>
                <w:color w:val="auto"/>
              </w:rPr>
            </w:pPr>
          </w:p>
        </w:tc>
      </w:tr>
      <w:tr>
        <w:trPr>
          <w:trHeight w:val="334"/>
        </w:trPr>
        <w:tc>
          <w:tcPr>
            <w:tcW w:w="3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800" w:type="dxa"/>
            <w:vAlign w:val="bottom"/>
          </w:tcPr>
          <w:p>
            <w:pPr>
              <w:jc w:val="center"/>
              <w:ind w:left="1524"/>
              <w:spacing w:after="0" w:line="15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300" w:type="dxa"/>
            <w:vAlign w:val="bottom"/>
          </w:tcPr>
          <w:p>
            <w:pPr>
              <w:jc w:val="center"/>
              <w:ind w:right="2064"/>
              <w:spacing w:after="0" w:line="15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800" w:type="dxa"/>
            <w:vAlign w:val="bottom"/>
          </w:tcPr>
          <w:p>
            <w:pPr>
              <w:jc w:val="center"/>
              <w:ind w:left="152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300" w:type="dxa"/>
            <w:vAlign w:val="bottom"/>
          </w:tcPr>
          <w:p>
            <w:pPr>
              <w:jc w:val="center"/>
              <w:ind w:right="2084"/>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191"/>
        </w:trPr>
        <w:tc>
          <w:tcPr>
            <w:tcW w:w="3800" w:type="dxa"/>
            <w:vAlign w:val="bottom"/>
          </w:tcPr>
          <w:p>
            <w:pPr>
              <w:jc w:val="center"/>
              <w:ind w:left="1524"/>
              <w:spacing w:after="0"/>
              <w:rPr>
                <w:sz w:val="20"/>
                <w:szCs w:val="20"/>
                <w:color w:val="auto"/>
              </w:rPr>
            </w:pPr>
            <w:r>
              <w:rPr>
                <w:rFonts w:ascii="Times New Roman" w:cs="Times New Roman" w:eastAsia="Times New Roman" w:hAnsi="Times New Roman"/>
                <w:sz w:val="14"/>
                <w:szCs w:val="14"/>
                <w:b w:val="1"/>
                <w:bCs w:val="1"/>
                <w:color w:val="auto"/>
              </w:rPr>
              <w:t>8550 Mosley Road</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00" w:type="dxa"/>
            <w:vAlign w:val="bottom"/>
          </w:tcPr>
          <w:p>
            <w:pPr>
              <w:jc w:val="center"/>
              <w:ind w:left="1524"/>
              <w:spacing w:after="0"/>
              <w:rPr>
                <w:sz w:val="20"/>
                <w:szCs w:val="20"/>
                <w:color w:val="auto"/>
              </w:rPr>
            </w:pPr>
            <w:r>
              <w:rPr>
                <w:rFonts w:ascii="Times New Roman" w:cs="Times New Roman" w:eastAsia="Times New Roman" w:hAnsi="Times New Roman"/>
                <w:sz w:val="14"/>
                <w:szCs w:val="14"/>
                <w:b w:val="1"/>
                <w:bCs w:val="1"/>
                <w:color w:val="auto"/>
              </w:rPr>
              <w:t>Houston</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jc w:val="center"/>
              <w:ind w:left="1524"/>
              <w:spacing w:after="0"/>
              <w:rPr>
                <w:sz w:val="20"/>
                <w:szCs w:val="20"/>
                <w:color w:val="auto"/>
              </w:rPr>
            </w:pPr>
            <w:r>
              <w:rPr>
                <w:rFonts w:ascii="Times New Roman" w:cs="Times New Roman" w:eastAsia="Times New Roman" w:hAnsi="Times New Roman"/>
                <w:sz w:val="14"/>
                <w:szCs w:val="14"/>
                <w:b w:val="1"/>
                <w:bCs w:val="1"/>
                <w:color w:val="auto"/>
              </w:rPr>
              <w:t>Texas</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300" w:type="dxa"/>
            <w:vAlign w:val="bottom"/>
          </w:tcPr>
          <w:p>
            <w:pPr>
              <w:jc w:val="center"/>
              <w:ind w:right="2084"/>
              <w:spacing w:after="0"/>
              <w:rPr>
                <w:sz w:val="20"/>
                <w:szCs w:val="20"/>
                <w:color w:val="auto"/>
              </w:rPr>
            </w:pPr>
            <w:r>
              <w:rPr>
                <w:rFonts w:ascii="Times New Roman" w:cs="Times New Roman" w:eastAsia="Times New Roman" w:hAnsi="Times New Roman"/>
                <w:sz w:val="14"/>
                <w:szCs w:val="14"/>
                <w:b w:val="1"/>
                <w:bCs w:val="1"/>
                <w:color w:val="auto"/>
              </w:rPr>
              <w:t>77075-1180</w:t>
            </w:r>
          </w:p>
        </w:tc>
        <w:tc>
          <w:tcPr>
            <w:tcW w:w="0" w:type="dxa"/>
            <w:vAlign w:val="bottom"/>
          </w:tcPr>
          <w:p>
            <w:pPr>
              <w:spacing w:after="0"/>
              <w:rPr>
                <w:sz w:val="1"/>
                <w:szCs w:val="1"/>
                <w:color w:val="auto"/>
              </w:rPr>
            </w:pPr>
          </w:p>
        </w:tc>
      </w:tr>
      <w:tr>
        <w:trPr>
          <w:trHeight w:val="203"/>
        </w:trPr>
        <w:tc>
          <w:tcPr>
            <w:tcW w:w="7400" w:type="dxa"/>
            <w:vAlign w:val="bottom"/>
            <w:gridSpan w:val="8"/>
          </w:tcPr>
          <w:p>
            <w:pPr>
              <w:jc w:val="center"/>
              <w:ind w:right="19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40" w:type="dxa"/>
            <w:vAlign w:val="bottom"/>
          </w:tcPr>
          <w:p>
            <w:pPr>
              <w:spacing w:after="0"/>
              <w:rPr>
                <w:sz w:val="17"/>
                <w:szCs w:val="17"/>
                <w:color w:val="auto"/>
              </w:rPr>
            </w:pPr>
          </w:p>
        </w:tc>
        <w:tc>
          <w:tcPr>
            <w:tcW w:w="3300" w:type="dxa"/>
            <w:vAlign w:val="bottom"/>
          </w:tcPr>
          <w:p>
            <w:pPr>
              <w:jc w:val="center"/>
              <w:ind w:right="2084"/>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498"/>
        </w:trPr>
        <w:tc>
          <w:tcPr>
            <w:tcW w:w="3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0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5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800" w:type="dxa"/>
            <w:vAlign w:val="bottom"/>
          </w:tcPr>
          <w:p>
            <w:pPr>
              <w:spacing w:after="0"/>
              <w:rPr>
                <w:sz w:val="16"/>
                <w:szCs w:val="16"/>
                <w:color w:val="auto"/>
              </w:rPr>
            </w:pPr>
          </w:p>
        </w:tc>
        <w:tc>
          <w:tcPr>
            <w:tcW w:w="2640" w:type="dxa"/>
            <w:vAlign w:val="bottom"/>
            <w:gridSpan w:val="4"/>
          </w:tcPr>
          <w:p>
            <w:pPr>
              <w:jc w:val="center"/>
              <w:ind w:left="948"/>
              <w:spacing w:after="0"/>
              <w:rPr>
                <w:sz w:val="20"/>
                <w:szCs w:val="20"/>
                <w:color w:val="auto"/>
              </w:rPr>
            </w:pPr>
            <w:r>
              <w:rPr>
                <w:rFonts w:ascii="Times New Roman" w:cs="Times New Roman" w:eastAsia="Times New Roman" w:hAnsi="Times New Roman"/>
                <w:sz w:val="14"/>
                <w:szCs w:val="14"/>
                <w:b w:val="1"/>
                <w:bCs w:val="1"/>
                <w:color w:val="auto"/>
              </w:rPr>
              <w:t>(713) 944-6900</w:t>
            </w: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9"/>
        </w:trPr>
        <w:tc>
          <w:tcPr>
            <w:tcW w:w="3800" w:type="dxa"/>
            <w:vAlign w:val="bottom"/>
          </w:tcPr>
          <w:p>
            <w:pPr>
              <w:spacing w:after="0"/>
              <w:rPr>
                <w:sz w:val="24"/>
                <w:szCs w:val="24"/>
                <w:color w:val="auto"/>
              </w:rPr>
            </w:pPr>
          </w:p>
        </w:tc>
        <w:tc>
          <w:tcPr>
            <w:tcW w:w="360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5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3800" w:type="dxa"/>
            <w:vAlign w:val="bottom"/>
          </w:tcPr>
          <w:p>
            <w:pPr>
              <w:jc w:val="center"/>
              <w:ind w:left="584"/>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20" w:type="dxa"/>
            <w:vAlign w:val="bottom"/>
            <w:gridSpan w:val="4"/>
          </w:tcPr>
          <w:p>
            <w:pPr>
              <w:jc w:val="center"/>
              <w:ind w:right="960"/>
              <w:spacing w:after="0"/>
              <w:rPr>
                <w:sz w:val="20"/>
                <w:szCs w:val="20"/>
                <w:color w:val="auto"/>
              </w:rPr>
            </w:pPr>
            <w:r>
              <w:rPr>
                <w:rFonts w:ascii="Times New Roman" w:cs="Times New Roman" w:eastAsia="Times New Roman" w:hAnsi="Times New Roman"/>
                <w:sz w:val="18"/>
                <w:szCs w:val="18"/>
                <w:color w:val="auto"/>
              </w:rPr>
              <w:t>Trading Symbol</w:t>
            </w: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0" w:type="dxa"/>
            <w:vAlign w:val="bottom"/>
          </w:tcPr>
          <w:p>
            <w:pPr>
              <w:spacing w:after="0"/>
              <w:rPr>
                <w:sz w:val="1"/>
                <w:szCs w:val="1"/>
                <w:color w:val="auto"/>
              </w:rPr>
            </w:pPr>
          </w:p>
        </w:tc>
      </w:tr>
      <w:tr>
        <w:trPr>
          <w:trHeight w:val="228"/>
        </w:trPr>
        <w:tc>
          <w:tcPr>
            <w:tcW w:w="3800" w:type="dxa"/>
            <w:vAlign w:val="bottom"/>
            <w:tcBorders>
              <w:top w:val="single" w:sz="8" w:color="auto"/>
            </w:tcBorders>
          </w:tcPr>
          <w:p>
            <w:pPr>
              <w:jc w:val="center"/>
              <w:ind w:left="584"/>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POWL</w:t>
            </w:r>
          </w:p>
        </w:tc>
        <w:tc>
          <w:tcPr>
            <w:tcW w:w="320" w:type="dxa"/>
            <w:vAlign w:val="bottom"/>
          </w:tcPr>
          <w:p>
            <w:pPr>
              <w:spacing w:after="0"/>
              <w:rPr>
                <w:sz w:val="19"/>
                <w:szCs w:val="19"/>
                <w:color w:val="auto"/>
              </w:rPr>
            </w:pPr>
          </w:p>
        </w:tc>
        <w:tc>
          <w:tcPr>
            <w:tcW w:w="640" w:type="dxa"/>
            <w:vAlign w:val="bottom"/>
            <w:tcBorders>
              <w:top w:val="single" w:sz="8" w:color="auto"/>
            </w:tcBorders>
            <w:gridSpan w:val="2"/>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3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NASDAQ Global Market</w:t>
            </w:r>
          </w:p>
        </w:tc>
        <w:tc>
          <w:tcPr>
            <w:tcW w:w="0" w:type="dxa"/>
            <w:vAlign w:val="bottom"/>
          </w:tcPr>
          <w:p>
            <w:pPr>
              <w:spacing w:after="0"/>
              <w:rPr>
                <w:sz w:val="1"/>
                <w:szCs w:val="1"/>
                <w:color w:val="auto"/>
              </w:rPr>
            </w:pPr>
          </w:p>
        </w:tc>
      </w:tr>
      <w:tr>
        <w:trPr>
          <w:trHeight w:val="498"/>
        </w:trPr>
        <w:tc>
          <w:tcPr>
            <w:tcW w:w="7940" w:type="dxa"/>
            <w:vAlign w:val="bottom"/>
            <w:gridSpan w:val="9"/>
          </w:tcPr>
          <w:p>
            <w:pPr>
              <w:jc w:val="center"/>
              <w:ind w:left="3244"/>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900" w:type="dxa"/>
            <w:vAlign w:val="bottom"/>
            <w:gridSpan w:val="2"/>
          </w:tcPr>
          <w:p>
            <w:pPr>
              <w:spacing w:after="0"/>
              <w:rPr>
                <w:sz w:val="11"/>
                <w:szCs w:val="11"/>
                <w:color w:val="auto"/>
              </w:rPr>
            </w:pPr>
          </w:p>
        </w:tc>
        <w:tc>
          <w:tcPr>
            <w:tcW w:w="3460" w:type="dxa"/>
            <w:vAlign w:val="bottom"/>
            <w:tcBorders>
              <w:bottom w:val="single" w:sz="8" w:color="auto"/>
            </w:tcBorders>
            <w:gridSpan w:val="5"/>
          </w:tcPr>
          <w:p>
            <w:pPr>
              <w:spacing w:after="0"/>
              <w:rPr>
                <w:sz w:val="11"/>
                <w:szCs w:val="11"/>
                <w:color w:val="auto"/>
              </w:rPr>
            </w:pPr>
          </w:p>
        </w:tc>
        <w:tc>
          <w:tcPr>
            <w:tcW w:w="388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322"/>
        </w:trPr>
        <w:tc>
          <w:tcPr>
            <w:tcW w:w="11240" w:type="dxa"/>
            <w:vAlign w:val="bottom"/>
            <w:gridSpan w:val="10"/>
          </w:tcPr>
          <w:p>
            <w:pPr>
              <w:ind w:left="18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well-known seasoned issuer, as defined in Rule 405 of the Securities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tc>
        <w:tc>
          <w:tcPr>
            <w:tcW w:w="0" w:type="dxa"/>
            <w:vAlign w:val="bottom"/>
          </w:tcPr>
          <w:p>
            <w:pPr>
              <w:spacing w:after="0"/>
              <w:rPr>
                <w:sz w:val="1"/>
                <w:szCs w:val="1"/>
                <w:color w:val="auto"/>
              </w:rPr>
            </w:pPr>
          </w:p>
        </w:tc>
      </w:tr>
      <w:tr>
        <w:trPr>
          <w:trHeight w:val="272"/>
        </w:trPr>
        <w:tc>
          <w:tcPr>
            <w:tcW w:w="7940" w:type="dxa"/>
            <w:vAlign w:val="bottom"/>
            <w:gridSpan w:val="9"/>
          </w:tcPr>
          <w:p>
            <w:pPr>
              <w:ind w:left="180"/>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tc>
        <w:tc>
          <w:tcPr>
            <w:tcW w:w="3300" w:type="dxa"/>
            <w:vAlign w:val="bottom"/>
          </w:tcPr>
          <w:p>
            <w:pPr>
              <w:ind w:left="14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tc>
        <w:tc>
          <w:tcPr>
            <w:tcW w:w="0" w:type="dxa"/>
            <w:vAlign w:val="bottom"/>
          </w:tcPr>
          <w:p>
            <w:pPr>
              <w:spacing w:after="0"/>
              <w:rPr>
                <w:sz w:val="1"/>
                <w:szCs w:val="1"/>
                <w:color w:val="auto"/>
              </w:rPr>
            </w:pPr>
          </w:p>
        </w:tc>
      </w:tr>
    </w:tbl>
    <w:p>
      <w:pPr>
        <w:spacing w:after="0" w:line="7" w:lineRule="exact"/>
        <w:rPr>
          <w:sz w:val="24"/>
          <w:szCs w:val="24"/>
          <w:color w:val="auto"/>
        </w:rPr>
      </w:pPr>
    </w:p>
    <w:p>
      <w:pPr>
        <w:jc w:val="both"/>
        <w:ind w:firstLine="162"/>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9" w:lineRule="exact"/>
        <w:rPr>
          <w:sz w:val="24"/>
          <w:szCs w:val="24"/>
          <w:color w:val="auto"/>
        </w:rPr>
      </w:pPr>
    </w:p>
    <w:p>
      <w:pPr>
        <w:jc w:val="both"/>
        <w:ind w:firstLine="162"/>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7" w:lineRule="exact"/>
        <w:rPr>
          <w:sz w:val="24"/>
          <w:szCs w:val="24"/>
          <w:color w:val="auto"/>
        </w:rPr>
      </w:pPr>
    </w:p>
    <w:p>
      <w:pPr>
        <w:jc w:val="both"/>
        <w:ind w:firstLine="162"/>
        <w:spacing w:after="0" w:line="28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8" w:lineRule="exact"/>
        <w:rPr>
          <w:sz w:val="24"/>
          <w:szCs w:val="24"/>
          <w:color w:val="auto"/>
        </w:rPr>
      </w:pPr>
    </w:p>
    <w:p>
      <w:pPr>
        <w:ind w:left="420"/>
        <w:spacing w:after="0" w:line="361" w:lineRule="exact"/>
        <w:tabs>
          <w:tab w:leader="none" w:pos="2000" w:val="left"/>
          <w:tab w:leader="none" w:pos="2440" w:val="left"/>
          <w:tab w:leader="none" w:pos="3780" w:val="left"/>
          <w:tab w:leader="none" w:pos="4220" w:val="left"/>
          <w:tab w:leader="none" w:pos="5980" w:val="left"/>
          <w:tab w:leader="none" w:pos="6440" w:val="left"/>
          <w:tab w:leader="none" w:pos="8380" w:val="left"/>
          <w:tab w:leader="none" w:pos="8840" w:val="left"/>
          <w:tab w:leader="none" w:pos="1066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36"/>
          <w:szCs w:val="36"/>
          <w:color w:val="auto"/>
          <w:vertAlign w:val="subscript"/>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36"/>
          <w:szCs w:val="36"/>
          <w:color w:val="auto"/>
          <w:vertAlign w:val="subscript"/>
        </w:rPr>
        <w:t>☐</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36"/>
          <w:szCs w:val="36"/>
          <w:color w:val="auto"/>
          <w:vertAlign w:val="subscript"/>
        </w:rPr>
        <w:t>☐</w:t>
      </w:r>
      <w:r>
        <w:rPr>
          <w:sz w:val="20"/>
          <w:szCs w:val="20"/>
          <w:color w:val="auto"/>
        </w:rPr>
        <w:tab/>
      </w:r>
      <w:r>
        <w:rPr>
          <w:rFonts w:ascii="Times New Roman" w:cs="Times New Roman" w:eastAsia="Times New Roman" w:hAnsi="Times New Roman"/>
          <w:sz w:val="28"/>
          <w:szCs w:val="28"/>
          <w:color w:val="auto"/>
          <w:vertAlign w:val="subscript"/>
        </w:rPr>
        <w:t>Smaller reporting company</w:t>
      </w:r>
      <w:r>
        <w:rPr>
          <w:sz w:val="20"/>
          <w:szCs w:val="20"/>
          <w:color w:val="auto"/>
        </w:rPr>
        <w:tab/>
      </w:r>
      <w:r>
        <w:rPr>
          <w:rFonts w:ascii="MS PGothic" w:cs="MS PGothic" w:eastAsia="MS PGothic" w:hAnsi="MS PGothic"/>
          <w:sz w:val="36"/>
          <w:szCs w:val="36"/>
          <w:color w:val="auto"/>
          <w:vertAlign w:val="subscript"/>
        </w:rPr>
        <w:t>☐</w:t>
      </w:r>
      <w:r>
        <w:rPr>
          <w:sz w:val="20"/>
          <w:szCs w:val="20"/>
          <w:color w:val="auto"/>
        </w:rPr>
        <w:tab/>
      </w: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24"/>
          <w:szCs w:val="24"/>
          <w:color w:val="auto"/>
          <w:vertAlign w:val="subscript"/>
        </w:rPr>
        <w:t>☐</w:t>
      </w:r>
    </w:p>
    <w:p>
      <w:pPr>
        <w:spacing w:after="0" w:line="226" w:lineRule="exact"/>
        <w:rPr>
          <w:sz w:val="24"/>
          <w:szCs w:val="24"/>
          <w:color w:val="auto"/>
        </w:rPr>
      </w:pPr>
    </w:p>
    <w:p>
      <w:pPr>
        <w:jc w:val="both"/>
        <w:ind w:firstLine="162"/>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8" w:lineRule="exact"/>
        <w:rPr>
          <w:sz w:val="24"/>
          <w:szCs w:val="24"/>
          <w:color w:val="auto"/>
        </w:rPr>
      </w:pPr>
    </w:p>
    <w:p>
      <w:pPr>
        <w:jc w:val="both"/>
        <w:ind w:firstLine="162"/>
        <w:spacing w:after="0" w:line="228" w:lineRule="exact"/>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84" w:lineRule="exact"/>
        <w:rPr>
          <w:sz w:val="24"/>
          <w:szCs w:val="24"/>
          <w:color w:val="auto"/>
        </w:rPr>
      </w:pPr>
    </w:p>
    <w:p>
      <w:pPr>
        <w:ind w:right="140" w:firstLine="162"/>
        <w:spacing w:after="0" w:line="206" w:lineRule="exact"/>
        <w:rPr>
          <w:sz w:val="20"/>
          <w:szCs w:val="20"/>
          <w:color w:val="auto"/>
        </w:rPr>
      </w:pPr>
      <w:r>
        <w:rPr>
          <w:rFonts w:ascii="Times New Roman" w:cs="Times New Roman" w:eastAsia="Times New Roman" w:hAnsi="Times New Roman"/>
          <w:sz w:val="16"/>
          <w:szCs w:val="16"/>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MS PGothic" w:cs="MS PGothic" w:eastAsia="MS PGothic" w:hAnsi="MS PGothic"/>
          <w:sz w:val="16"/>
          <w:szCs w:val="16"/>
          <w:color w:val="auto"/>
        </w:rPr>
        <w:t>☐</w:t>
      </w:r>
    </w:p>
    <w:p>
      <w:pPr>
        <w:spacing w:after="0" w:line="210" w:lineRule="exact"/>
        <w:rPr>
          <w:sz w:val="24"/>
          <w:szCs w:val="24"/>
          <w:color w:val="auto"/>
        </w:rPr>
      </w:pPr>
    </w:p>
    <w:p>
      <w:pPr>
        <w:jc w:val="both"/>
        <w:ind w:firstLine="162"/>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47" w:lineRule="exact"/>
        <w:rPr>
          <w:sz w:val="24"/>
          <w:szCs w:val="24"/>
          <w:color w:val="auto"/>
        </w:rPr>
      </w:pPr>
    </w:p>
    <w:p>
      <w:pPr>
        <w:ind w:left="18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338" w:lineRule="exact"/>
        <w:rPr>
          <w:sz w:val="24"/>
          <w:szCs w:val="24"/>
          <w:color w:val="auto"/>
        </w:rPr>
      </w:pPr>
    </w:p>
    <w:p>
      <w:pPr>
        <w:jc w:val="both"/>
        <w:ind w:firstLine="162"/>
        <w:spacing w:after="0" w:line="272" w:lineRule="auto"/>
        <w:rPr>
          <w:sz w:val="20"/>
          <w:szCs w:val="20"/>
          <w:color w:val="auto"/>
        </w:rPr>
      </w:pPr>
      <w:r>
        <w:rPr>
          <w:rFonts w:ascii="Times New Roman" w:cs="Times New Roman" w:eastAsia="Times New Roman" w:hAnsi="Times New Roman"/>
          <w:sz w:val="16"/>
          <w:szCs w:val="16"/>
          <w:color w:val="auto"/>
        </w:rPr>
        <w:t>The aggregate market value of the common stock held by non-affiliates of the registrant was approximately $1.4 billion as of March 31, 2025, based upon the closing price on the NASDAQ Global Market on that date. The registrant, solely for the purpose of the calculation above, had deemed its board of directors, executive officers, and beneficial owners of 10% or more of the voting shares of its common stock to be affiliates, and deducted their stockholdings in determining the aggregate market value.</w:t>
      </w:r>
    </w:p>
    <w:p>
      <w:pPr>
        <w:spacing w:after="0" w:line="9"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6"/>
          <w:szCs w:val="16"/>
          <w:color w:val="auto"/>
        </w:rPr>
        <w:t>At November 17, 2025, there were 12,092,083 outstanding shares of the registrant’s common stock, par value $0.01 per share.</w:t>
      </w:r>
    </w:p>
    <w:p>
      <w:pPr>
        <w:sectPr>
          <w:pgSz w:w="11900" w:h="16838" w:orient="portrait"/>
          <w:cols w:equalWidth="0" w:num="1">
            <w:col w:w="11240"/>
          </w:cols>
          <w:pgMar w:left="320" w:top="743" w:right="339" w:bottom="0" w:gutter="0" w:footer="0" w:header="0"/>
        </w:sectPr>
      </w:pPr>
    </w:p>
    <w:bookmarkStart w:id="1" w:name="page2"/>
    <w:bookmarkEnd w:id="1"/>
    <w:p>
      <w:pPr>
        <w:ind w:left="436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250" w:lineRule="exact"/>
        <w:rPr>
          <w:sz w:val="20"/>
          <w:szCs w:val="20"/>
          <w:color w:val="auto"/>
        </w:rPr>
      </w:pPr>
    </w:p>
    <w:p>
      <w:pPr>
        <w:ind w:firstLine="162"/>
        <w:spacing w:after="0" w:line="298" w:lineRule="auto"/>
        <w:rPr>
          <w:sz w:val="20"/>
          <w:szCs w:val="20"/>
          <w:color w:val="auto"/>
        </w:rPr>
      </w:pPr>
      <w:r>
        <w:rPr>
          <w:rFonts w:ascii="Times New Roman" w:cs="Times New Roman" w:eastAsia="Times New Roman" w:hAnsi="Times New Roman"/>
          <w:sz w:val="16"/>
          <w:szCs w:val="16"/>
          <w:color w:val="auto"/>
        </w:rPr>
        <w:t>Portions of the registrant’s definitive proxy statement for the 2025 annual meeting of stockholders to be filed not later than 120 days after September 30, 2025,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400050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78740</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44450</wp:posOffset>
            </wp:positionV>
            <wp:extent cx="7115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0700"/>
          </w:cols>
          <w:pgMar w:left="320" w:top="367" w:right="8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POWELL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2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52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FF"/>
                <w:w w:val="99"/>
              </w:rPr>
              <w:t>Cautionary Statement Regarding Forward-Looking Statements</w:t>
            </w:r>
          </w:p>
        </w:tc>
        <w:tc>
          <w:tcPr>
            <w:tcW w:w="4740" w:type="dxa"/>
            <w:vAlign w:val="bottom"/>
            <w:gridSpan w:val="11"/>
            <w:vMerge w:val="restart"/>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520" w:type="dxa"/>
            <w:vAlign w:val="bottom"/>
            <w:gridSpan w:val="21"/>
            <w:vMerge w:val="continue"/>
          </w:tcPr>
          <w:p>
            <w:pPr>
              <w:spacing w:after="0"/>
              <w:rPr>
                <w:sz w:val="15"/>
                <w:szCs w:val="15"/>
                <w:color w:val="auto"/>
              </w:rPr>
            </w:pPr>
          </w:p>
        </w:tc>
        <w:tc>
          <w:tcPr>
            <w:tcW w:w="4740" w:type="dxa"/>
            <w:vAlign w:val="bottom"/>
            <w:gridSpan w:val="11"/>
            <w:vMerge w:val="continue"/>
          </w:tcPr>
          <w:p>
            <w:pPr>
              <w:spacing w:after="0"/>
              <w:rPr>
                <w:sz w:val="15"/>
                <w:szCs w:val="15"/>
                <w:color w:val="auto"/>
              </w:rPr>
            </w:pPr>
          </w:p>
        </w:tc>
        <w:tc>
          <w:tcPr>
            <w:tcW w:w="720" w:type="dxa"/>
            <w:vAlign w:val="bottom"/>
            <w:gridSpan w:val="4"/>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0000FF"/>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4340" w:type="dxa"/>
            <w:vAlign w:val="bottom"/>
            <w:gridSpan w:val="9"/>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8620" w:type="dxa"/>
            <w:vAlign w:val="bottom"/>
            <w:gridSpan w:val="31"/>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360" w:type="dxa"/>
            <w:vAlign w:val="bottom"/>
            <w:gridSpan w:val="28"/>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1B.</w:t>
            </w:r>
          </w:p>
        </w:tc>
        <w:tc>
          <w:tcPr>
            <w:tcW w:w="20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7220" w:type="dxa"/>
            <w:vAlign w:val="bottom"/>
            <w:gridSpan w:val="21"/>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1C.</w:t>
            </w:r>
          </w:p>
        </w:tc>
        <w:tc>
          <w:tcPr>
            <w:tcW w:w="92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8260" w:type="dxa"/>
            <w:vAlign w:val="bottom"/>
            <w:gridSpan w:val="27"/>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2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7480" w:type="dxa"/>
            <w:vAlign w:val="bottom"/>
            <w:gridSpan w:val="23"/>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Information About Our Executive Officers</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FF"/>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4320" w:type="dxa"/>
            <w:vAlign w:val="bottom"/>
            <w:gridSpan w:val="8"/>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2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8060" w:type="dxa"/>
            <w:vAlign w:val="bottom"/>
            <w:tcBorders>
              <w:top w:val="single" w:sz="8" w:color="0000FF"/>
            </w:tcBorders>
            <w:gridSpan w:val="31"/>
          </w:tcPr>
          <w:p>
            <w:pPr>
              <w:spacing w:after="0"/>
              <w:rPr>
                <w:sz w:val="20"/>
                <w:szCs w:val="20"/>
                <w:color w:val="auto"/>
              </w:rPr>
            </w:pPr>
            <w:r>
              <w:rPr>
                <w:rFonts w:ascii="Times New Roman" w:cs="Times New Roman" w:eastAsia="Times New Roman" w:hAnsi="Times New Roman"/>
                <w:sz w:val="18"/>
                <w:szCs w:val="18"/>
                <w:color w:val="0000FF"/>
              </w:rPr>
              <w:t>[Reserved]</w:t>
            </w: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00" w:type="dxa"/>
            <w:vAlign w:val="bottom"/>
            <w:gridSpan w:val="4"/>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7A.</w:t>
            </w:r>
          </w:p>
        </w:tc>
        <w:tc>
          <w:tcPr>
            <w:tcW w:w="92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8.</w:t>
            </w:r>
          </w:p>
        </w:tc>
        <w:tc>
          <w:tcPr>
            <w:tcW w:w="430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960" w:type="dxa"/>
            <w:vAlign w:val="bottom"/>
            <w:gridSpan w:val="13"/>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780" w:type="dxa"/>
            <w:vAlign w:val="bottom"/>
            <w:gridSpan w:val="3"/>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9A.</w:t>
            </w:r>
          </w:p>
        </w:tc>
        <w:tc>
          <w:tcPr>
            <w:tcW w:w="92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500" w:type="dxa"/>
            <w:vAlign w:val="bottom"/>
            <w:gridSpan w:val="24"/>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9C.</w:t>
            </w:r>
          </w:p>
        </w:tc>
        <w:tc>
          <w:tcPr>
            <w:tcW w:w="490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4360" w:type="dxa"/>
            <w:vAlign w:val="bottom"/>
            <w:gridSpan w:val="10"/>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180" w:type="dxa"/>
            <w:vAlign w:val="bottom"/>
            <w:gridSpan w:val="16"/>
          </w:tcPr>
          <w:p>
            <w:pPr>
              <w:jc w:val="center"/>
              <w:ind w:right="4100"/>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10.</w:t>
            </w:r>
          </w:p>
        </w:tc>
        <w:tc>
          <w:tcPr>
            <w:tcW w:w="4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20" w:type="dxa"/>
            <w:vAlign w:val="bottom"/>
            <w:tcBorders>
              <w:top w:val="single" w:sz="8" w:color="0000FF"/>
            </w:tcBorders>
            <w:gridSpan w:val="9"/>
          </w:tcPr>
          <w:p>
            <w:pPr>
              <w:spacing w:after="0"/>
              <w:rPr>
                <w:sz w:val="18"/>
                <w:szCs w:val="18"/>
                <w:color w:val="auto"/>
              </w:rPr>
            </w:pPr>
          </w:p>
        </w:tc>
        <w:tc>
          <w:tcPr>
            <w:tcW w:w="4280" w:type="dxa"/>
            <w:vAlign w:val="bottom"/>
            <w:gridSpan w:val="6"/>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280" w:type="dxa"/>
            <w:vAlign w:val="bottom"/>
            <w:tcBorders>
              <w:top w:val="single" w:sz="8" w:color="0000FF"/>
            </w:tcBorders>
            <w:gridSpan w:val="6"/>
          </w:tcPr>
          <w:p>
            <w:pPr>
              <w:spacing w:after="0"/>
              <w:rPr>
                <w:sz w:val="18"/>
                <w:szCs w:val="18"/>
                <w:color w:val="auto"/>
              </w:rPr>
            </w:pPr>
          </w:p>
        </w:tc>
        <w:tc>
          <w:tcPr>
            <w:tcW w:w="5180" w:type="dxa"/>
            <w:vAlign w:val="bottom"/>
            <w:gridSpan w:val="16"/>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12.</w:t>
            </w:r>
          </w:p>
        </w:tc>
        <w:tc>
          <w:tcPr>
            <w:tcW w:w="92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FF"/>
            </w:tcBorders>
            <w:gridSpan w:val="30"/>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98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820" w:type="dxa"/>
            <w:vAlign w:val="bottom"/>
            <w:gridSpan w:val="5"/>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0" w:type="dxa"/>
            <w:vAlign w:val="bottom"/>
            <w:gridSpan w:val="15"/>
          </w:tcPr>
          <w:p>
            <w:pPr>
              <w:jc w:val="center"/>
              <w:ind w:right="4300"/>
              <w:spacing w:after="0"/>
              <w:rPr>
                <w:sz w:val="20"/>
                <w:szCs w:val="20"/>
                <w:color w:val="auto"/>
              </w:rPr>
            </w:pPr>
            <w:r>
              <w:rPr>
                <w:rFonts w:ascii="Times New Roman" w:cs="Times New Roman" w:eastAsia="Times New Roman" w:hAnsi="Times New Roman"/>
                <w:sz w:val="18"/>
                <w:szCs w:val="18"/>
                <w:b w:val="1"/>
                <w:bCs w:val="1"/>
                <w:color w:val="0000FF"/>
                <w:w w:val="95"/>
              </w:rPr>
              <w:t>PART IV</w:t>
            </w:r>
          </w:p>
        </w:tc>
        <w:tc>
          <w:tcPr>
            <w:tcW w:w="5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15.</w:t>
            </w:r>
          </w:p>
        </w:tc>
        <w:tc>
          <w:tcPr>
            <w:tcW w:w="29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Exhibits. Financial Statement Schedules</w:t>
            </w:r>
          </w:p>
        </w:tc>
        <w:tc>
          <w:tcPr>
            <w:tcW w:w="1380" w:type="dxa"/>
            <w:vAlign w:val="bottom"/>
            <w:gridSpan w:val="5"/>
          </w:tcPr>
          <w:p>
            <w:pPr>
              <w:spacing w:after="0"/>
              <w:rPr>
                <w:sz w:val="18"/>
                <w:szCs w:val="18"/>
                <w:color w:val="auto"/>
              </w:rPr>
            </w:pPr>
          </w:p>
        </w:tc>
        <w:tc>
          <w:tcPr>
            <w:tcW w:w="680" w:type="dxa"/>
            <w:vAlign w:val="bottom"/>
            <w:tcBorders>
              <w:top w:val="single" w:sz="8" w:color="0000FF"/>
            </w:tcBorders>
            <w:gridSpan w:val="7"/>
          </w:tcPr>
          <w:p>
            <w:pPr>
              <w:spacing w:after="0"/>
              <w:rPr>
                <w:sz w:val="18"/>
                <w:szCs w:val="18"/>
                <w:color w:val="auto"/>
              </w:rPr>
            </w:pPr>
          </w:p>
        </w:tc>
        <w:tc>
          <w:tcPr>
            <w:tcW w:w="4300" w:type="dxa"/>
            <w:vAlign w:val="bottom"/>
            <w:gridSpan w:val="7"/>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16.</w:t>
            </w:r>
          </w:p>
        </w:tc>
        <w:tc>
          <w:tcPr>
            <w:tcW w:w="92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5"/>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4520" w:type="dxa"/>
            <w:vAlign w:val="bottom"/>
            <w:gridSpan w:val="21"/>
          </w:tcPr>
          <w:p>
            <w:pPr>
              <w:ind w:left="432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all references to “we,” “us,” “our,” “Powell” or “the Company” include Powell Industries, Inc. and its consolidated subsidiaries.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Annual Report on Form 10-K (Annual Report) contains “forward-looking statements” within the meaning of Section 27A of the Securities Act of 1933, as amended, and Section 21E of the Securities Exchange Act of 1934, as amended (the Exchange Act). All statements, other than statements of historical fact, included in this report are forward-looking statements. Such forward-looking statements include, but are not limited to, projections and estimates of the timing and success of specific projects and our future backlog, revenues, income, acquisitions, liquidity and capital expenditures, the effect of tariffs, as well as other statements that are not historical facts contained in or incorporated by reference into this report. Statements that contain words such as “believes,” “expects,” “anticipates,” “intends,” “estimates,” “continue,” “should,” “could,” “may,” “plan,” “project,” “predict,” “potential,” “possible,” “would,” “outlook,” “will” or similar expressions are forward-looking statements.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forward-looking statements speak only as of the date of this report. We disclaim any obligation to update or revise these statements unless required by applicable law, whether as a result of new information, future events or otherwise. We caution you not to unduly rely on them. We have based these forward-looking statements on expectations and assumptions of management at the time the statements were made. While our management considers these expectations and assumptions to be reasonable, they are inherently subject to significant business, economic, competitive, regulatory and other risks, contingencies and uncertainties that could cause actual results to differ materially from those included in this report, most of which are difficult to predict and many of which are beyond our control. These risks, contingencies and uncertainties include, but are not limited to, the potential failure to adequately predict costs (including in connection with our fixed-price contracts) and prevent cost overruns, including the impacts of inflation, the effect of tariffs, potentially disruptive or unanticipated changes in suppliers, the availability of cash on hand and other sources of liquidity to fund our operating expenses and capital expenditures, the impacts of future legislative and regulatory initiatives, the potential effects of ongoing military disputes, electronic, cyber or physical security breaches, and other factors detailed herein and in our other Securities and Exchange Commission (SEC) filings. Additional important risks, uncertainties and other factors are described in “Risk Factors” in Part I. Item 1A of this Annual Report. We can provide no assurance that the forward-looking statements contained in this report will occur as expected, and actual results may differ materially from those included in this report.</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Investors should note that we announce material financial information in SEC filings, press releases and public conference calls. Based on guidance from the SEC, we may use the Investors section of our website to communicate with investors. It is possible that the financial and other information posted there could be deemed to be material information. The information on our website is not part of, and is not incorporated to,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Powell Industries, Inc. is a Delaware corporation founded by William E. Powell in 1947. We develop, design, manufacture and service custom-engineered equipment and systems that distribute, control and monitor the flow of electrical energy and provide protection to motors, transformers and other electrically powered equipment. Our major subsidiaries, all of which are wholly owned, include Powell Electrical Systems, Inc.; Powell Canada, Inc.; Powell (UK) Limited; and Powell Industries International Limited.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headquartered in Houston, Texas and primarily serve the oil and gas and petrochemical markets, the electric utility market, and commercial and other industrial markets. Beyond these major markets, we also provide products and services to the light rail traction power market and other markets that include universities and government entities. We are continuously developing new channels to electrical markets through original equipment manufacturers and distribution market channels.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website is </w:t>
      </w:r>
      <w:r>
        <w:rPr>
          <w:rFonts w:ascii="Times New Roman" w:cs="Times New Roman" w:eastAsia="Times New Roman" w:hAnsi="Times New Roman"/>
          <w:sz w:val="18"/>
          <w:szCs w:val="18"/>
          <w:u w:val="single" w:color="auto"/>
          <w:color w:val="auto"/>
        </w:rPr>
        <w:t>powellind.com</w:t>
      </w:r>
      <w:r>
        <w:rPr>
          <w:rFonts w:ascii="Times New Roman" w:cs="Times New Roman" w:eastAsia="Times New Roman" w:hAnsi="Times New Roman"/>
          <w:sz w:val="18"/>
          <w:szCs w:val="18"/>
          <w:color w:val="auto"/>
        </w:rPr>
        <w:t xml:space="preserve">. We make available, free of charge on or through our website, electronic copies of our Annual Reports on Form 10-K, Quarterly Reports on Form 10-Q, Current Reports on Form 8-K, and amendments to those reports, filed or furnished pursuant to Section 13(a) or 15(d) of the Securities Exchange Act of 1934 as soon as is reasonably practicable after we electronically file such material with, or furnish it to, the SEC. Additionally, all of our reports filed with the SEC are available via their website at </w:t>
      </w:r>
      <w:r>
        <w:rPr>
          <w:rFonts w:ascii="Times New Roman" w:cs="Times New Roman" w:eastAsia="Times New Roman" w:hAnsi="Times New Roman"/>
          <w:sz w:val="18"/>
          <w:szCs w:val="18"/>
          <w:u w:val="single" w:color="auto"/>
          <w:color w:val="auto"/>
        </w:rPr>
        <w:t>sec.gov</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References to Fiscal 2025, Fiscal 2024 and Fiscal 2023 used throughout this Annual Report relate to our fiscal years ended September 30, 2025, 2024 and 2023,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Acquisition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15, 2025, we completed the previously announced business acquisition of Remsdaq Limited (Remsdaq), a U.K.-based manufacturer of Supervisory Control and Data Acquisition (SCADA) Remote Terminal Units (RTUs) for electrical substation control and automation in generation, transmission and distribution, for a total consideration of £13.6 million Pounds Sterling, or $18.4 million, including cash acquired. See Note P. Business Acquisition of the Notes to Consolidated Financial Statements for additional information.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Houston Electrical Products Manufacturing Facility Expansion</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Fiscal 2025, we completed the expansion and improvement project at our electrical products facility in Houston, Texas, and the incremental capacity has been placed into service.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Production Capacity Expansion at Jacintoport Manufacturing Facility</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2025, we announced a $12.4 million investment to expand production capacity at our Jacintoport manufacturing facility in Houston, Texas. The investment will add an incremental 335,000 square feet of productive capacity for Power Control Room laydown area, a 62% increase from the current yard capacity. The investment will also double the length of the existing shoreline bulkhead to 1,150 feet to support increased schedule flexibility and multiple ship lanes for the varied needs and project timelines of our customers. The incremental capacity is initially expected to support the Company’s oil and gas customers but can be utilized to support each of our market sectors.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Construction is expected to begin during the first quarter of Fiscal 2026 and is expected to be completed in the second half of Fiscal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 and Services</w:t>
      </w:r>
    </w:p>
    <w:p>
      <w:pPr>
        <w:spacing w:after="0" w:line="11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principal products include integrated power control room substations (PCRs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custom-engineered modules, electrical houses (E-Houses), traditional and arc-resistant distribution switchgear and control gear, medium-voltage circuit breakers, monitoring and control communications systems, motor control centers, switches and bus duct systems. These products are designed for application voltages ranging from 480 volts to 38,000 volts. Our product scope includes designs tested to meet both United States (U.S.) and international standards, under both the American National Standards Institute (ANSI) and International Electrotechnical Commission (IEC). We also provide spare parts, retrofit and retrofill components for existing systems, and replacement circuit breakers for obsolete switchgear no longer produced by the original manufacturer. Our principal services include field service inspection, installation, commissioning, modification and repair services.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jc w:val="both"/>
        <w:spacing w:after="0" w:line="258" w:lineRule="auto"/>
        <w:rPr>
          <w:sz w:val="20"/>
          <w:szCs w:val="20"/>
          <w:color w:val="auto"/>
        </w:rPr>
      </w:pPr>
      <w:r>
        <w:rPr>
          <w:rFonts w:ascii="Times New Roman" w:cs="Times New Roman" w:eastAsia="Times New Roman" w:hAnsi="Times New Roman"/>
          <w:sz w:val="18"/>
          <w:szCs w:val="18"/>
          <w:color w:val="auto"/>
        </w:rPr>
        <w:t>Products and services are principally sold directly to the end user or to an engineering, procurement and construction (EPC) firm on behalf of the end user. Each project is specifically engineered and manufactured to meet the exact specifications and requirements of the individual customer. Powell’s expertise is in the design, engineering, manufacturing, project management and integration of assorted systems into a single, custom-engineered deliverable. We market and sell our products and services, which are typically awarded in competitive bid situations, to a wide variety of customers and governmental agencies spanning diverse markets and geographic regions.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Occasionally, our contracts may operate under a consortium or teaming arrangement. Typically, we enter into these arrangements with reputable companies with whom we have previously conducted business. These arrangements are generally made to leverage competitive positioning, or where scale or size dictates the use of such arrangement.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seek to establish long-term relationships with the end users of our systems as well as EPC firms contracted by those end users. We believe that fostering a culture of safety and focusing on customer satisfaction, along with our strong balance sheet, allow us to capitalize on opportunities in the industries we serve.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Due to the nature and timing of large projects, a large percentage of our revenues in a given period may result from a few specific contracts or customers. Contracts often represent large-scale and complex projects with an individual customer. By their nature, these projects are typically non-recurring. Thus, multiple or continuous projects of similar magnitude with the same customer are not predictable. The timing of large project awards may cause material fluctuations in our revenues and gross profits. Additionally, the reduction in business volume from a particular industry or the loss of a major customer could have an adverse effect on our business. From time to time, an individual manufacturing facility may have significant volume from one particular customer that would be material to that facility. If during that time the customer were to experience financial distress, a decline in business or circumstances that would otherwise necessitate a cancellation of a project with us, our revenue could be adversely impacted. In both Fiscal 2025 and Fiscal 2024, no single customer accounted for more than 10% of our consolidated revenues.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Development and Intellectual Property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activities are critical to Powell’s sustained growth and are focused on both the development of new products and applications and enhancement of our existing product offerings. For example, Powell’s expertise in vacuum circuit breaker engineering is internationally recognized, and leveraging this expertise in the development of new products will help us expand into a broader range of application spaces and industry sectors. We are committed to continuous product improvement that will positively impact operational safety and reliability across the markets we serve.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we apply for patents on new inventions and designs, but we believe that the growth of our business will depend primarily upon the quality of our products and our relationships with our customers, rather than the extent of our patent protection.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we may acquire from time to time intellectual property to expand our product offering and application. For example, in August 2025, we acquired Remsdaq, which included an acquisition of technology of approximately $3 million. Intellectual property not covered by patents (or patent applications) includes trade secrets and other technological know-how that is not patentable or for which we have elected not to seek patent protection, including intellectual property relating to our manufacturing processes and engineering designs. Such unpatented technology, including research, development and engineering technical skills and know-how, as well as unpatented software, is important to our overall business and to the operations of our business. While our intellectual property assets taken together are important, we do not believe our business would be materially affected by the expiration of any particular intellectual property right or termination of any particular intellectual property patent license agreement.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we provide products and services to a wide range of markets where customers need to manage, monitor and control large amounts of electrical energy, demand for our products and services is driven predominantly by the oil and gas, petrochemical, electric utility, and commercial and other industrial markets. The majority of our business is in support of capital investment projects that are highly complex and competitively bid. Our customized systems are designed to meet the specifications of our customers. Each system is designed, engineered and manufactured to the specific requirements of the particular application. We consider our engineering, project management, systems integration and technical support capabilities vital to the success of our business. We strive to develop strong and lasting relationships with our customers and are recognized by many as a preferred service provider to solve our customers’ complex electrical distribution needs.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The following table presents our revenue for each market sector by percentage of total revenue for the years ended September 30, 2025, 2024 and 2023:</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Borders>
              <w:bottom w:val="single" w:sz="8" w:color="CCEEFF"/>
            </w:tcBorders>
          </w:tcPr>
          <w:p>
            <w:pPr>
              <w:spacing w:after="0"/>
              <w:rPr>
                <w:sz w:val="20"/>
                <w:szCs w:val="20"/>
                <w:color w:val="auto"/>
              </w:rPr>
            </w:pP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0"/>
                <w:szCs w:val="20"/>
                <w:color w:val="auto"/>
              </w:rPr>
            </w:pP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Borders>
              <w:bottom w:val="single" w:sz="8" w:color="CCEEFF"/>
            </w:tcBorders>
          </w:tcPr>
          <w:p>
            <w:pPr>
              <w:spacing w:after="0"/>
              <w:rPr>
                <w:sz w:val="20"/>
                <w:szCs w:val="20"/>
                <w:color w:val="auto"/>
              </w:rPr>
            </w:pP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and gas (excludes petrochemical)</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37%</w:t>
            </w: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39%</w:t>
            </w: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Electric utility</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100" w:type="dxa"/>
            <w:vAlign w:val="bottom"/>
          </w:tcPr>
          <w:p>
            <w:pPr>
              <w:spacing w:after="0"/>
              <w:rPr>
                <w:sz w:val="19"/>
                <w:szCs w:val="19"/>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23%</w:t>
            </w: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other industrial</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16%</w:t>
            </w: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Petrochemical</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14%</w:t>
            </w:r>
          </w:p>
        </w:tc>
        <w:tc>
          <w:tcPr>
            <w:tcW w:w="100" w:type="dxa"/>
            <w:vAlign w:val="bottom"/>
          </w:tcPr>
          <w:p>
            <w:pPr>
              <w:spacing w:after="0"/>
              <w:rPr>
                <w:sz w:val="19"/>
                <w:szCs w:val="19"/>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13%</w:t>
            </w: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Light rail traction power</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120" w:type="dxa"/>
            <w:vAlign w:val="bottom"/>
            <w:shd w:val="clear" w:color="auto" w:fill="CCEEFF"/>
          </w:tcPr>
          <w:p>
            <w:pPr>
              <w:spacing w:after="0"/>
              <w:rPr>
                <w:sz w:val="19"/>
                <w:szCs w:val="19"/>
                <w:color w:val="auto"/>
              </w:rPr>
            </w:pP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w:t>
            </w:r>
          </w:p>
        </w:tc>
      </w:tr>
      <w:tr>
        <w:trPr>
          <w:trHeight w:val="229"/>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others</w:t>
            </w: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100" w:type="dxa"/>
            <w:vAlign w:val="bottom"/>
            <w:tcBorders>
              <w:bottom w:val="single" w:sz="8" w:color="CCEEFF"/>
            </w:tcBorders>
          </w:tcPr>
          <w:p>
            <w:pPr>
              <w:spacing w:after="0"/>
              <w:rPr>
                <w:sz w:val="19"/>
                <w:szCs w:val="19"/>
                <w:color w:val="auto"/>
              </w:rPr>
            </w:pP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20" w:type="dxa"/>
            <w:vAlign w:val="bottom"/>
            <w:tcBorders>
              <w:bottom w:val="single" w:sz="8" w:color="CCEEFF"/>
            </w:tcBorders>
          </w:tcPr>
          <w:p>
            <w:pPr>
              <w:spacing w:after="0"/>
              <w:rPr>
                <w:sz w:val="19"/>
                <w:szCs w:val="19"/>
                <w:color w:val="auto"/>
              </w:rPr>
            </w:pP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w:t>
            </w: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20" w:type="dxa"/>
            <w:vAlign w:val="bottom"/>
            <w:shd w:val="clear" w:color="auto" w:fill="CCEEFF"/>
          </w:tcPr>
          <w:p>
            <w:pPr>
              <w:spacing w:after="0"/>
              <w:rPr>
                <w:sz w:val="19"/>
                <w:szCs w:val="19"/>
                <w:color w:val="auto"/>
              </w:rPr>
            </w:pP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oil and gas markets, we serve the upstream, midstream and downstream end markets, including onshore and offshore production, liquefied natural gas (LNG) facilities and terminals, pipelines and refineries. In addition to the traditional crude oil refining and other oil and gas downstream processes, we have expanded our end markets into hydrogen production, carbon capture, as well as alternative fuels, such as biofuels and sustainable aviation fuel, in response to the demand for clean energy.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Within the petrochemical market, our primary customers typically are engaged in leveraging hydrocarbon or natural gas feedstocks for the production of petrochemical, or oil- or gas-to-chemical products, including polyethylene, polypropylene, fertilizer, methanol, and related petrochemical applications.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electric utility market, we serve both the power generation and distribution end markets. Increasing global electricity demand and the focus on reliable and safe electrical distribution are driving substantial investments in global infrastructure. Aligned with our strategy of end-market diversification, we seek to continue our focus and growth in electrical distribution substations, while also addressing a resurgence of power generation investment in the market.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commercial and other industrial markets, our customers operate in commercial construction, data centers, metals and mining, pulp and paper, as well as other industrial applications.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Beyond these major markets, we also provide products and services to the light rail traction power market and other markets that include universities and government entities. We are continuously developing new channels to electrical markets through original equipment manufacturers and distribution market channels.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compete with a small number of multinational competitors that sell to a broad industrial and geographic market, as well as smaller, regional competitors that typically have limited capabilities and scope of supply. We believe that our products and services, integration capabilities, technical and project management acumen, application engineering expertise and specialty contracting experience, together with our financial strength and responsiveness to the needs of our customers, give us a sustainable competitive advantage in our markets. Some of our competitors are significantly larger and have substantially greater global resources such as engineering, manufacturing and marketing. Our principal competitors include ABB, Eaton, Schneider, and Siemens Industries, Inc. The competitive factors used during bid evaluation by our customers vary from project to project and may include technical support and application expertise, engineering and manufacturing capabilities, equipment rating, delivered value, scheduling and price. While projects are typically non-recurring, a significant portion of our business is from repeat customers and many times involves third-party EPC firms hired by the end user and with whom we often have long, established relationships. Ultimately, our competitive position is dependent upon our ability to provide quality custom-engineered products, services and systems on a timely basis at a competitive price.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Backlog</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Backlog represents management’s estimate of the remaining unsatisfied performance obligation from work to be performed on our firm orders under uncompleted contracts and customer purchase orders, including approved change orders as well as new contractual agreements on which work has not begun. Our backlog will be recognized as revenue as we complete the remaining performance obligations. Our backlog does not include service and maintenance-type contracts for which we have the right to invoice as services are performed. Typically, our contracts may have an early termination for convenience clause at the discretion of our customers; however, most of these contracts typically provide for the reimbursement of our costs incurred and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 w:name="page8"/>
    <w:bookmarkEnd w:id="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reasonable margin in the event of such early termination. Our methodology for determining backlog may not be comparable to the methodology used by other companies.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backlog at September 30, 2025 was $1.4 billion. We anticipate that approximately $824 million of Fiscal 2025 ending backlog will be recognized as revenue during our fiscal year ending September 30, 2026. Backlog may not be indicative of future operating results as orders may be cancelled or modified by our customers and may not be indicative of continuing revenue performance over future fiscal quarters.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Raw Materials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principal raw materials used in our operations include steel, copper and aluminum, as well as various engineered electrical components. Material costs represented 45% of revenues in Fiscal 2025, 47% of revenues in Fiscal 2024, and 49% of revenues in Fiscal 2023. Unanticipated changes in material requirements, market conditions and disruptions in the supply chain or price increases could impact production costs and affect our consolidated results of operations.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equipment and materials that we use in our business are subject to availability and price fluctuations due to customer demand, producer capacity and market conditions. Uncertainty and fluctuating global demand have led to significant volatility across commodity markets. We have occasionally experienced supply chain disruptions driven predominately by availability and cost volatility across our raw materials, engineered components and labor force. As our procurement function seeks to address specific supply chain challenges, we are working closely with our suppliers to meet our customer commitments. While we have experienced, and may continue to experience, issues related to increased lead times for the purchase and delivery of key raw materials or components, we continue to monitor the availability (including transportation) and price of components and raw materials on a regular basis, as well as any potential impact on our operations. In response to the increased cost environment and supply chain challenges, we strive to effectively manage our product pricing, delivery schedules and bid validity dates with our customers, as well as improve factory efficiencies and project execution. While the cost outlook for commodities used in the production of our products is not certain, we believe we can manage this volatility through contract pricing adjustments, with material-cost predictive estimating, hedging and by actively pursuing internal cost reduction efforts.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supply base for certain key components and raw materials is limited. Many of our products require raw materials and components supplied by a limited number of suppliers, and in some instances, a single supplier. Changes in our design to accommodate similar components from other suppliers could be implemented to resolve a supply problem related to a sole-sourced component. Supply problems could result in delays in our ability to meet commitments to our customers and potentially result in liquidated damages assessed by our customers. We believe that sources of supply for raw materials and components are generally sufficient, and we do not believe a temporary shortage of materials will cause any significant adverse impact to our business and results of operations in the future.</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September 30, 2025, we had 3,143 full-time employees and 315 contract employees located primarily in the United States, Canada and the United Kingdom (U.K.). Our employees are not represented by unions, and we believe that our relationship with our employees is good. Periodically, we find it challenging to source qualified personnel in certain geographic areas due to increased construction or economic activity. We continue to monitor our demand for skilled and unskilled labor and provide training and competitive compensation packages in an effort to attract and retain skilled employees. A decline in our employee relations, labor shortages or increased labor costs could impair our ability to maintain our business, meet customer commitments or grow our revenues, and may adversely impact our business and results of operations.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top human capital priorities include the well-being, health and safety, and retention of our employees, as well as enhanced learning and leadership training opportunities, workplace safety, internal promotion and key employee retention. Powell emphasizes a culture of safety that runs throughout the Company. We establish annual safety goals and monthly operating metrics which have resulted in a safety emergency modification rating (EMR) 0.80, which is below the industry average of 1.0, according to the U.S. Bureau of Labor Statistics. We believe that the seven-year average tenure of our employees is a reflection of our inclusive and supportive culture, and focused efforts on internal promotion, key employee retention and succession planning. Our annual Organizational Capabilities Review is focused on succession planning within our organization and is reviewed annually by our Board of Directors. We measure our success based on the percentage of internal promotions to key positions and our ability to attract and retain key employees.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operations are not generally affected by seasonality. However, weather and natural phenomena can temporarily impact the performance of our operations. Furthermore, quarterly operating results may fluctuate in our first fiscal quarter due to the reduction in the number of workdays related to the number of holidays and paid time off that is taken in that fiscal quarter.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various government regulations in the U.S. as well as various international locations where we operate. These regulations cover diverse areas including environmental compliance, import and export controls, economic sanctions, data and privacy protection, transfer pricing rules, anti-bribery, anti-trafficking and anti-trust provisions. Our policies mandate compliance with applicable laws and regulations administered by various state, federal and international agencies, and are designed to promote and encourage ethical practices in our everyday operations. We have established a multi-faceted compliance program that includes educating employees and leadership, performing risk-based due diligence and evaluating our supplier and customer base. We believe that the compliance cost associated with these governmental regulations will not have a material impact on our capital expenditures, results of operations or competitive position.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is subject to a variety of risks and uncertainties, including, but not limited to, the risks and uncertainties described below. If any of the following risks occur, the business’s financial condition, cash flows, liquidity and results of operations may be negatively impacted, and we may not be able to achieve our quarterly, annual or long-range plans. Additional risks and uncertainties not known to us or not described below may also negatively impact our business and results of operations. This Annual Report also includes statements reflecting assumptions, expectations, projections, intentions or beliefs about future events that are intended as “forward-looking statements” under the Private Securities Litigation Reform Act of 1995 and should be read in conjunction with the discussion under “Forward-Looking Statements” above.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Related to our Business and Industry</w:t>
      </w:r>
    </w:p>
    <w:p>
      <w:pPr>
        <w:spacing w:after="0" w:line="33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cyclical nature of the end markets that we serve. This cyclicality has had, and may continue to have, an adverse effect on our operating results.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end markets that we serve have historically been cyclical and will continue to be vulnerable to general downturns, which in turn could materially and adversely affect the demand for our products and services. Cyclicality is predominately driven by customer demand, global economic and geopolitical conditions and anticipated environmental, safety or regulatory changes that affect the manner in which our customers proceed with capital investments. Our customer projects, budgets for capital expenditures and the need for our services have in the past, and may in the future, be adversely affected by, among other things, the demand and price for oil, gas and electrical energy, the overall economic and financial environment, governmental budgets, commodity prices, political uncertainties, cost of capital, currency fluctuations, regulatory actions and environmental concerns. These variables may impact the number or the amount of new awards, delays in the timing of awards or potential cancellation of projects. Changes in product mix or services can have a significant impact on our gross margins on a quarterly and annual basis. The uncertainty of our contract award timing is outside of our control and can also present difficulties in matching workforce size with contract requirements. In some cases, we bear and maintain the cost of a ready workforce that may be larger than necessary in anticipation of future workforce needs. If an expected contract is delayed or not received, we may incur additional costs in staff or facility redundancy that could have an adverse impact on our business, financial condition and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industry is highly competitive.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Some of our competitors are significantly larger and have substantially greater global resources such as engineering, manufacturing and marketing resources, and at various times, may be our customer or supplier on any given project. Competition in the industry depends on a number of factors, including the number of projects available, technical ability, production capacity, production lead times, location and the ability to win projects we bid. Certain of our competitors may have lower cost structures or a more favorable geographic footprint and may, therefore, be able to provide their products or services at lower prices. Similarly, we cannot be certain that we will be able to maintain or enhance our competitive position within our industry, maintain our customer base at current levels, increase our customer base or continue to provide technologically superior products at a competitive price. New companies may enter the markets in which we compete, or industry consolidation may occur, further increasing competition in our markets. Our failure to compete effectively and secure projects could adversely affect future revenues and could have an adverse impact on our business and results of operations.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9" w:name="page10"/>
    <w:bookmarkEnd w:id="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backlog is subject to unexpected adjustments, cancellations and scope reductions and, therefore, may not be a reliable indicator of our future earnings.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 backlog of uncompleted contracts. Backlog represents management’s best estimate of the remaining performance obligation from work to be performed on our firm orders under uncompleted contracts and customer purchase orders, including approved change orders as well as new contractual agreements on which work has not begun. From time to time, projects are cancelled, delayed or modified due to customer, industry or macroeconomic conditions. While we may be reimbursed for certain costs, we may not have a contractual right to the total revenue reflected in our backlog. The ultimate realization of the future revenue in our backlog is based upon our ability to complete the contracted projects, and we cannot control all of the various factors that might impact the timely delivery of our projects to our customers. We may be unable to recover certain costs on our anticipated margin, and cancelled or suspended projects may also result in additional unrecoverable costs due to the underutilization of our assets and personnel. Accordingly, our inability to realize the full amount of our contract backlog may have an adverse impact on our business and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place competitive bids and adequately project future costs may result in losses on our fixed-price contracts with customers.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products and services are typically awarded in competitive bid situations. When placing bids, we may fail to adequately project costs for our customers’ projects, which may lead to us winning a bid that does not adequately compensate us for our costs. Such failure could adversely impact our results of operations. Factors that could impact our ability to adequately project costs for our bids include, but are not limited to: the impacts of inflation; labor shortage; the cost of raw materials; increases caused by tariffs; delays incurred by the failure of third-party suppliers to deliver in the quality or quantity required; unanticipated technical problems, including design or engineering issues. Additionally, we bear the risk of cost overruns and delays in most of our contracts and, as a result, if we fail to adequately manage such cost overruns or delays, our results of operations and our business may be adversely impacted.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Supplier concentration and limited supplier capacity may adversely impact our business and results of operations.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on a limited number of suppliers for certain of our components and raw materials and, in some instances, a single supplier. Switching suppliers can be costly and disruptive to business operations. If one or more of our suppliers or subcontractors experiences difficulties that result in a reduction, delay or interruption in supply to us, or they fail to meet our manufacturing requirements, our business could be adversely impacted, and we may incur liquidated damages until we are able to secure alternative sources. Our suppliers may experience and some of our suppliers have experienced financial difficulties, delivery delays and other performance problems, which may cause us to incur additional costs or be unable to meet commitments to our customers. The time and effort associated with the selection and qualification of a new supplier and changes in our design and testing to accommodate similar components from other suppliers could be significant. In any such event, we may not be able to contract for and receive suitable alternative supply or manufacturing abilities in a timely manner for our customers, if at all, which may impair our ability to meet scheduled deliveries of our products to customers and adversely impact our business and results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requires skilled and unskilled labor, and we may be unable to attract and retain qualified employees.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maintain our productivity at competitive levels may be limited by our ability to employ, compensate, train and retain personnel necessary to meet our requirements. We face competition within and outside of our markets for qualified personnel across all of our workforce. We may experience shortages of qualified personnel such as engineers, project managers, supervisors, office personnel and select skilled trades. We cannot be certain that we will be able to maintain an adequate skilled or unskilled labor force or key technical personnel necessary to operate efficiently and to support our growth strategy and operations. We cannot be certain that our labor costs will not increase as a result of a shortage in the supply of skilled, unskilled and technical personnel or any governmental regulations. Labor shortages or increased labor costs could impair our ability to maintain our business, meet customer commitments or grow our revenues, and could adversely impact our business and results of operations.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recognized over time from our fixed-price contracts could result in volatility in our results of operations.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discussed in “Management’s Discussion and Analysis of Financial Condition and Results of Operations — Critical Accounting Estimates” and in the Notes to Consolidated Financial Statements included elsewhere in this Annual Report, the majority of our revenues are recognized over time. Since revenue is recognized as work is performed and as costs are incurred, the determination of the revenue recognized requires the use of estimates of costs to be incurred for the performance of the contract. Estimates of revenue and of costs to complete are adjusted based on ongoing reviews of estimated contract performance, and previously recorded estimates of revenues and costs are adjusted as the project progresses and circumstances change. The timing of the costs incurred may lead to fluctuations in revenue recognized on a quarterly and annual basis, which could have an adverse impact on our business and our results of operations. While the cost estimation process is based upon the professional knowledge and experience of our management teams, engineers, project managers and financial professionals, we may fail to adequately estimate our costs or revenue (or, we may fail to adequately adjust previously recorded estimates of revenue and costs). Such failure could result in additional changes to our revenue and cost estimates which could have an adverse impact on our results of operations.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relating to the use of subcontractors.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hire subcontractors to perform work on some projects and may depend on third-party labor suppliers to provide the personnel necessary to engineer, manufacture and ship our products. If our subcontractors do not perform as expected for any reason, we may experience delays in completing our projects or incur additional costs. In addition, we may have disputes with these independent subcontractors arising from, among other things, the price, quality or timeliness of the work performed. Some of the third parties we engage in support of our operations operate internationally, and thus we may be impacted by the economic, political and labor conditions in those regions as well as uncertainty caused by international relations issues between the United States and those countries. Any of these factors could adversely impact our business and results of operations.</w:t>
      </w:r>
    </w:p>
    <w:p>
      <w:pPr>
        <w:spacing w:after="0" w:line="29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Technological innovations may make existing products and production methods obsolete. The development or use of Artificial Intelligence (AI) by our competitors or other third parties may impair our ability to compete effectively and adversely affect our business, financial condition and results of operations.</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All of the products that we manufacture and sell depend upon optimizing available technology for success in the marketplace. The industries in which we operate are characterized by intense competition and are highly sensitive to technological innovation and customer requirements. Our competitors may develop products or production methods that are superior in price or quality, or incorporate AI into their products that will make current products or services offered by us obsolete. Our future success will depend, in part, on our ability to anticipate and offer products that meet changing industry and customer specifications, including by funding our research and development costs. For example, consumer demand for further automation is changing the markets in which we operate. Failure to successfully develop new products, or to enhance existing products, could result in the loss of existing customers to competitors, the inability to attract new business or an overall reduction of our competitive position, any of which could adversely affect our business and results of operations. Our competitors or other third parties may incorporate AI, including machine learning, data science and similar technologies, into their product development, product enhancement or product offerings more quickly or more successfully than us, which could impair our ability to compete effectively and adversely affect our business, financial condition and results of operations.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AI initiatives, which could adversely affect our business, reputation, and results of operations.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algorithms and models utilized in generative AI systems may have limitations, including biases, errors, or inability to handle certain data types or scenarios. Furthermore, there is a risk of system failures, disruptions, or vulnerabilities that could compromise the integrity, security, or privacy of the generated content. These limitations or failures could result in reputational damage, legal liabilities, or loss of customer/user confidence. Cybersecurity threats and the techniques used in cyberattacks change, develop and evolve rapidly, including from emerging technologies, such as advanced forms of AI and quantum computing. Because AI technology is highly complex and rapidly developing, it is not possible to predict all of the legal, operational or technological risks that may arise relating to our use of AI. The complex and rapidly evolving landscape around AI could expose us to claims, inquiries and proceedings by third parties and global regulatory authorities and subject us to legal liability as well as reputational harm.</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Unforeseen difficulties with expansions, relocations, or consolidations of existing facilities could adversely affect our operations.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decide to enter new markets, build or lease additional facilities, expand our existing facilities, relocate or consolidate one or more of our operations or exit a facility we may own or lease. Increased costs and production delays arising from the staffing, relocation, sublease, expansion or consolidation of our facilities could adversely affect our business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Quality problems with our products could harm our reputation and erode our competitive position.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success of our business depends upon the quality of our products and our relationships with customers. In the event that our products fail to meet our customers’ standards or safety requirements or fail to operate effectively, our reputation could be harmed, which would adversely affect our marketing and sales efforts. We provide warranties to our customers for our products and services, and the cost to satisfy customer warranty claims, which may include, among other things, costs for the repair or replacement of products could adversely impact our business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Many of our contracts contain performance obligations that may subject us to penalties or additional liabilities.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of our customer contracts have schedule and performance obligation clauses that, if we fail to meet, could subject us to penalty provisions, liquidated damages or claims against us, or our outstanding letters of credit or performance bonds. In addition, some customer contracts stipulate protection against our gross negligence or willful misconduct. Each individual contract seeks to define the conditions under which the customer may make a claim against us. Due to the growth in our backlog, our manufacturing and fabrication capacity as well as our ability to recruit and retain qualified labor is challenged resulting in an increased risk of meeting delivery dates and other contract performance obligations. It is possible that adjustments arising from such claims, or our failure to manage our contract risk, may not be covered by insurance and could have an adverse impact on our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Growth and product diversification through strategic acquisitions involve a number of risks.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strategy includes the pursuit of growth and product diversification through the acquisition of companies or assets and entering into joint ventures that could enable us to expand our geographic coverage and product and service offerings. We periodically review potential acquisitions; however, we may be unable to successfully implement this strategy. Acquisitions involve certain risks, including distraction of management, possible disruption to ongoing business, difficulties in the integration of operations and systems, failure to realize cost savings and achieve anticipated synergies, complications arising from merging differing cultures, systems, or technologies, the termination of relationships by key personnel and customers of the acquired company and a failure to retain or add additional employees to handle the increased volume of business. Additionally, financial and accounting challenges and complexities in areas such as valuation, tax planning, treasury management, systems integration and financial reporting from our acquisitions may impact our operating results. Due diligence may not be adequate or reveal all risks and challenges associated with our acquisitions. Companies that we acquire may not achieve revenues, profitability or cash flows that we expect, or that ultimately justify the investment. It is possible that impairment charges resulting from the overpayment for an acquisition may negatively impact our results of operations. Financing for acquisitions may require us to obtain additional equity or debt financing, which may not be available on attractive terms, if at all, or which may be restricted under the terms of our credit facility or other financing arrangements. Any failure to successfully complete or successfully integrate acquisitions could have a material adverse effect on our business and results of operations.</w:t>
      </w:r>
    </w:p>
    <w:p>
      <w:pPr>
        <w:spacing w:after="0" w:line="2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Misconduct by our employees or subcontractors, or a failure to comply with applicable laws or regulations, could harm our reputation, damage our relationships with customers and subject us to criminal and civil enforcement actions.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Misconduct, fraud, non-compliance with applicable laws and regulations or other improper activities by one or more of our employees or subcontractors could have a significant negative impact on our business and reputation. While we take precautions to prevent and detect these activities, such precautions may not be effective and are subject to inherent limitations, including human error and fraud. Acts of misconduct, or our failure to comply with applicable laws or regulations, could subject us to fines and penalties, harm our reputation, or damage our relationships with customers and could adversely impact our business and results of operations.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12" w:name="page13"/>
    <w:bookmarkEnd w:id="1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Unsatisfactory safety performance may subject us to penalties, negatively impact customer relationships, result in higher operating costs, and negatively impact employee morale and turnover.</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both indoor and outdoor manufacturing and fabrication facilities that are susceptible to numerous industrial safety risks that can lead to personal injury, loss of life, damage to property or equipment, and potential environmental damage. While we take precautions to avoid incidents, we have experienced accidents in the past and may again in the future, which can negatively affect our safety record. A poor safety record can harm our reputation with existing and potential customers, jeopardize our relationship with employees, increase our insurance and operating costs and could adversely impact our business and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Related to our Financial Condition and Markets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economic uncertainty and financial market conditions may impact our customer base, suppliers and backlog.</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Various factors drive demand for our products and services, including the price and demand for oil, gas and electrical energy, capital expenditures, economic forecasts, global political environments (including war and terrorism), anticipated environmental, safety or regulatory changes and the cost of capital. Unanticipated increases in raw material and component requirements or prices, the imposition of tariffs, and changes in supplier availability or supplier consolidation could increase production costs and adversely affect profitability. Uncertainty regarding these factors could impact our customers and severely impact the demand for projects and orders for our products and services. Additionally, the loss of significant volume from one particular customer at one of our facilities could adversely impact the operating results of that facility. Our ability to maintain or expand our business would be limited in the future if we are unable to maintain or increase our bonding capacity or our bank credit facility on favorable terms or at all. Similarly, disruptions in the capital markets or increased interest rates may also adversely impact our customer’s ability to finance projects, which could result in contract cancellations or delays. These disruptions could lead to reduced demand for our products and services and cancellation of existing projects, and could have an adverse impact on our business, financial condition and results of operations.</w:t>
      </w:r>
    </w:p>
    <w:p>
      <w:pPr>
        <w:spacing w:after="0" w:line="2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the price and supply of materials used to manufacture our products may reduce our profits and could adversely impact our ability to meet commitments to our customers.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material costs equaled approximately 45% of our consolidated revenues for Fiscal 2025. Unanticipated shortages in raw material and components, rising prices due to overall inflationary pressure, the imposition of tariffs, or delays in production or transportation could increase production costs or lead times and adversely affect profitability as fixed-price contracts may prohibit our ability to charge the customer for the increase in raw material prices.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typically mitigate our inventory risks by increasing the levels of inventory for certain key components and raw materials and entering into commodity hedges when appropriate, such increased inventory levels may not be adequate to meet future demand and may increase the potential for excess and obsolete inventories, which could have an adverse impact on our business and results of operations.</w:t>
      </w:r>
    </w:p>
    <w:p>
      <w:pPr>
        <w:spacing w:after="0" w:line="2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surety bonds, letters of credit, bank guarantees, or other financial assurances may be necessary for us to successfully bid on and obtain certain contracts.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often required to provide our customers security for the performance of their projects in the form of surety bonds, letters of credit or other financial assurances. Our continued ability to obtain surety bonds, letters of credit or other financial assurances will depend on our capitalization, working capital and financial performance. Our ability to issue letters of credit is dependent upon the availability of adequate credit issued by our banks and could be negatively impacted by our compliance with our financial covenants. Future compliance with such financial covenants may be affected by factors beyond our control, including general or industry-specific economic downturns. We are also dependent on the overall bonding capacity, pricing and terms available in the surety markets. As such, we cannot guarantee our ability to maintain a sufficient level of bonding capacity in the future. The restriction, reduction or termination of our surety bond agreements could limit our ability to bid on new opportunities and would require us to issue letters of credit under our bank facilities in lieu of surety bonds, thereby reducing availability under our credit facility, which could have an adverse impact on our liquidity, business and results of operations.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remain in compliance with covenants or obtain waivers or amendments under our credit agreement could adversely impact our business.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credit agreement contains various financial covenants and restrictions, which includes maintaining a consolidated net leverage ratio of less than 3.0 to 1.0 and a consolidated interest coverage ratio of greater than 3.0 to 1.0. For more information on our credit agreement and the restrictions thereunder, see Note G. Long-Term Debt of the Notes to Consolidated Financial Statements. Our ability to remain in compliance with such financial covenants and restrictions may be affected by factors beyond our control, including general or industry-specific economic downturns. If we fail to remain in compliance with such covenants and restrictions, absent an amendment or waiver, this could result in an event of default under the credit agreement. Among other things, the occurrence of an event of default could limit our ability to pay dividends, issue letters of credit, obtain additional financing or result in acceleration of outstanding amounts under the credit agreement or a termination of the agreement, any of which could have an adverse impact on our liquidity, business and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extend credit to customers in conjunction with our performance under fixed-price contracts which subjects us to potential credit risks.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typically agree to allow our customers to defer payment on projects until certain performance milestones have been met or until the projects are substantially completed, and customers often withhold some portion of amounts due to us as retainage. Our payment arrangements subject us to potential credit risk related to changes in business, financial markets and economic factors affecting our customers, including material changes in our customers’ revenues or cash flows. If we are unable to collect amounts owed to us, or retain amounts paid to us, our cash flows would be adversely impacted, and we could experience losses if those amounts exceed current allowances. Any of these factors could adversely impact our business and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portion of our revenues may be concentrated among a small number of customers and may be subject to the risks of particular industries.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to the nature and timing of large projects, a significant percentage of our revenues in a given period may result from one specific contract, customer or industry. For instance, we have a significant concentration of customers in the oil and gas, petrochemical and electric utility industries. Additionally, from time to time, one of our manufacturing facilities may have significant volume from one particular customer or industry that would be material to that facility. If such customers were to experience financial distress or a decline in business, or if the industries our customers concentrated in were to experience a significant change in the demand for such industry’s products or services, our revenue and results of operations could be adversely impacted.</w:t>
      </w:r>
    </w:p>
    <w:p>
      <w:pPr>
        <w:spacing w:after="0" w:line="2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operations expose us to risks that are different from, or possibly greater than, the risks we are exposed to domestically and may adversely affect our operations.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Revenues associated with projects located outside of the United States, including revenues generated from our operations in the U.K. and Canada, accounted for approximately 20% of our consolidated revenues in Fiscal 2025. While our manufacturing facilities are located in developed countries with historically stable operating and fiscal environments, our business and results of operations could be adversely affected by a number of factors, including political and economic instability; social unrest, acts of terrorism, force majeure, war or other armed conflict; inflation; changes in tax laws; the application of foreign labor regulations; currency fluctuations, devaluations and conversion restrictions or governmental activities that limit or disrupt markets, restrict payments or limit the movement of funds and trade restrictions or economic embargoes imposed by the United States or other countries. Additionally, compliance with foreign and domestic import and export regulations, including laws and regulations of the U.S. Treasury Department’s Office of Foreign Assets Control, and anti-corruption laws, such as the U.S. Foreign Corrupt Practices Act or the U.K. Bribery Act 2010, and similar laws of other jurisdictions outside the United States, could adversely impact our ability to compete for contracts in the applicable governing jurisdiction. Moreover, the violation of such laws or regulations, by us or our representatives, could result in severe penalties including monetary fines, criminal proceedings and suspension of export privileges.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fluctuating foreign currency exchange rates may impact our financial results. The functional currency of our foreign operations is typically the currency of the country in which the foreign operation is located. Accordingly, our financial performance is subject to fluctuations due to changes in foreign currency exchange rates relative to the U.S. dollar, and such fluctuations could adversely impact our financial position and results of operations.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access credit and capital markets may be limited, which could adversely affect our liquidity, operations, and growth strategy.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be unable to obtain financing when needed or on favorable terms, particularly during periods of market volatility or reduced liquidity. Unstable market conditions, changes in our financial performance, or factors affecting our industry could increase borrowing costs or restrict access to debt and equity financing. In addition, fluctuations in our common stock price, driven by market conditions or events beyond our control, could limit our ability to raise funds through equity markets.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Related to our Corporate Structure and our Common Stock</w:t>
      </w:r>
    </w:p>
    <w:p>
      <w:pPr>
        <w:spacing w:after="0" w:line="33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our charter documents or Delaware law could delay or prevent a change in control of our company, even if that change would be beneficial to our shareholders.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existence of some provisions in our corporate documents and certain aspects of Delaware law could delay or prevent a change of control of our company, even if that change would be beneficial to our shareholders. Provisions of our certificate of incorporation and our bylaws include provisions related to the classification, nomination and removal of directors and the ability of our shareholders to bring matters for action at our annual meetings, among other provisions. Provisions of Delaware law include certain restrictions on mergers and other business combinations between us and any holder of 15% or more of our outstanding common stock.</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Such provisions may discourage, delay or prevent a merger, acquisition or other change in control that shareholders might otherwise consider favorable, including transactions in which shareholders might otherwise receive a premium for their shares, and may frustrate or prevent any attempt by our shareholders to replace or remove our current management by making it more difficult to replace or remove our Board of Directors.</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personal liability of our directors and officers for monetary damages for breach of their fiduciary duty of care is limited by the Delaware General Corporation Law and by our certificate of incorporation.</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Delaware General Corporation Law allows corporations to limit available relief for the breach of directors’ or officers’ duty of care to equitable remedies such as injunction or rescission. Our certificate of incorporation limits the liability of our directors and officers to the fullest extent permitted by Delaware law. Specifically, our directors and officers will not be personally liable for monetary damages for any breach of their fiduciary duty, except for liability:</w:t>
      </w:r>
    </w:p>
    <w:p>
      <w:pPr>
        <w:spacing w:after="0" w:line="3"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their duty of loyalty to the Company or our stockholders;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that involve intentional misconduct or a knowing violation of law;</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or officer derived an improper personal benefit;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with respect to directors, under provisions relating to unlawful payments of dividends or unlawful stock repurchases or redemptions;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with respect to officers, for any action by or in the right of the Company.</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limitation may have the effect of reducing the likelihood of derivative litigation against directors or officers and may discourage or deter stockholders (or, with respect to directors, management) from bringing a lawsuit against directors or officers, as applicable, for breach of their duty of care, even though such an action, if successful, might otherwise have benefited our stockholders.</w:t>
      </w:r>
    </w:p>
    <w:p>
      <w:pPr>
        <w:spacing w:after="0" w:line="20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exclusive-forum provision contained in our bylaws could limit our stockholders’ ability to obtain a favorable judicial forum for disputes with us or our directors, officers or other employees.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the sole and exclusive forum for (1) any derivative action or proceeding brought on behalf of us, (2) any action asserting a claim of breach of a fiduciary duty owed by any director, officer, employee or stockholder of Powell to Powell or our stockholders, including a claim for breach of fiduciary duty, (3) any action asserting a claim arising pursuant to any provision of the Delaware General Corporation Law, our bylaws or certificate of incorporation or as to which the Delaware General Corporation Law confers jurisdiction on the Court of Chancery of the State of Delaware or (4) any action asserting a claim governed by the internal affairs doctrine or asserting an "internal corporate claim" shall, to the fullest extent permitted by law, be the Court of Chancery of the State of Delaware (or, if the Court of Chancery does not have jurisdiction, another state court located within the State of Delaware or, if no court located within the State of Delaware has jurisdiction, the federal district court for the State of Delaware).</w:t>
      </w:r>
    </w:p>
    <w:p>
      <w:pPr>
        <w:spacing w:after="0" w:line="20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To the fullest extent permitted by applicable law, this exclusive-forum provision applies to state and federal law claims, including claims under the federal securities laws, including the Securities Act of 1933, as amended, and the Exchange Act, although our stockholders will not be deemed to have waived our compliance with the federal securities laws and the rules and regulations thereunder. This exclusive-forum provision may limit the ability of a stockholder to bring a claim in a judicial</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15" w:name="page16"/>
    <w:bookmarkEnd w:id="15"/>
    <w:p>
      <w:pPr>
        <w:jc w:val="both"/>
        <w:spacing w:after="0"/>
        <w:rPr>
          <w:sz w:val="20"/>
          <w:szCs w:val="20"/>
          <w:color w:val="auto"/>
        </w:rPr>
      </w:pPr>
      <w:r>
        <w:rPr>
          <w:rFonts w:ascii="Times New Roman" w:cs="Times New Roman" w:eastAsia="Times New Roman" w:hAnsi="Times New Roman"/>
          <w:sz w:val="18"/>
          <w:szCs w:val="18"/>
          <w:color w:val="auto"/>
        </w:rPr>
        <w:t>forum of its choosing for disputes with us or our directors, officers or other employees, which may discourage lawsuits against us and our directors, officers and other employees. Alternatively, if a court were to find this exclusive-forum provision inapplicable to, or unenforceable in respect of, one or more of the specified types of actions or proceedings described above, we may incur additional costs associated with resolving such matters in other jurisdictions, which could negatively affect our business, results of operations and financial condition. In addition, stockholders who do bring a claim in a state or federal court located within the State of Delaware could face additional litigation costs in pursuing any such claim, particularly if they do not reside in or near Delaware. In addition, the court located in the State of Delaware may reach different judgments or results than would other courts, including courts where a stockholder would otherwise choose to bring the action, and such judgments or results may be more favorable to us than to our stockholders.</w:t>
      </w:r>
    </w:p>
    <w:p>
      <w:pPr>
        <w:spacing w:after="0" w:line="18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price could decline or fluctuate significantly due to unforeseen circumstances that may be outside of our control. These fluctuations may cause our stockholders to incur losses.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stock price could fluctuate or decline due to a variety of factors including, but not limited to, the risk factors described herein, declines in the overall financial and economic outlook, timing and cancellation of projects, declines in new orders or backlog, changes in our estimated costs to complete projects, investors’ opinions of the sectors and markets in which we operate or failure of our operating results to meet the expectations of securities analysts or investors, which could reduce investor confidence. These factors could adversely affect our business, and the trading price of our common stock could decline significantly.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declare or pay future dividends on our common stock.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of Directors has approved a regular quarterly dividend since our fiscal year ended September 30, 2014. The declaration, amount and timing of future dividends are subject to capital availability and determinations by our Board of Directors that cash dividends are in the best interest of our stockholders and in compliance with all respective laws and applicable agreements. Our ability to declare, increase or pay dividends will depend upon, among other factors, our financial condition, results of operations, cash flows, current and anticipated expansion plans, requirements under Delaware law and other factors that our Board of Directors may deem relevant. A reduction in or elimination of our dividend payments could have a material negative effect on our stock price.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issue preferred stock on terms that could adversely affect the voting power or value of our common stock.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authorizes us to issue, without the approval of our shareholders, one or more classes or series of preferred stock having such preferences, powers and relative, participating, optional and other rights, including preferences over our common stock respecting dividends and distributions, as our board of directors may determine. The terms of one or more classes or series of preferred stock could adversely impact the voting power or value of our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Risk Factors Related to Legal and Regulatory Matters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could be adversely impacted by the effects of government regulations.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subject to various government regulations in the United States as well as various international locations where we operate. These regulations cover several areas including Environmental, Social, and Governance (ESG) compliance, import and export controls, economic sanctions, data and privacy protection, transfer pricing rules, anti-bribery, anti-trafficking and anti-trust provisions. These laws and regulations are administered by various state, federal and international agencies. Changes in laws or regulations, or policy goals, including those affecting oil and gas exploration and development activities or climate change matters and the resulting decisions by customers of ours and other industry participants, could reduce demand for our products and services or for those of our customers, which would have a negative impact on our operations. For example, the Inflation Reduction Act contains tax inducements and other provisions that incentivize investment, development and deployment of alternative energy sources and technologies, and at the United Nations Climate Change Conference in the United Arab Emirates in 2023, more than 190 governments reached a non-binding agreement to transition away from fossil fuels and encourage the growth and expansion of renewable energy. In addition, regulations may limit or prohibit the use of a class of chemicals known as per- and polyfluoroalkyl substances (PFAS), which are found in parts, components, and other materials used in products we manufacture or utilize. Such chemicals are critical to the manufacturing and functioning of many products, and there are limited technically and commercially feasible alternatives to them. These restrictions could adversely impact our business and results of operations by increasing our expenses or requiring us to alter manufacturing and assembly processes. Increased regulations and reporting requirements around the world may adversely affect the operators in the markets we serve. We cannot predict future changes in any country in which we operate or do business and how those changes may affect our ability to perform projects in those regions.</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requires disclosure of use of “conflict” minerals mined from the Democratic Republic of Congo and adjoining countries and our efforts to prevent the use of such minerals. In our industry, conflict minerals are most commonly found in metals. As there may be only a limited number of suppliers offering “conflict-free” metals, we cannot be sure that we will be able to obtain necessary metals in sufficient quantities or at competitive prices. Also, we may face challenges with our customers and suppliers if we are unable to sufficiently verify that the metals used in our products are “conflict-free.”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Actual and potential claims, lawsuits and proceedings could ultimately reduce our profitability and liquidity and weaken our financial condition.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currently involved or may be involved in legal, regulatory and other proceedings. These proceedings may include, without limitation, product liability matters, intellectual property matters, contract disputes or claims, pending or threatened litigation, governmental investigations, as well as employment, tax, environmental, or other matters. We could be named as a defendant in legal proceedings that claim damages in connection with the operation of our business. Most of the actions against us arise out of the normal course of our performing services or manufacturing equipment. These proceedings could lead to law enforcement actions, adverse changes to our business practices, fines and penalties, business remedies, or the assertion of private litigation claims or damages that could be material, and which could adversely impact our business and results of operations. Even if the proceedings we face or may face in the future are decided in our favor, or are unfounded, we may incur material expenses and such matters may require significant management attention, and may harm our reputation with customers, employees or investors.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When appropriate, we establish estimated provisions against certain legal exposures, and we adjust such provisions from time to time according to ongoing developments related to each exposure, as well as any potential recovery from our insurance, if applicable. If, in the future, our assumptions and estimates related to such exposures prove to be inadequate or wrong, or our insurance coverage is insufficient, our business and results of operations could be adversely affected. In addition, claims, lawsuits and proceedings may harm our reputation or divert management resources away from operating our business. Losses arising from such events may or may not be fully covered by our various insurance policies or may be subject to deductibles or exceed coverage limits.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and regulations may change our effective tax rate and could have a material effect on our financial results.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income taxes in the United States and numerous foreign jurisdictions. A change in tax laws, deductions or credits, treaties or regulations, or their interpretation, in the countries in which we operate, could result in a higher tax rate on our pre-tax income, which could have a material impact on our net income. For example, several jurisdictions have implemented or are expected to implement in the future, the Organization for Economic Co-operation and Development Pillar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7" w:name="page18"/>
    <w:bookmarkEnd w:id="17"/>
    <w:p>
      <w:pPr>
        <w:jc w:val="both"/>
        <w:spacing w:after="0" w:line="253" w:lineRule="auto"/>
        <w:rPr>
          <w:sz w:val="20"/>
          <w:szCs w:val="20"/>
          <w:color w:val="auto"/>
        </w:rPr>
      </w:pPr>
      <w:r>
        <w:rPr>
          <w:rFonts w:ascii="Times New Roman" w:cs="Times New Roman" w:eastAsia="Times New Roman" w:hAnsi="Times New Roman"/>
          <w:sz w:val="18"/>
          <w:szCs w:val="18"/>
          <w:color w:val="auto"/>
        </w:rPr>
        <w:t>2, which is aimed at preventing base erosion and profit shifting, ensuring income is subject to a minimum level of taxation and preventing treaty misuse. The application of these provisions is not always certain, and jurisdictions are still developing their rules and interpretations with regard to the same. The One Big Beautiful Bill Act (the OBBBA) was recently signed into law and includes a broad range of tax reform provisions affecting businesses. The OBBBA extends and modifies certain key 2017 Tax Cuts &amp; Jobs Act (TCJA) provisions (both domestic and international) and revamps some of the TCJA’s provisions on the taxation of corporations’ foreign income. The OBBBA also expands certain Inflation Reduction Act incentives while accelerating the phase-out of others. We are regularly under audit by tax authorities, and our tax estimates and tax positions could be materially affected by many factors including the final outcome of tax audits and related litigation, the introduction of new tax accounting standards, legislation, regulations and related interpretations, our global mix of earnings, the extent to which deferred tax assets are realized and changes in uncertain tax positions. A significant increase in our statutory tax rates or loss of our ability to claim Research and Development Tax Credits could have a material impact on our net income or loss and cash flow.</w:t>
      </w:r>
    </w:p>
    <w:p>
      <w:pPr>
        <w:spacing w:after="0" w:line="29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develop, obtain, enforce, and protect intellectual property rights or third-party claims that we are infringing on their intellectual property could harm our business.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hold various patents, trademarks, servicemarks, copyrights and licenses. Our success depends in part on our ability to develop technologies and inventions and other intellectual property, and obtain intellectual property rights and enforce such intellectual property rights worldwide. We cannot be certain we will be able to obtain patents or other intellectual property rights in our new technologies and inventions, or if we do, the scope of such rights may not be sufficiently broad to afford us any significant commercial advantage over our competitors. The technologies and inventions developed by us in the future may not be considered valuable by customers or provide us with a competitive advantage, or competitors may develop similar or identical technologies and inventions independently of us and before we do.</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protection of intellectual property rights is expensive and difficult to maintain, both in terms of application and maintenance costs, as well as the costs of defending and enforcing those rights. Competitors and other third parties may also challenge the ownership, validity, or enforceability of our patents or other intellectual property rights. Moreover, the laws of certain foreign jurisdictions do not recognize intellectual property rights or protect them to the same extent as do the laws of the United States. To the extent we do assert our intellectual property rights against third parties, we may not be successful and adequate remedies may not be available in the event of infringement or unauthorized use of our intellectual property rights, or disclosure of our trade secrets.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Third parties may in the future assert that we have infringed, misappropriated, or otherwise violated their intellectual property rights. We cannot assure that our current or future technologies are not infringing or violating intellectual property rights of third parties. In the event we face claims of infringement or misappropriation, we may face expensive litigation or indemnification obligations, be required to enter into licenses, and may be prevented from selling existing products and pursuing product development or commercialization. Even if such claims are without merit, we may be required to expend significant time and resources on the defense of such claims. If we are unable to sufficiently protect our patent and other proprietary rights or if we infringe on or misappropriate proprietary rights of others, our business, financial condition, results of operations, and cash flows could be adversely impacted.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developments arising from tariffs and other economic proposals could adversely impact our business.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is uncertainty about the future relationship between the U.S. and various other countries with respect to trade policies and tariffs. There is also uncertainty as to whether trade between the U.S. and other countries, including countries in which we operate and countries where our customers or suppliers operate, may be impacted by these policy developments. Additional restrictions or economic disincentives on United States or international trade such as significant increases in tariffs on goods could adversely impact our business. Moreover, announced changes and proposed changes to U.S. global trade policy, along with potential international retaliatory measures, have caused high volatility in global markets and uncertainty around short- and long-term economic impacts in the U.S., including concerns over inflation, recession and slowing growth. We continue to evaluate and monitor the potential impacts of these changes and measures, including the imposition of tariffs and ongoing legal challenges to such tariffs, on our business and operations, including increased costs of raw materials and engineered components as well as negative impacts on our margins; however, it is not possible to predict the impact, if any, of any changes or proposed changes to the U.S. global trade policy, or any international retaliatory measures, on our business and operations. Changes in United States or international social, political, regulatory and economic conditions or in laws and policies governing foreign trade, manufacturing, development and investment in the territories and countries where we currently develop and sell our products, and any negative sentiment towards the United States as a result of such changes, could adversely impact our business and results of operations.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8" w:name="page19"/>
    <w:bookmarkEnd w:id="18"/>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Failures or weaknesses in our internal controls over financial reporting could adversely affect our ability to report on our financial condition and results of operations accurately or on a timely basis.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required to comply with Section 404 of the Sarbanes-Oxley Act of 2002, which requires, among other things, an assessment by our management of our internal control over financial reporting. Preparing our financial statements involves a number of complex processes, many of which are performed manually and dependent upon individual data input or review. We seek to maintain and strengthen our internal controls over operational and financial reporting. However, any system of controls has limitations, including the possibility of human error, availability of qualified personnel, circumvention or overriding of controls or fraud. Our failure to maintain effective internal controls over financial reporting could adversely affect our ability to report our financial results on a timely and accurate basis, which could result in a loss of investor confidence in our financial reports or a decline in our stock price, or have an adverse impact on our business and results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carry insurance against many potential liabilities, but our management of risk may leave us exposed to unidentified or unanticipated risks.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we maintain insurance policies with respect to our estimated exposures, including certain casualty, property, professional, employee liability, business interruption, cybersecurity and self-insured medical programs, these policies contain deductibles, self-insured retentions and limits of coverage. In addition, we may not be able to continue to obtain insurance at commercially reasonable rates, or at the policy limits we may require or may be faced with liabilities not covered by insurance, such as, but not limited to, cybersecurity, environmental contamination, acts of war or terrorist attacks. We estimate our liabilities for known claims and unpaid claims and expenses based on information available as well as projections for claims incurred but not reported. However, insurance liabilities, some of which are self-insured, are difficult to estimate due to various factors. If any of our insurance policies, coverage limits or programs are not effective in mitigating our risks, we may incur losses that are not covered by our insurance policies, that are subject to deductibles or that exceed our estimated accruals or our insurance policy limits, which could adversely impact our business and results of operations.</w:t>
      </w:r>
    </w:p>
    <w:p>
      <w:pPr>
        <w:spacing w:after="0" w:line="29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Catastrophic events, including natural disasters, health epidemics, acts of war and terrorism, cl</w:t>
      </w:r>
      <w:r>
        <w:rPr>
          <w:rFonts w:ascii="Times New Roman" w:cs="Times New Roman" w:eastAsia="Times New Roman" w:hAnsi="Times New Roman"/>
          <w:sz w:val="18"/>
          <w:szCs w:val="18"/>
          <w:b w:val="1"/>
          <w:bCs w:val="1"/>
          <w:i w:val="1"/>
          <w:iCs w:val="1"/>
          <w:color w:val="252525"/>
        </w:rPr>
        <w:t>imate change, among others, could disrupt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i w:val="1"/>
          <w:iCs w:val="1"/>
          <w:color w:val="252525"/>
        </w:rPr>
        <w:t>business.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occurrence of catastrophic events, ranging from natural d</w:t>
      </w:r>
      <w:r>
        <w:rPr>
          <w:rFonts w:ascii="Times New Roman" w:cs="Times New Roman" w:eastAsia="Times New Roman" w:hAnsi="Times New Roman"/>
          <w:sz w:val="18"/>
          <w:szCs w:val="18"/>
          <w:color w:val="252525"/>
        </w:rPr>
        <w:t>isasters and extreme weather conditions to health epidemics, to acts of war and terrorism,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among others, could increase operating costs or disrupt or delay our ability to operate our business and complete projects for our customers and could potentially expose us to third-party liability claims or liquidated damages under our contracts. A significant portion of our operations are located near the Texas Gulf Coast; as a result, our operations have been and are subject to the potential impacts of weather-related events, including but not limited to hurricanes and flooding. Future weather events could cause significant damage to our property and equipment or customer projects and adversely impact our operations. In addition, global climate change may result in significant natural disasters occurring more frequently or with greater intensity, such as drought, wildfires, storms, sea-level rise, changing precipitation and flooding. Such events may adversely impact critical infrastructure, have the potential to disrupt our business, our third-party suppliers or the business of our customers, and may cause us to experience higher attrition, losses and additional costs to maintain or resume operations. We may declare the existence of a force majeure event under our contracts in certain situations; however, a customer may dispute our force majeure claim, which may result in additional liabilities. Losses or delays arising from such events may or may not be fully covered by our various insurance policies or may be subject to deductibles or exceed coverage limits. In addition, such events could result in temporary or long-term delays of existing projects as well as cancellations of orders for raw materials from our suppliers that could impact our project execution. These situations or other disruptions are outside of our control and may adversely impact our business and results of operations.</w:t>
      </w:r>
    </w:p>
    <w:p>
      <w:pPr>
        <w:spacing w:after="0" w:line="2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in our business systems or cybersecurity attacks on any of our facilities, or those of third parties, could adversely affect our business, results of operations and reputation.</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on information technology systems, networks and infrastructure in managing our day-to-day operations. In the event of systems failure or interruption, including those related to force majeure, telecommunications failures, criminal acts, including hardware/software break-ins, extortion attempts, viruses, or other cybersecurity incidents, we may have limited ability to affect the timing and success of systems restoration, and any resulting interruption in our ability to manage or operate our business could have a material adverse effect on our operating results and reputation.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Increased global information technology cybersecurity threats and more sophisticated and targeted computer crime pose a risk to the security of our systems and networks, and the confidentiality, availability and integrity of our data and communications.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19" w:name="page20"/>
    <w:bookmarkEnd w:id="19"/>
    <w:p>
      <w:pPr>
        <w:jc w:val="both"/>
        <w:spacing w:after="0" w:line="258" w:lineRule="auto"/>
        <w:rPr>
          <w:sz w:val="20"/>
          <w:szCs w:val="20"/>
          <w:color w:val="auto"/>
        </w:rPr>
      </w:pPr>
      <w:r>
        <w:rPr>
          <w:rFonts w:ascii="Times New Roman" w:cs="Times New Roman" w:eastAsia="Times New Roman" w:hAnsi="Times New Roman"/>
          <w:sz w:val="18"/>
          <w:szCs w:val="18"/>
          <w:color w:val="auto"/>
        </w:rPr>
        <w:t>While we attempt to mitigate these risks by employing a number of measures, including employee education, comprehensive monitoring of our networks and systems, and maintenance of backup and protective systems, our systems, networks and products remain potentially vulnerable to advanced persistent threats. Depending on their nature and scope, such threats could potentially lead to the compromise of confidential information and communications, improper use of our systems and networks, manipulation and destruction of data, defective products, production downtimes and operational disruptions, which in turn could adversely affect our reputation, competitiveness and results of operations.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 actual or perceived breach of our security occurs, the market perception of the effectiveness of our security measures and our products could be harmed. We could lose potential projects and existing customers, our ability to operate our business could be impaired, we may incur significant liabilities, we could suffer harm to our reputation and competitive position, and our operating results could be negatively impacted.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insurance coverage may not be sufficient to compensate for all liability relating to any actual or potential disruption or other security breach or incident. We cannot be certain that our coverage will be adequate for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significant disruption or failure of our business systems or cybersecurity infrastructure could damage our reputation and have a material adverse effect on our business and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data protection, and information security may require significant resources and present certain risks.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collect, store, and otherwise process certain confidential or sensitive data, including personal data and other information that is subject to laws, regulations, customer-imposed controls, or other actual or asserted obligations. The laws, regulations, standards, and other actual and asserted obligations relating to privacy and information security to which we may be subject, in the United States and globally, are evolving. For example, in the European Union, the General Data Protection Regulation imposes stringent requirements applicable to processing personal data and provides for substantial penalties for noncompliance, and in the United States, California and numerous other states have adopted comprehensive privacy laws, with other states considering such laws. Many jurisdictions around the world have passed or are considering laws and regulations relating to privacy, data protection, and cybersecurity, including laws that impose cross-border data transfer restrictions and require certain personal data to be maintained on local servers.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actual or perceived failure to comply with applicable laws, regulations, or contractual or other actual or asserted obligations to which we are or are alleged to be subject relating to privacy, data protection, or cybersecurity could result in claims, litigation, and regulatory investigations and other proceedings, as well as damage to our reputation. These could result in substantial costs, diversion of resources, fines, penalties, and other damages and liabilities, and harm to our customer relationships, our market position, and our ability to attract new customer engagements. Any of these could harm our business, financial condition, results of operations, and cash flows, potentially in a material manner.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and compliance with ESG initiatives could adversely impact our business.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ESG matters have been a focus for consumers, investors, as well as by governmental and non-governmental organizations. For example, organizations that provide ESG information to investors have developed ratings processes for evaluating a business entity’s approach to ESG matters. Although currently no universal rating standards exist, certain investors use these scores to benchmark businesses against their peers and, if a business entity is perceived as lagging, these investors may engage with the entity to demand improved ESG disclosure or performance. Consequently, a low sustainability score could result in exclusion of our securities from consideration by certain investment funds, engagement by investors seeking to improve such scores and a negative perception of our operations by certain investors. To the extent that our ESG initiatives are deemed to be insufficient by stakeholders, this could adversely impact our business, results of operations, stock price or competitive position.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Private lawsuits or enforcement actions by federal, state, provincial or foreign regulatory agencies may materially increase our costs. Certain environmental laws may make us potentially liable for the remediation of contamination at or emanating from our properties or facilities. Although we seek to obtain indemnities against liabilities relating to historical contamination at the facilities we own or operate, we cannot provide any assurance that we will not incur liabilities relating to the remediation of</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0" w:name="page21"/>
    <w:bookmarkEnd w:id="2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potential contamination, including contamination we did not cause. These potential environmental liabilities may or may not be fully covered by our various insurance policies and may adversely affect our business and results of operations.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Climate change regulations could require us or our customers to incur additional expenditures to either purchase new, or modify existing equipment or processes. These laws and regulations may also increase the cost of raw materials from our suppliers. The potential for future ESG and climate risk reporting requirements may result in additional costs to monitor, track and report sustainability measures. For example, the State of California has published new rules that would require companies doing business in California to provide significantly expanded climate-related disclosures in their periodic reporting. New and proposed regulatory requirements may require us to incur significant additional costs to monitor and comply, and may also include additional internal control processes and procedures.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increased attention to climate change, conservation measures, energy transition, negative attitudes toward oil and natural gas production and consumer demand for alternatives to hydrocarbons could reduce the demand for oil and gas applications. This, in turn, could adversely impact the demand for the products produced by our customers and, therefore, reduce demand for our products, which could adversely impact our business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departure of key personnel could disrupt our business.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depend on the continued efforts of our executive officers, senior management and other key personnel. We cannot be certain that any individual will continue in such capacity for any particular period of time. The loss of key personnel, or the inability to hire, train and retain qualified employees, could negatively impact our ability to perform and manage our business.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Cybersecurity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Cybersecurity represents an important component of our overall approach to enterprise risk management. Our cybersecurity policies and processes are fully integrated into our Enterprise Risk Management program and are based on the National Institute of Standards and Technology Framework for Improving Critical Infrastructure Cybersecurity (the NIST Cybersecurity Framework), a toolkit for organizations to manage cybersecurity risk in its assessment of cybersecurity capabilities and in developing cybersecurity priorities. In addition to internal assessments, our cybersecurity strategy and capabilities are evaluated and audited against the NIST Cybersecurity Framework and industry best practices by independent, third-party, leading specialists in cybersecurity. We strive to create a culture of cybersecurity resilience and awareness. This tone is set from the top and continuously reinforced with our employees through education and regular testing. We continue to improve our programs and invest in the security of our systems, operations, people, infrastructure, and cloud environments. Our cybersecurity strategy seeks to follow industry best practices designed to ensure compliance with applicable global privacy and regulatory requirements. To protect our customers, we administer physical, technological and administrative controls on data privacy and security. We regularly validate our security controls by performing penetration testing, compliance audits, as well as proactive security testing to ensure our systems and controls are secure. The Board of Directors is briefed on our strategy and roadmap in alignment with the NIST Cybersecurity Framework. The Board receives annual updates on program maturity, cybersecurity risks, threat landscape and overall program progress.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cybersecurity risk management program is focused on the following key areas: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Education and Awareness</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provide required security awareness education and training to our employees and contractors with system access that focuses on various aspects of the cybersecurity world. Users of Powell’s internal systems are required to complete an annual cybersecurity awareness training and are tested for awareness on a regular basis. We also provide tailored training courses to functional technology employees and employees who process personal or sensitive information.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Threat Management, Incident Response, and Recovery Planning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established and maintain a comprehensive incident response and recovery plan designed to identify, contain and eradicate cybersecurity threats, with recovery from an incident as rapidly as possible. Our information security team utilizes threat technologies and vendors to monitor and respond to security threats via a 24/7/365 Security Operations Center. In the event of a security incident, a defined procedure outlines containment, response and immediate recovery actions. The incident response plan is tested, evaluated and updated no less than on an annual basis.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and Consumer Privacy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data and consumer privacy program monitors, adapts to and works diligently to comply with changes in global privacy legislation. We have implemented technical, procedural and organizational measures designed to comply with applicable data protection and consumer privacy laws. We conduct external benchmarking, as well as privacy compliance audits, to stay abreast of developing privacy laws and understand developing risks, best practices and industry trends.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Risk Management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the risks associated with the use of vendors, service providers, and other third parties that provide information system services to us, process information on our behalf, or have access to our information systems. The Company has processes in place to oversee and manage these risks. We have an information risk management program that includes a vendor risk assessment process, whereby we systematically oversee and identify risks from cybersecurity threats related to our use of key third-party service providers.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Governance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executive management team and Board of Directors oversee our policies with respect to risk assessment and the management of those risks that may be material to us, including cybersecurity risks. Our Board of Directors has delegated responsibility to the Audit Committee for the oversight of cybersecurity risks. While cybersecurity resilience is the responsibility of every employee and contractor, the cybersecurity program is led by the Chief Information Security Officer who reports to the Chief Financial Officer. Our Chief Information Security Officer has extensive experience in network engineering and cybersecurity operations from both a practical and management standpoint. He leads global teams in cybersecurity and infrastructure operations and regularly attends training in cybersecurity and risk mitigation. The Information Technology (IT) Cybersecurity Risk Management Committee, comprising senior IT leaders, meets quarterly and reviews trending risks and remediation efforts, and reports to the Audit Committee. When necessary, we assign resources to mitigate and evaluate risks to the enterprise level as part of our Enterprise Risk Management program.</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receives a comprehensive annual report of cybersecurity risks, threat landscape, and overall program status. On an annual basis, the Chief Information Security Officer reports to the Audit Committee on various metrics on threat management, incident response and recovery planning, along with industry benchmarks. The Audit Committee reports on these matters to our Board of Directors as needed. In addition, the Chief Information Security Officer periodically presents directly to our Board of Directors on our cybersecurity program.</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believe that the risks from cybersecurity threats thus far, including any previous cybersecurity incidents, have no material impact on our business including our business strategy, financial condition or results of operations. For additional information about the cybersecurity risks, see Item 1A.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own our principal manufacturing and fabrication facilities and periodically lease smaller facilities throughout the United States, Canada and the U.K. Our facilities are generally located in areas that are readily accessible to materials and labor pools and are maintained in good condition. These facilities are expected to meet our needs for the foreseeable future.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own 100% of the offices and facilities in the following principal locations as of September 30, 2025:</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4380" w:type="dxa"/>
            <w:vAlign w:val="bottom"/>
            <w:gridSpan w:val="2"/>
            <w:vMerge w:val="restart"/>
          </w:tcPr>
          <w:p>
            <w:pPr>
              <w:ind w:left="18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Acres</w:t>
            </w:r>
          </w:p>
        </w:tc>
        <w:tc>
          <w:tcPr>
            <w:tcW w:w="13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95"/>
        </w:trPr>
        <w:tc>
          <w:tcPr>
            <w:tcW w:w="4300" w:type="dxa"/>
            <w:vAlign w:val="bottom"/>
            <w:gridSpan w:val="2"/>
            <w:vMerge w:val="continue"/>
          </w:tcPr>
          <w:p>
            <w:pPr>
              <w:spacing w:after="0"/>
              <w:rPr>
                <w:sz w:val="16"/>
                <w:szCs w:val="16"/>
                <w:color w:val="auto"/>
              </w:rPr>
            </w:pPr>
          </w:p>
        </w:tc>
        <w:tc>
          <w:tcPr>
            <w:tcW w:w="438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3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Square Footage</w:t>
            </w:r>
          </w:p>
        </w:tc>
        <w:tc>
          <w:tcPr>
            <w:tcW w:w="0" w:type="dxa"/>
            <w:vAlign w:val="bottom"/>
          </w:tcPr>
          <w:p>
            <w:pPr>
              <w:spacing w:after="0"/>
              <w:rPr>
                <w:sz w:val="1"/>
                <w:szCs w:val="1"/>
                <w:color w:val="auto"/>
              </w:rPr>
            </w:pPr>
          </w:p>
        </w:tc>
      </w:tr>
      <w:tr>
        <w:trPr>
          <w:trHeight w:val="201"/>
        </w:trPr>
        <w:tc>
          <w:tcPr>
            <w:tcW w:w="420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Houston, TX</w:t>
            </w:r>
          </w:p>
        </w:tc>
        <w:tc>
          <w:tcPr>
            <w:tcW w:w="100" w:type="dxa"/>
            <w:vAlign w:val="bottom"/>
            <w:tcBorders>
              <w:top w:val="single" w:sz="8" w:color="CCEEFF"/>
            </w:tcBorders>
            <w:shd w:val="clear" w:color="auto" w:fill="CCEEFF"/>
          </w:tcPr>
          <w:p>
            <w:pPr>
              <w:spacing w:after="0"/>
              <w:rPr>
                <w:sz w:val="17"/>
                <w:szCs w:val="17"/>
                <w:color w:val="auto"/>
              </w:rPr>
            </w:pPr>
          </w:p>
        </w:tc>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office and manufacturing facility</w:t>
            </w:r>
          </w:p>
        </w:tc>
        <w:tc>
          <w:tcPr>
            <w:tcW w:w="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428,515</w:t>
            </w:r>
          </w:p>
        </w:tc>
        <w:tc>
          <w:tcPr>
            <w:tcW w:w="0" w:type="dxa"/>
            <w:vAlign w:val="bottom"/>
          </w:tcPr>
          <w:p>
            <w:pPr>
              <w:spacing w:after="0"/>
              <w:rPr>
                <w:sz w:val="1"/>
                <w:szCs w:val="1"/>
                <w:color w:val="auto"/>
              </w:rPr>
            </w:pPr>
          </w:p>
        </w:tc>
      </w:tr>
      <w:tr>
        <w:trPr>
          <w:trHeight w:val="195"/>
        </w:trPr>
        <w:tc>
          <w:tcPr>
            <w:tcW w:w="43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Houston, TX</w:t>
            </w: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Office and manufacturing facility</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346,554</w:t>
            </w:r>
          </w:p>
        </w:tc>
        <w:tc>
          <w:tcPr>
            <w:tcW w:w="0" w:type="dxa"/>
            <w:vAlign w:val="bottom"/>
          </w:tcPr>
          <w:p>
            <w:pPr>
              <w:spacing w:after="0"/>
              <w:rPr>
                <w:sz w:val="1"/>
                <w:szCs w:val="1"/>
                <w:color w:val="auto"/>
              </w:rPr>
            </w:pPr>
          </w:p>
        </w:tc>
      </w:tr>
      <w:tr>
        <w:trPr>
          <w:trHeight w:val="210"/>
        </w:trPr>
        <w:tc>
          <w:tcPr>
            <w:tcW w:w="4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Houston, TX</w:t>
            </w:r>
          </w:p>
        </w:tc>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Office, fabrication facility, bulkhead and yard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82,320</w:t>
            </w:r>
          </w:p>
        </w:tc>
        <w:tc>
          <w:tcPr>
            <w:tcW w:w="0" w:type="dxa"/>
            <w:vAlign w:val="bottom"/>
          </w:tcPr>
          <w:p>
            <w:pPr>
              <w:spacing w:after="0"/>
              <w:rPr>
                <w:sz w:val="1"/>
                <w:szCs w:val="1"/>
                <w:color w:val="auto"/>
              </w:rPr>
            </w:pPr>
          </w:p>
        </w:tc>
      </w:tr>
      <w:tr>
        <w:trPr>
          <w:trHeight w:val="195"/>
        </w:trPr>
        <w:tc>
          <w:tcPr>
            <w:tcW w:w="43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Houston, TX</w:t>
            </w: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Office and warehouse facility</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37,200</w:t>
            </w:r>
          </w:p>
        </w:tc>
        <w:tc>
          <w:tcPr>
            <w:tcW w:w="0" w:type="dxa"/>
            <w:vAlign w:val="bottom"/>
          </w:tcPr>
          <w:p>
            <w:pPr>
              <w:spacing w:after="0"/>
              <w:rPr>
                <w:sz w:val="1"/>
                <w:szCs w:val="1"/>
                <w:color w:val="auto"/>
              </w:rPr>
            </w:pPr>
          </w:p>
        </w:tc>
      </w:tr>
      <w:tr>
        <w:trPr>
          <w:trHeight w:val="210"/>
        </w:trPr>
        <w:tc>
          <w:tcPr>
            <w:tcW w:w="4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North Canton, OH</w:t>
            </w:r>
          </w:p>
        </w:tc>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Office and manufacturing facility</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115,200</w:t>
            </w:r>
          </w:p>
        </w:tc>
        <w:tc>
          <w:tcPr>
            <w:tcW w:w="0" w:type="dxa"/>
            <w:vAlign w:val="bottom"/>
          </w:tcPr>
          <w:p>
            <w:pPr>
              <w:spacing w:after="0"/>
              <w:rPr>
                <w:sz w:val="1"/>
                <w:szCs w:val="1"/>
                <w:color w:val="auto"/>
              </w:rPr>
            </w:pPr>
          </w:p>
        </w:tc>
      </w:tr>
      <w:tr>
        <w:trPr>
          <w:trHeight w:val="195"/>
        </w:trPr>
        <w:tc>
          <w:tcPr>
            <w:tcW w:w="43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Northlake, IL</w:t>
            </w: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Office and manufacturing facility</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103,500</w:t>
            </w:r>
          </w:p>
        </w:tc>
        <w:tc>
          <w:tcPr>
            <w:tcW w:w="0" w:type="dxa"/>
            <w:vAlign w:val="bottom"/>
          </w:tcPr>
          <w:p>
            <w:pPr>
              <w:spacing w:after="0"/>
              <w:rPr>
                <w:sz w:val="1"/>
                <w:szCs w:val="1"/>
                <w:color w:val="auto"/>
              </w:rPr>
            </w:pPr>
          </w:p>
        </w:tc>
      </w:tr>
      <w:tr>
        <w:trPr>
          <w:trHeight w:val="210"/>
        </w:trPr>
        <w:tc>
          <w:tcPr>
            <w:tcW w:w="4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Bradford, U.K.</w:t>
            </w:r>
          </w:p>
        </w:tc>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Office and manufacturing facility</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129,200</w:t>
            </w:r>
          </w:p>
        </w:tc>
        <w:tc>
          <w:tcPr>
            <w:tcW w:w="0" w:type="dxa"/>
            <w:vAlign w:val="bottom"/>
          </w:tcPr>
          <w:p>
            <w:pPr>
              <w:spacing w:after="0"/>
              <w:rPr>
                <w:sz w:val="1"/>
                <w:szCs w:val="1"/>
                <w:color w:val="auto"/>
              </w:rPr>
            </w:pPr>
          </w:p>
        </w:tc>
      </w:tr>
      <w:tr>
        <w:trPr>
          <w:trHeight w:val="195"/>
        </w:trPr>
        <w:tc>
          <w:tcPr>
            <w:tcW w:w="43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Deeside, U.K.</w:t>
            </w: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Office and manufacturing facility</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42,329</w:t>
            </w:r>
          </w:p>
        </w:tc>
        <w:tc>
          <w:tcPr>
            <w:tcW w:w="0" w:type="dxa"/>
            <w:vAlign w:val="bottom"/>
          </w:tcPr>
          <w:p>
            <w:pPr>
              <w:spacing w:after="0"/>
              <w:rPr>
                <w:sz w:val="1"/>
                <w:szCs w:val="1"/>
                <w:color w:val="auto"/>
              </w:rPr>
            </w:pPr>
          </w:p>
        </w:tc>
      </w:tr>
      <w:tr>
        <w:trPr>
          <w:trHeight w:val="210"/>
        </w:trPr>
        <w:tc>
          <w:tcPr>
            <w:tcW w:w="4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Acheson, Alberta, Canada</w:t>
            </w:r>
          </w:p>
        </w:tc>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Office and manufacturing facility</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330,168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121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current executive officers of Powell are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4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Age*</w:t>
            </w:r>
          </w:p>
        </w:tc>
        <w:tc>
          <w:tcPr>
            <w:tcW w:w="7240" w:type="dxa"/>
            <w:vAlign w:val="bottom"/>
            <w:gridSpan w:val="3"/>
          </w:tcPr>
          <w:p>
            <w:pPr>
              <w:ind w:left="2720"/>
              <w:spacing w:after="0"/>
              <w:rPr>
                <w:sz w:val="20"/>
                <w:szCs w:val="20"/>
                <w:color w:val="auto"/>
              </w:rPr>
            </w:pPr>
            <w:r>
              <w:rPr>
                <w:rFonts w:ascii="Times New Roman" w:cs="Times New Roman" w:eastAsia="Times New Roman" w:hAnsi="Times New Roman"/>
                <w:sz w:val="14"/>
                <w:szCs w:val="14"/>
                <w:b w:val="1"/>
                <w:bCs w:val="1"/>
                <w:color w:val="auto"/>
              </w:rPr>
              <w:t>Current Position with Powell</w:t>
            </w:r>
          </w:p>
        </w:tc>
      </w:tr>
      <w:tr>
        <w:trPr>
          <w:trHeight w:val="34"/>
        </w:trPr>
        <w:tc>
          <w:tcPr>
            <w:tcW w:w="20" w:type="dxa"/>
            <w:vAlign w:val="bottom"/>
            <w:tcBorders>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780" w:type="dxa"/>
            <w:vAlign w:val="bottom"/>
            <w:tcBorders>
              <w:top w:val="single" w:sz="8" w:color="auto"/>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Brett A. Cope</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center"/>
              <w:ind w:left="375"/>
              <w:spacing w:after="0"/>
              <w:rPr>
                <w:sz w:val="20"/>
                <w:szCs w:val="20"/>
                <w:color w:val="auto"/>
              </w:rPr>
            </w:pPr>
            <w:r>
              <w:rPr>
                <w:rFonts w:ascii="Times New Roman" w:cs="Times New Roman" w:eastAsia="Times New Roman" w:hAnsi="Times New Roman"/>
                <w:sz w:val="18"/>
                <w:szCs w:val="18"/>
                <w:color w:val="auto"/>
                <w:w w:val="99"/>
              </w:rPr>
              <w:t>57</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and Chief Executive Officer, Chairman of the Board</w:t>
            </w:r>
          </w:p>
        </w:tc>
      </w:tr>
      <w:tr>
        <w:trPr>
          <w:trHeight w:val="229"/>
        </w:trPr>
        <w:tc>
          <w:tcPr>
            <w:tcW w:w="20" w:type="dxa"/>
            <w:vAlign w:val="bottom"/>
          </w:tcPr>
          <w:p>
            <w:pPr>
              <w:spacing w:after="0"/>
              <w:rPr>
                <w:sz w:val="19"/>
                <w:szCs w:val="19"/>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Michael W. Metcalf</w:t>
            </w:r>
          </w:p>
        </w:tc>
        <w:tc>
          <w:tcPr>
            <w:tcW w:w="760" w:type="dxa"/>
            <w:vAlign w:val="bottom"/>
            <w:gridSpan w:val="2"/>
          </w:tcPr>
          <w:p>
            <w:pPr>
              <w:jc w:val="center"/>
              <w:ind w:left="375"/>
              <w:spacing w:after="0"/>
              <w:rPr>
                <w:sz w:val="20"/>
                <w:szCs w:val="20"/>
                <w:color w:val="auto"/>
              </w:rPr>
            </w:pPr>
            <w:r>
              <w:rPr>
                <w:rFonts w:ascii="Times New Roman" w:cs="Times New Roman" w:eastAsia="Times New Roman" w:hAnsi="Times New Roman"/>
                <w:sz w:val="18"/>
                <w:szCs w:val="18"/>
                <w:color w:val="auto"/>
                <w:w w:val="99"/>
              </w:rPr>
              <w:t>58</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Executive Vice President, Chief Financial and Principal Accounting Officer</w:t>
            </w:r>
          </w:p>
        </w:tc>
      </w:tr>
      <w:tr>
        <w:trPr>
          <w:trHeight w:val="230"/>
        </w:trPr>
        <w:tc>
          <w:tcPr>
            <w:tcW w:w="20" w:type="dxa"/>
            <w:vAlign w:val="bottom"/>
            <w:shd w:val="clear" w:color="auto" w:fill="CCEEFF"/>
          </w:tcPr>
          <w:p>
            <w:pPr>
              <w:spacing w:after="0"/>
              <w:rPr>
                <w:sz w:val="19"/>
                <w:szCs w:val="19"/>
                <w:color w:val="auto"/>
              </w:rPr>
            </w:pPr>
          </w:p>
        </w:tc>
        <w:tc>
          <w:tcPr>
            <w:tcW w:w="2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Davide Tuninetti</w:t>
            </w:r>
          </w:p>
        </w:tc>
        <w:tc>
          <w:tcPr>
            <w:tcW w:w="760" w:type="dxa"/>
            <w:vAlign w:val="bottom"/>
            <w:gridSpan w:val="2"/>
            <w:shd w:val="clear" w:color="auto" w:fill="CCEEFF"/>
          </w:tcPr>
          <w:p>
            <w:pPr>
              <w:jc w:val="center"/>
              <w:ind w:left="375"/>
              <w:spacing w:after="0"/>
              <w:rPr>
                <w:sz w:val="20"/>
                <w:szCs w:val="20"/>
                <w:color w:val="auto"/>
              </w:rPr>
            </w:pPr>
            <w:r>
              <w:rPr>
                <w:rFonts w:ascii="Times New Roman" w:cs="Times New Roman" w:eastAsia="Times New Roman" w:hAnsi="Times New Roman"/>
                <w:sz w:val="18"/>
                <w:szCs w:val="18"/>
                <w:color w:val="auto"/>
                <w:w w:val="99"/>
              </w:rPr>
              <w:t>50</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Vice President, Chief Human Resources Officer</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November 19, 2025.</w:t>
      </w:r>
    </w:p>
    <w:p>
      <w:pPr>
        <w:spacing w:after="0" w:line="2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There are no family relationships among any of the executive officers named above or any member of our Board of Directors. The Board of Directors annually appoints the executive officers to serve.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Brett A. Cope </w:t>
      </w:r>
      <w:r>
        <w:rPr>
          <w:rFonts w:ascii="Times New Roman" w:cs="Times New Roman" w:eastAsia="Times New Roman" w:hAnsi="Times New Roman"/>
          <w:sz w:val="18"/>
          <w:szCs w:val="18"/>
          <w:color w:val="auto"/>
        </w:rPr>
        <w:t>has served as Powell’s President and Chief Executive Officer since October 2016 and as the Chairman of the Board of Directors since 2019.</w:t>
      </w:r>
    </w:p>
    <w:p>
      <w:pPr>
        <w:spacing w:after="0" w:line="22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W. Metcalf </w:t>
      </w:r>
      <w:r>
        <w:rPr>
          <w:rFonts w:ascii="Times New Roman" w:cs="Times New Roman" w:eastAsia="Times New Roman" w:hAnsi="Times New Roman"/>
          <w:sz w:val="18"/>
          <w:szCs w:val="18"/>
          <w:color w:val="auto"/>
        </w:rPr>
        <w:t>has served as Powell’s Executive Vice President, Chief Financial and Principal Accounting Officer since February 2024, and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Powell’s Executive Vice President, Chief Financial Officer from December 2018 to February 2024.</w:t>
      </w:r>
    </w:p>
    <w:p>
      <w:pPr>
        <w:spacing w:after="0" w:line="1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Davide Tuninetti </w:t>
      </w:r>
      <w:r>
        <w:rPr>
          <w:rFonts w:ascii="Times New Roman" w:cs="Times New Roman" w:eastAsia="Times New Roman" w:hAnsi="Times New Roman"/>
          <w:sz w:val="18"/>
          <w:szCs w:val="18"/>
          <w:color w:val="auto"/>
        </w:rPr>
        <w:t>has served as Powell’s Vice President, Chief Human Resources Officer since February 2025. Mr. Tuninetti previously served as the 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Human Resources, Americas of GKN Powder Metallurgy from March 2019 to January 2025.</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trades on the NASDAQ Global Market (NASDAQ) under the symbol “POWL.”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November 17, 2025, there were 194 stockholders of record of our common stock.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paid cash dividends to our common stockholders in each quarter of Fiscal 2025 and expect comparable cash dividend payments in the future. However, future cash dividend payments will depend on future earnings, capital requirements, financial condition and debt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Performance Graph and related information shall not be deemed “soliciting material” or to be “filed” with the SEC, nor shall such information be incorporated by reference into any future filing under the Securities Act of 1933 or Securities Exchange Act of 1934, each as amended, except to the extent that we specifically incorporate it by reference into such filing.</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our Form 10-K for the fiscal year ended September 30, 2024, the performance graph included a peer index (the “Previous Industrial Electrical Equipment Group”) composed of Ameresco, Inc.; AZZ Inc.; Belden Inc.; CECO Environmental Corp.; Daktronics Inc.; EnerSys; Franklin Electric Co, Inc.; Gibraltar Industries, Inc.; LittelFuse Inc.; LSI Industries Inc.; Matthews International Corporation; Preformed Line Products Company; Sterling Infrastructure, Inc.; Thermon Group Holdings Inc. and Woodward, Inc. As a continuing effort to align our peer group with our industry, end markets, market capitalization, location and other factors, we have removed AZZ Inc. from our peer group. Accordingly, the new Industrial Electrical Equipment Group is composed of Ameresco, Inc.; Belden Inc.; CECO Environmental Corp.; Daktronics Inc.; EnerSys; Franklin Electric Co, Inc.; Gibraltar Industries, Inc.; LittelFuse Inc.; LSI Industries Inc.; Matthews International Corporation; Preformed Line Products Company; Sterling Infrastructure, Inc.; Thermon Group Holdings Inc. and Woodward, Inc. (collectively, the “New Industrial Electrical Equipment Group”).</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graph compares, for the period from October 1, 2020 to September 30, 2025, the cumulative stockholder return on our common stock with the cumulative total return on the IShares Russell 2000, the Invesco S&amp;P SmallCap 600 Energy, the new Industrial Electrical Equipment Group and the previous Industrial Electrical Equipment Group. The comparison assumes that $100 was invested on October 1, 2020, in our common stock, the IShares Russell 2000, the Invesco S&amp;P SmallCap 600 Energy, the new Industrial Electrical Equipment Group and the previous Industrial Electrical Equipment Group, and that all dividends were re-invested. The stock price performance reflected on the following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422275</wp:posOffset>
            </wp:positionV>
            <wp:extent cx="5863590" cy="3068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63590" cy="306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for the twelve months ended September 30, 2025 compared to the twelve months ended September 30, 2024 should be read in conjunction with the accompanying consolidated financial statements and related notes included in this Annual Report. For discussion and analysis of our financial condition and results of operations for Fiscal Year 2024 as compared to Fiscal Year 2023, please refer to Part II, 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 in our Form 10-K for the fiscal year ended September 30, 2024, filed with the SEC on November 20, 2024. Any forward-looking statements made by or on our behalf are made pursuant to the safe-harbor provisions of the Private Securities Litigation Reform Act of 1995. Readers are cautioned that such forward-looking statements involve risks and uncertainties, and the actual results may differ materially from those projected in the forward-looking statements. For a description of the risks and uncertainties, please see “Cautionary Statement Regarding Forward-Looking Statements” and Part I, Item 1A. “Risk Factors” included elsewhere in this Annual Report.</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develop, design, manufacture and service custom-engineered equipment and systems that distribute, control and monitor the flow of electrical energy and provide protection to motors, transformers and other electrically powered equipment. We are headquartered in Houston, Texas and primarily serve the oil and gas and petrochemical markets, the electric utility market, and commercial and other industrial markets. Beyond these major markets, we also provide products and services to the light rail traction power market and other markets that include universities and government entities. We are continuously developing new channels to electrical markets through original equipment manufacturers and distribution market channels. For additional information on the markets we serve, see “Markets” in Part I, Item 1 of this Annual Report.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Fiscal 2025, we reported revenues of $1.1 billion, net income of $180.7 million, and generated $167.9 million in cash from operating activities. As of September 30, 2025, we had total assets of $1.1 billion.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15, 2025, we completed the previously announced business acquisition of Remsdaq Limited (Remsdaq), a U.K.-based manufacturer of Supervisory Control and Data Acquisition (SCADA) Remote Terminal Units (RTUs) for electrical substation control and automation in generation, transmission and distribution, for a total consideration of £13.6 million Pounds Sterling, or $18.4 million, including cash acquired. The acquisition advances our key strategic initiative to expand our automation platform capabilities. We believe the combination of Powell’s hardware and detection sensors with Remsdaq’s SCADA RTUs creates a highly synergistic integration that positions us to effectively meet the growing demand for more sophisticated solutions that enhance utility operational efficiency, system reliability and security. See Note P. Business Acquisition of the Notes to Consolidated Financial Statements for additional information.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backlog increased to $1.4 billion as of September 30, 2025, of which approximately $824 million is expected to be recognized as revenue during our fiscal year ending September 30, 2026. Although current commercial activity remains active in most of the markets that we compete in, we remain attentive to the macro environment and geopolitical events that may have an impact on future market activity.</w:t>
      </w:r>
    </w:p>
    <w:p>
      <w:pPr>
        <w:spacing w:after="0" w:line="1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Oil and gas and petrochemical markets. </w:t>
      </w:r>
      <w:r>
        <w:rPr>
          <w:rFonts w:ascii="Times New Roman" w:cs="Times New Roman" w:eastAsia="Times New Roman" w:hAnsi="Times New Roman"/>
          <w:sz w:val="18"/>
          <w:szCs w:val="18"/>
          <w:color w:val="auto"/>
        </w:rPr>
        <w:t>The North American market is responding to increased international demand for liquefied natural gas (LNG)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gas-to-chemical processes utilizing low-cost gas feedstocks. We believe the fundamentals of the U.S. natural gas market, through abundant supply and low cost, has supported investments in LNG, related gas processing, and petrochemical processes, and as a result, has sustained our order activity associated with such markets, which is evidenced by two large, domestic LNG project awards during the first half of Fiscal 2025. Other oil and gas end markets have remained active as well, and we secured two large, offshore projects in our core oil and gas end markets during the third quarter of Fiscal 2025. In addition to the traditional crude oil refining and other oil and gas downstream processes, we have expanded our end markets into hydrogen production, carbon capture as well as alternative fuels, such as biofuels and sustainable aviation fuel, in response to the demand for clean energy.</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Electric utility market. </w:t>
      </w:r>
      <w:r>
        <w:rPr>
          <w:rFonts w:ascii="Times New Roman" w:cs="Times New Roman" w:eastAsia="Times New Roman" w:hAnsi="Times New Roman"/>
          <w:sz w:val="18"/>
          <w:szCs w:val="18"/>
          <w:color w:val="auto"/>
        </w:rPr>
        <w:t>Aligned with our strategy of end-market diversification, we seek to continue our focus and growth in electrical distribution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substations, while also addressing a resurgence of power generation investment in this market. During the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third quarter of Fiscal 2025, we won a project for a new power generation plant, representing the largest electric utility award in the Company’s history.</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Commercial and other industrial markets. </w:t>
      </w:r>
      <w:r>
        <w:rPr>
          <w:rFonts w:ascii="Times New Roman" w:cs="Times New Roman" w:eastAsia="Times New Roman" w:hAnsi="Times New Roman"/>
          <w:sz w:val="18"/>
          <w:szCs w:val="18"/>
          <w:color w:val="auto"/>
        </w:rPr>
        <w:t>As a result of a mix of factors we are experiencing steady growth in commercial facilities that provide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of various consumer goods and the expansion of data centers that support cloud computing and increasing investments in artificial intelligence. We are also experiencing increased activity in other industrial end markets. In the first half of Fiscal 2025, we secured a large mining project for the production of potash, which is expected to be executed in late Fiscal 2027 and beyond.</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we booked an order for a domestic light rail traction power project in the third quarter of Fiscal 2025, representing the first large traction power project booked in several quarters.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Environment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markets in which we participate are capital-intensive and cyclical in nature. Cyclicality is predominantly driven by customer demand, global economic and geopolitical conditions and anticipated environmental, safety or regulatory changes that affect the manner in which our customers proceed with capital investments. Our customers analyze various factors, including the demand and price for oil, gas and electrical energy, the overall economic and financial environment, governmental budgets, regulatory actions and environmental concerns. These factors influence the release of new capital projects by our customers, which are traditionally awarded in competitive bid situations. Scheduling of projects is matched to customer requirements, and projects typically take a number of months to produce. Schedules may change during the course of any particular project, and our operating results can, therefore, be impacted by factors outside of our control.</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operating results are impacted by several factors such as the timing of new order awards, project backlog, changes in project cost estimates, customer approval of final engineering specifications and delays in customer construction schedules, all of which contribute to short-term earnings variability and the timing of project execution. Our operating results also have been, and may continue to be, impacted by the timing and resolution of change orders and the resolution of potential contract claims and liquidated damages, all of which could improve or deteriorate gross margins during the period in which these items are resolved with our customers. Disruptions in the global supply chain have negatively impacted and may continue to negatively impact our business and operating results due to the limited supply of, delays for and uncertainty in the timing of the receipt of key component parts and commodities. We continue to remain focused on the variables that impact our markets as well as cost management, labor availability and supply chain challenges.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subject to inflation, which can cause increases in our costs of labor, indirect expenses and raw materials, primarily copper, aluminum and steel.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Fixed-price contracts can limit our ability to pass these increases to our customers, thus negatively impacting our earnings and operations in future periods.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Fiscal 2025, we continued experiencing high volatility in commodity prices, and ongoing supply chain delays for specific engineered components remained a persistent challenge for us. Moreover, ongoing and recently proposed changes to U.S. global trade policy, along with potential international retaliatory measures, and concerns over inflation, recession and slowing growth have continued to cause high volatility in global markets and uncertainty around short- and long-term economic impacts in the United States and other markets we serve. We continue to evaluate and monitor the potential impacts of these changes and measures, including the imposition of tariffs, on our business and operations. We could potentially face the challenge of increased costs of raw materials and engineered components as well as negative impacts on our margins; however, it is not possible to predict the impact, if any, of any changes or proposed changes to the U.S. global trade policy, or any international retaliatory measures, on our business and operations. In response to the rising cost environment and persistent supply chain challenges, we are taking strategic measures to effectively manage our product pricing, refine delivery schedules, and manage bid validity dates with our customers. Our supplier engagement includes improving forecasting and negotiating favorable terms that allow us to meet or exceed customer timelines. Additionally, we remain focused on enhancing factory efficiencies and improving project execution to mitigate risks and maintain customer satisfaction.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4, 2025, President Trump signed into law the One Big Beautiful Bill Act (the OBBBA), which includes a broad range of tax reform provisions affecting businesses. The OBBBA extends and modifies certain key 2017 Tax Cuts &amp; Jobs Act (TCJA) provisions (both domestic and international) and revamps some of the TCJA’s provisions on the taxation of corporations’ foreign income. The OBBBA also expands certain Inflation Reduction Act incentives while accelerating the phase-out of others. We are currently evaluating the impact of the OBBBA on our operations, financial results and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Twelve Months Ended September 30, 2025 Compared to Twelve Months Ended September 30,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Gross Profit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Revenues and costs are primarily related to custom engineered-to-order equipment and systems and are accounted for under percentage-of-completion accounting, which precludes us from providing detailed price and volume information.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Revenues increased by 9%, or $92.0 million, to $1.1 billion in Fiscal 2025, primarily driven by strong project backlog at the end of Fiscal 2024 and strong bookings that continued throughout Fiscal 2025. Domestic revenues increased by 4%, or $33.7 million, to $880.2 million in Fiscal 2025. International revenues increased by 35%, or $58.3 million, to $224.1 million in Fiscal 2025, primarily driven by increased project volume from our Canada operations and increased activity in the Middle East and Africa region. Our international revenues include both revenues generated from our international facilities as well as revenues from export projects generated at our domestic facilities.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Fiscal 2025, revenue from our electric utility market increased by 50%, or $92.4 million, to $279.0 million; commercial and other industrial market revenue increased by 19%, or $28.3 million, to $178.2 million; and revenue from our light rail traction power market increased by 87%, or $19.2 million, to $41.3 million. These increases in revenue were primarily driven by our strategic effort to expand our business into electric utility and commercial and other industrial markets and the improved market conditions in these end markets. Revenue from our petrochemical market decreased by 19%, or $34.4 million, to $151.2 million with the reduction in backlog and bookings in this market and as the business nears completion of the large petrochemical order secured in Fiscal 2023. Revenue from our oil and gas market (excluding petrochemical) decreased by 3%, or $10.6 million, to $406.6 million and revenue from all other markets combined decreased by 6%, or $3.0 million to $48.1 million in Fiscal 2025 due to less project volume. For additional information on the markets we serve, see “Markets” in Part I, Item 1 of this Annual Report.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increased by 19%, or $51.3 million, to $324.4 million in Fiscal 2025. Gross profit as a percentage of revenues increased to 29% in Fiscal 2025 as compared to 27% in Fiscal 2024. This increase in gross profit was primarily driven by higher revenues and improved gross profit margin due to favorable volume leverage and strong project execution in a stable pricing environment throughout Fiscal 2025.</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by 12%, or $10.5 million, to $95.4 million in Fiscal 2025, primarily due to higher compensation expense and costs associated with the acquisition of Remsdaq. Selling, general and administrative expenses as a percentage of revenues increased to 9% in Fiscal 2025, compared to 8% in Fiscal 2024.</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recorded an income tax provision of $52.8 million in Fiscal 2025, resulting in an effective tax rate of 23%, compared to an income tax provision of $46.2 million in Fiscal 2024 at an effective tax rate of 24%. For both Fiscal 2025 and 2024, the effective tax rate was favorably impacted by tax benefits related to the vesting of restricted stock units and the estimated Research and Development Tax Credit, which were offset by state income tax expense and certain non-deductible items. Additionally in Fiscal 2024, these benefits were offset by an income inclusion related to U.S. global intangible income.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Fiscal 2025, we recorded net income of $180.7 million, or $14.86 per diluted share, compared to net income of $149.8 million, or $12.29 per diluted share in Fiscal 2024. The increase in net income was primarily driven by higher revenue and improved gross profit margin in Fiscal 2025.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Backlog</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order backlog, which is our remaining unsatisfied performance obligations, represents the estimated transaction price for goods and services for which we have a material right, but work has not been performed. The order backlog at September 30, 2025 was $1.4 billion, a 3% increase from our $1.3 billion backlog at September 30, 2024. This increase was mainly driven by electric utility, commercial and other industrial and light rail traction power markets, partially offset by a decrease in the petrochemical market. As of September 30, 2025, electric utility and oil and gas (excluding petrochemical) markets each</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9" w:name="page30"/>
    <w:bookmarkEnd w:id="29"/>
    <w:p>
      <w:pPr>
        <w:jc w:val="both"/>
        <w:spacing w:after="0" w:line="282" w:lineRule="auto"/>
        <w:rPr>
          <w:sz w:val="20"/>
          <w:szCs w:val="20"/>
          <w:color w:val="auto"/>
        </w:rPr>
      </w:pPr>
      <w:r>
        <w:rPr>
          <w:rFonts w:ascii="Times New Roman" w:cs="Times New Roman" w:eastAsia="Times New Roman" w:hAnsi="Times New Roman"/>
          <w:sz w:val="18"/>
          <w:szCs w:val="18"/>
          <w:color w:val="auto"/>
        </w:rPr>
        <w:t>accounted for 33% of our backlog, the commercial and other industrial market accounted for 15% and the petrochemical and light rail traction power markets each accounted for 8% of our backlog.</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Bookings, net of cancellations and scope reductions, increased by 9% in Fiscal 2025 to $1.2 billion, compared to $1.1 billion in Fiscal 2024. This increase was primarily driven by improved bookings in oil and gas, electric utility and light rail traction power markets, partially offset by decreased net bookings in the petrochemical market.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current assets exceeded current liabilities by 2.1 times.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Cash, cash equivalents and short-term investments increased to $475.5 million at September 30, 2025, compared to $358.4 million at September 30, 2024. The increase in cash, cash equivalents and short-term investments was primarily driven by our strong earnings, partially offset by working capital commitment, cash paid for the Remsdaq acquisition, capital spending, dividend payments, and cash payments related to shares withheld in lieu of employee tax withholding. We invest our cash, cash equivalents and short-term investments in accordance with the Company’s investment policy approved by the Board of Directors. We believe that our cash, cash equivalents and short-term investments, as well as available borrowings under our U.S. credit facility, will be sufficient to support our ongoing operating activities, dividend payments and future organic and inorganic business growth, as well as research and development initiatives for the next twelve months and beyond.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we assess our capital allocation framework relative to our strategic objectives, we will continue to deploy capital to both organic and inorganic initiatives, as well as maintain a prudent approach to other methods that improve shareholder value. We regularly assess our capital allocation framework. Our current intention is to prioritize our working capital needs, fund research, capital expenditures and other organic growth opportunities, while also returning capital to shareholders and evaluating strategic inorganic opportunities as they arise. Our capital allocation plan depends upon a number of factors, including market conditions, our financial position and capital requirements, financial conditions, competing uses for cash, and other factors.</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October 4, 2023, we entered into a third amendment (the Third Amendment) to our credit agreement with Bank of America, N.A. (as amended, the U.S. Revolver). The Third Amendment which added Texas Capital Bank as Syndication Agent and a lender, increased the amount of the revolving line of credit from $125.0 million to $150.0 million, and extended the expiry date to October 4, 2028. The aggregate commitment of $150.0 million consists of $100.0 million committed by Bank of America and $50.0 million committed by Texas Capital Bank. As amended by the Third Amendment, the lesser of (a) $60 million, (b) 60% of available cash, and (c) the aggregate face amount of the issued but undrawn letters of credit that are not cash-secured shall be deducted from consolidated funded indebtedness, when calculating the consolidated net leverage ratio. We have the option to cash collateralize all or a portion of the letters of credit outstanding, which would favorably impact the consolidated funded indebtedness calculation and the consolidated net leverage ratio. On June 26, 2024, in connection with the expected discontinuation of the publication of the Canadian Dollar Offered Rate (CDOR), we further amended the U.S. Revolver by entering into a Canadian benchmark replacement conforming changes amendment with Bank of America, N.A. that added and amended certain terms related to the replacement of the CDOR as a benchmark rate with the forward-looking term rate based on the Canadian Overnight Repo Rate Average. On September 24, 2024, in connection with the expected discontinuation of the publication of the Bloomberg Short-Term Bank Yield Index Rate as administered by the Bloomberg Index Service Limited (BSBY), we further amended the U.S. Revolver by entering into a conforming changes amendment with Bank of America, N.A. that added and amended certain terms related to the replacement of the BSBY as a benchmark rate with the Secured Overnight Financing Rate as administered by the Federal Reserve Bank of New York. On September 30, 2025, we entered into a fourth amendment to the U.S. Revolver associated with a reorganization of holding companies of our foreign subsidiaries, replacing the prior share pledge on 65% of the equity interests of Powell Industries International, B.V., with the share pledge on 65% of the equity interest of Powell Industries International Limited.</w:t>
      </w:r>
    </w:p>
    <w:p>
      <w:pPr>
        <w:spacing w:after="0" w:line="1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2025, there were no amounts borrowed under the U.S. Revolver, and letters of credit outstanding were $77.5 million. There was $72.5 million available for the issuance of letters of credit and borrowings under the U.S. Revolver as of September 30, 2025. For further information regarding our debt, see Notes G. Long-Term Debt and H. Commitments and Contingencies of Notes to Consolidated Financial Statements.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Approximately $88.9 million of our cash, cash equivalents and short-term investments at September 30, 2025 was held outside of the U.S. for our international operations. It is our intention to indefinitely reinvest all current and future foreign earnings internationally in order to ensure sufficient working capital to support our international operations. In the event that we elect to repatriate some or all of the foreign earnings that were previously deemed to be indefinitely reinvested outside the U.S., we may incur additional tax expense upon such repatriation under current tax laws.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activities provided net cash of $167.9 million during Fiscal 2025 and provided net cash of $108.7 million during Fiscal 2024. Cash flow from operations is primarily influenced by project volume and margins, as well as working capital requirements, the timing of milestone payments from our customers, and payment terms with our suppliers. The increase in operating cash flow was primarily driven by improved earnings and a steady allocation of working capital to projects in the order book.</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Investing activities used $8.3 million of cash during Fiscal 2025 and used $21.9 million of cash in Fiscal 2024. Cash used in investing activities during Fiscal 2025 was primarily attributable to the Remsdaq acquisition and the capital spending on the facility expansion and improvement project at our electrical products facility in Houston. The cash spending was partially offset by net maturities of short-term investments.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fourth quarter of Fiscal 2025, we completed the previously announced business acquisition of Remsdaq for a cash consideration of $10.6 million, net of cash acquired, on the acquisition date, and an additional cash payment of $0.9 million in September 2025, as Remsdaq achieved its financial target. See Note P. Business Acquisition of the Notes to Consolidated Financial Statements for additional information.</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Fiscal 2025, the expansion and improvement project at our electrical products facility in Houston was completed and the incremental capacity has been placed into service.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Fiscal 2024, cash used in investing activities was primarily associated with the net purchase of short-term investments, a cash purchase of land and buildings in Houston, Texas for $5.6 million, and regular capital spending on property, plant and equipment.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$25.1 million during Fiscal 2025 compared to $19.3 million used during Fiscal 2024. The increase in cash used in financing activities was primarily due to cash payments related to shares withheld in lieu of employee tax withholding, largely driven by the significant increase in our share price during Fiscal 2025 compared to Fiscal 2024.</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Planned Capital Spending</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2025, we announced a $12.4 million investment to expand production capacity at our Jacintoport manufacturing facility in Houston, Texas. The investment will add an incremental 335,000 square feet of productive capacity for Power Control Room laydown area, a 62% increase from the current yard capacity. The investment will also double the length of the existing shoreline bulkhead to 1,150 feet to support increased schedule flexibility and multiple ship lanes for the varied needs and project timelines of our customers. The incremental capacity is initially expected to support the Company’s oil and gas customers but can be utilized to support each of our market sectors.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Construction is expected to begin in the first quarter of Fiscal 2026 and is expected to be completed in the second half of Fiscal 2026.</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Commercial Commitments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contingently liable for letters of credit and bank guarantees totaling $81.4 million as of September 30, 2025, with the following potential cash outflows in the event that we are unable to perform under our contracts (in thousands):</w:t>
      </w:r>
    </w:p>
    <w:p>
      <w:pPr>
        <w:sectPr>
          <w:pgSz w:w="11900" w:h="16838" w:orient="portrait"/>
          <w:cols w:equalWidth="0" w:num="1">
            <w:col w:w="11240"/>
          </w:cols>
          <w:pgMar w:left="320" w:top="1211" w:right="339" w:bottom="1440" w:gutter="0" w:footer="0" w:header="0"/>
        </w:sectPr>
      </w:pPr>
    </w:p>
    <w:p>
      <w:pPr>
        <w:spacing w:after="0" w:line="2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Payments Due by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15175"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 than 1 year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 to 3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More than 3 years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commercial commitments</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Letters of</w:t>
      </w:r>
    </w:p>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Credit/ Bank Guarantees</w:t>
      </w:r>
    </w:p>
    <w:p>
      <w:pPr>
        <w:spacing w:after="0" w:line="43" w:lineRule="exact"/>
        <w:rPr>
          <w:sz w:val="20"/>
          <w:szCs w:val="20"/>
          <w:color w:val="auto"/>
        </w:rPr>
      </w:pPr>
    </w:p>
    <w:p>
      <w:pPr>
        <w:ind w:left="1164" w:hanging="1164"/>
        <w:spacing w:after="0"/>
        <w:tabs>
          <w:tab w:leader="none" w:pos="11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38,919</w:t>
      </w:r>
    </w:p>
    <w:p>
      <w:pPr>
        <w:spacing w:after="0" w:line="27" w:lineRule="exact"/>
        <w:rPr>
          <w:rFonts w:ascii="Times New Roman" w:cs="Times New Roman" w:eastAsia="Times New Roman" w:hAnsi="Times New Roman"/>
          <w:sz w:val="18"/>
          <w:szCs w:val="18"/>
          <w:color w:val="auto"/>
        </w:rPr>
      </w:pPr>
    </w:p>
    <w:p>
      <w:pPr>
        <w:ind w:left="11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35,426</w:t>
      </w:r>
    </w:p>
    <w:p>
      <w:pPr>
        <w:spacing w:after="0" w:line="22" w:lineRule="exact"/>
        <w:rPr>
          <w:rFonts w:ascii="Times New Roman" w:cs="Times New Roman" w:eastAsia="Times New Roman" w:hAnsi="Times New Roman"/>
          <w:sz w:val="18"/>
          <w:szCs w:val="18"/>
          <w:color w:val="auto"/>
        </w:rPr>
      </w:pPr>
    </w:p>
    <w:p>
      <w:pPr>
        <w:ind w:left="12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7,099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21590</wp:posOffset>
            </wp:positionV>
            <wp:extent cx="11144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3" w:lineRule="exact"/>
        <w:rPr>
          <w:sz w:val="20"/>
          <w:szCs w:val="20"/>
          <w:color w:val="auto"/>
        </w:rPr>
      </w:pPr>
    </w:p>
    <w:p>
      <w:pPr>
        <w:ind w:left="1164" w:hanging="1164"/>
        <w:spacing w:after="0"/>
        <w:tabs>
          <w:tab w:leader="none" w:pos="11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81,444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11144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1442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11144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8756" w:space="720"/>
            <w:col w:w="1764"/>
          </w:cols>
          <w:pgMar w:left="320" w:top="1211" w:right="339" w:bottom="1440" w:gutter="0" w:footer="0" w:header="0"/>
          <w:type w:val="continuous"/>
        </w:sect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type w:val="continuous"/>
        </w:sectPr>
      </w:pPr>
    </w:p>
    <w:bookmarkStart w:id="31" w:name="page32"/>
    <w:bookmarkEnd w:id="3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also had surety bonds totaling $417.3 million that were outstanding at September 30, 2025. Surety bonds are primarily used to guarantee our contract performance to our customers.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no significant off-balance sheet arrangements during the periods presented.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accounting principles generally accepted in the United States (U.S. GAAP) requires management to make estimates and assumptions that affect the reported amounts of assets and liabilities, disclosures of contingent assets and liabilities known to exist at the date of the consolidated financial statements and the reported amounts of revenues and expenses during the reporting period. We evaluate our estimates on an ongoing basis, based on historical experience and on various other assumptions that are believed to be reasonable under the circumstances. There can be no assurance that actual results will be consistent with those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following accounting estimates to be critical in the preparation and reporting of our consolidated financial statements.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revenues are primarily generated from the manufacturing of custom-engineered products and systems under long-term fixed-price contracts under which we agree to manufacture various products such as traditional and arc-resistant distribution switchgear and control gear, medium-voltage circuit breakers, monitoring and control communications systems, motor control centers, switches and bus duct systems. These products may be sold separately as an engineered solution, but are typically integrated into custom-built enclosures which we also build. These enclosures are referred to as power control room substations (PCRs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custom-engineered modules or electrical houses (E-Houses). Some contracts may also include the installation and commissioning of these enclosures.</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from these contracts is generally recognized over time utilizing the cost-to-cost method. Under the cost-to-cost method, the extent of progress towards completion is measured based on the ratio of costs incurred to date to the total estimated costs at completion of the performance obligation. We believe that this method is the most accurate representation of our performance because it directly measures the value of the services transferred to the customer over time as we incur costs on our contracts. Contract costs include all direct materials, labor and indirect costs related to contract performance, which may include indirect labor, supplies, tools, repairs and depreciation costs.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performance obligation is a promise in a contract or with a customer to transfer a distinct good or service. A contract’s transaction price is allocated to each distinct performance obligation and recognized as revenue as the performance obligations are satisfied. To determine the proper revenue recognition for contracts, we evaluate whether a contract should be accounted for as more than one performance obligation or, less commonly, whether two or more contracts should be combined and accounted for as one performance obligation. This evaluation of performance obligations requires significant judgment. The majority of our contracts have a single performance obligation where multiple engineered products and services are combined into a single custom-engineered solution. Our contracts include a standard one-year assurance warranty. Occasionally, we provide service-type warranties that will extend the warranty period. These extended warranties qualify as separate performance obligations, and revenue is deferred and recognized over the warranty period. If we determine during the evaluation of the contract that there are multiple performance obligations, we allocate the transaction price to each performance obligation using our best estimate of the standalone selling price of each distinct good or service in the contract.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Estimates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Actual revenues and project costs may vary from previous estimates due to changes in a variety of factors. The cost estimation process is based on the professional knowledge and experience of our engineers, project managers and financial professionals. Factors that are considered in estimating the work to be completed and ultimate contract recovery include the availability and productivity of labor, the nature and complexity of the work to be performed, the availability of materials, and the effect of any delays on our project performance. We periodically review our job performance, job conditions, estimated profitability and final contract settlements, including our estimate of total costs and make revisions to costs and income in the period in which the revisions are probable and reasonably estimable. We bear the risk of cost overruns in most of our contracts, which may result in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2" w:name="page33"/>
    <w:bookmarkEnd w:id="32"/>
    <w:p>
      <w:pPr>
        <w:jc w:val="both"/>
        <w:spacing w:after="0" w:line="266" w:lineRule="auto"/>
        <w:rPr>
          <w:sz w:val="20"/>
          <w:szCs w:val="20"/>
          <w:color w:val="auto"/>
        </w:rPr>
      </w:pPr>
      <w:r>
        <w:rPr>
          <w:rFonts w:ascii="Times New Roman" w:cs="Times New Roman" w:eastAsia="Times New Roman" w:hAnsi="Times New Roman"/>
          <w:sz w:val="18"/>
          <w:szCs w:val="18"/>
          <w:color w:val="auto"/>
        </w:rPr>
        <w:t>reduced profits. Whenever revisions of estimated contract costs and contract values indicate that the contract costs will exceed estimated revenues, thus creating a loss, a provision for the total estimated loss is recorded in that period. See Note E. Revenue of the Notes to Consolidated Financial Statements for disclosures related to changes in contract estimates.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Consideration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common for our long-term contracts to contain variable consideration that can either increase or decrease the transaction price. Due to the nature of our contracts, estimating total cost and revenue can be complex and subject to variability due to change orders, back charges, spare parts, early completion bonuses, customer allowances and liquidated damages. We estimate the amount of variable consideration based on the expected value method, which is the sum of the probability-weighted amounts, or the most likely amount method, which uses various factors including experience with similar transactions and assessment of our anticipated performance. Variable consideration is included in the transaction price if legally enforceable and to the extent it is probable that a significant reversal of cumulative revenue recognized will not occur once the uncertainty associated with the variable consideration is resolved.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Modifications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Contracts may be modified for changes in contract specifications and requirements. We consider contract modifications to exist when the modification either creates new or changes the enforceable rights and obligations under the contract. Most of our contract modifications are for goods and services that are not distinct from the existing performance obligation. Contract modifications result in a cumulative catch-up adjustment to revenue based on our measure of progress for the performance obligation.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review long-lived assets for impairment whenever events or changes in circumstances indicate that the carrying value may not be realizable. If an evaluation is required, the estimated future undiscounted cash flows associated with the asset are compared to the asset’s carrying amount to determine if recording an impairment of such asset is necessary. This requires us to make long-term forecasts of the future revenues and costs related to the assets subject to review. Forecasts require assumptions about demand for our products and future market conditions. Estimating future cash flows requires significant judgment, and our projections may vary from cash flows eventually realized. Future events and unanticipated changes to assumptions could require a provision for impairment in a future period. The effect of any impairment would be reflected in operating income in the Consolidated Statements of Operations. In addition, we estimate the useful lives of our long-lived assets and other intangibles, and periodically review these estimates to determine whether these lives are appropriate.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Accruals for Contingent Liabilities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contingencies such as insurance-related claims, liquidated damages and legal claims arise in the normal course of business. Pursuant to applicable accounting standards, we must evaluate such contingencies to subjectively determine the likelihood that an asset has been impaired, or a liability has been incurred at the date of the financial statements, as well as evaluate whether the amount of the loss can be reasonably estimated. If the likelihood is determined to be probable, and it can be reasonably estimated, the estimated loss is recorded. The amounts we record for contingent liabilities require judgments regarding the amount of expenses that will ultimately be incurred. We use past experience and history, as well as the specific circumstances surrounding each contingent liability, including estimated legal costs, in evaluating the amount of liability that should be recorded. Actual results could differ from our estimates.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Costs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Estimated costs of warranties are accrued based on historical warranty claim costs in relation to current revenues. In addition, specific provisions are made when product failures are projected outside historical experience. Our standard terms and conditions of sale include a warranty for parts and service for one year. Occasionally, we provide service-type warranties that will extend the warranty period. Actual results could differ from our estimate.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Projects may require, on occasion, warranty terms that are longer than our standard terms due to the nature of the project. Extended warranty terms may be negotiated and included in our contracts. The allocated revenue associated with the extended warranty is deferred and recorded as a contract liability and recognized as revenue over the extended warranty period.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Income Taxes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based on the income tax laws and rates in the countries in which operations are conducted, and income is earned. This approach requires the recognition of deferred tax assets and liabilities for the expected future tax consequences of temporary differences between the carrying amounts and the tax basis of assets and liabilities. Developing our provision for income taxes requires significant judgment and expertise in federal, international and state income tax laws, regulations and strategies, including the determination of deferred tax assets and liabilities and, if necessary, any valuation allowances that may be required for deferred tax assets. In assessing the extent to which net deferred tax assets may be realized, we consider whether it is more likely than not that some portion or all of the net deferred tax assets may not be realized. The ultimate realization of net deferred tax assets is dependent on the generation of future taxable income during the periods in which those temporary differences become deductible. Estimates may change as new events occur, estimates of future taxable income during the carryforward period are reduced or increased, additional information becomes available, or operating environments change, which may result in a full or partial reversal of the valuation allowance. We will continue to assess the adequacy of the valuation allowance on a quarterly basis. Our judgments and tax strategies are subject to audit by various taxing authorities.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objectives of accounting for income taxes are to recognize the amount of taxes payable or refundable for the current year and deferred tax liabilities and assets for the future tax consequences of events that have been recognized in an entity’s financial statements or tax returns. 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Accounting literature also provides guidance on derecognition of income tax assets and liabilities, classification of current and deferred income tax assets and liabilities, accounting for interest and penalties associated with tax positions, and income tax disclosures. Judgment is required in assessing the future tax consequences of events that have been recognized in our financial statements or tax returns. Variations in the actual outcome of these future tax consequences could materially impact our financial position and results of operations.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I. Income Taxes of the Notes to Consolidated Financial Statements for disclosures related to the valuation allowance recorded in relation to deferred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certain market risks arising from transactions we have entered into in the normal course of business. These risks primarily relate to fluctuations in commodity prices, foreign currency transactions and interest rates.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2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are subject to market risk from fluctuating market prices of certain raw materials used in our products. While such materials are typically available from numerous suppliers, commodity raw materials are subject to price fluctuations. We attempt to pass along such commodity price increases to our customers on a contract-by-contract basis to avoid a negative effect on our gross margin. We enter into derivative contracts to hedge a portion of our exposure to commodity price risk. These contracts were immaterial to our earnings and cash flows for Fiscal 2025, 2024 and 2023. In the future, we may enter into additional derivative contracts to further hedge our exposure to commodity price risk. Even though we continue to experience price volatility with some of our key raw materials and components, with the consideration of our hedging strategy, we believe our exposure to commodity price risk is minimal.</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Transaction Risk</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foreign operations that expose us to foreign currency exchange rate risk in the British Pound Sterling, the Canadian Dollar and to a lesser extent the Singapore Dollar and the Euro, among others. Amounts invested in our foreign operations are translated into U.S. Dollars at the exchange rates in effect at the balance sheet date. The resulting translation adjustments are recorded as accumulated other comprehensive loss, a component of stockholders’ equity in our Consolidated Balance Sheets. We believe the exposure to the effects that fluctuating foreign currencies have on our consolidated results of operations is limited because the foreign operations primarily invoice customers and collect payments in their respective local currencies or U.S. Dollars. Additionally, expenses associated with these transactions are generally contracted and paid for in the same local currencies. Our realized foreign exchange loss was $0.3 million and $0.8 million, respectively for Fiscal 2025 and Fiscal 2024. These losses were included in selling, general and administrative expenses in our Consolidated Statements of Operations. From time to time, our foreign subsidiaries may enter into foreign exchange forward contracts to hedge their foreign currency exposures, if any. These contracts were insignificant to our earnings and cash flows for Fiscal 2025, 2024 and 2023. We do not typically hedge our exposure to potential foreign currency translation adjustments.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accumulated other comprehensive loss, which is included as a component of stockholders’ equity, was $27.0 million as of September 30, 2025, an increase of $2.7 million compared to September 30, 2024. This increase in comprehensive loss was primarily a result of fluctuations in the currency exchange rates for the Canadian Dollar and British Pound Sterling as we re-measured the foreign operations of those divisions.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borrow under our U.S. Revolver, we will be subject to market risk resulting from changes in interest rates related to our floating rate bank credit facility. Because we did not have any outstanding borrowings under our U.S. Revolver as of both September 30, 2025 and 2024, we have not experienced any significant interest rate risk for each of the periods presented in our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058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tc>
        <w:tc>
          <w:tcPr>
            <w:tcW w:w="64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2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04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4"/>
        </w:trPr>
        <w:tc>
          <w:tcPr>
            <w:tcW w:w="20" w:type="dxa"/>
            <w:vAlign w:val="bottom"/>
          </w:tcPr>
          <w:p>
            <w:pPr>
              <w:spacing w:after="0"/>
              <w:rPr>
                <w:sz w:val="16"/>
                <w:szCs w:val="16"/>
                <w:color w:val="auto"/>
              </w:rPr>
            </w:pPr>
          </w:p>
        </w:tc>
        <w:tc>
          <w:tcPr>
            <w:tcW w:w="1058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(PCAOB ID </w:t>
            </w:r>
            <w:r>
              <w:rPr>
                <w:rFonts w:ascii="Times New Roman" w:cs="Times New Roman" w:eastAsia="Times New Roman" w:hAnsi="Times New Roman"/>
                <w:sz w:val="18"/>
                <w:szCs w:val="18"/>
                <w:color w:val="000000"/>
              </w:rPr>
              <w:t>238</w:t>
            </w:r>
            <w:r>
              <w:rPr>
                <w:rFonts w:ascii="Times New Roman" w:cs="Times New Roman" w:eastAsia="Times New Roman" w:hAnsi="Times New Roman"/>
                <w:sz w:val="18"/>
                <w:szCs w:val="18"/>
                <w:u w:val="single" w:color="auto"/>
                <w:color w:val="0000FF"/>
              </w:rPr>
              <w:t>)</w:t>
            </w:r>
          </w:p>
        </w:tc>
        <w:tc>
          <w:tcPr>
            <w:tcW w:w="600" w:type="dxa"/>
            <w:vAlign w:val="bottom"/>
            <w:gridSpan w:val="3"/>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rPr>
              <w:t>36</w:t>
            </w:r>
          </w:p>
        </w:tc>
        <w:tc>
          <w:tcPr>
            <w:tcW w:w="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Consolidated Balance Sheets as of September 30, 2025 and 2024</w:t>
            </w:r>
          </w:p>
        </w:tc>
        <w:tc>
          <w:tcPr>
            <w:tcW w:w="5380" w:type="dxa"/>
            <w:vAlign w:val="bottom"/>
            <w:gridSpan w:val="5"/>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39</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Years Ended September 30, 2025, 2024 and 2023</w:t>
            </w:r>
          </w:p>
        </w:tc>
        <w:tc>
          <w:tcPr>
            <w:tcW w:w="3640" w:type="dxa"/>
            <w:vAlign w:val="bottom"/>
            <w:gridSpan w:val="4"/>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40</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5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for the Years Ended September 30, 2025, 2024 and 2023</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41</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for the Years Ended September 30, 2025, 2024 and 2023</w:t>
            </w:r>
          </w:p>
        </w:tc>
        <w:tc>
          <w:tcPr>
            <w:tcW w:w="180" w:type="dxa"/>
            <w:vAlign w:val="bottom"/>
          </w:tcPr>
          <w:p>
            <w:pPr>
              <w:spacing w:after="0"/>
              <w:rPr>
                <w:sz w:val="18"/>
                <w:szCs w:val="18"/>
                <w:color w:val="auto"/>
              </w:rPr>
            </w:pPr>
          </w:p>
        </w:tc>
        <w:tc>
          <w:tcPr>
            <w:tcW w:w="272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42</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3780" w:type="dxa"/>
            <w:vAlign w:val="bottom"/>
            <w:gridSpan w:val="3"/>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Consolidated Statements of Cash Flows for the Years Ended September 30, 2025, 2024 and 2023</w:t>
            </w:r>
          </w:p>
        </w:tc>
        <w:tc>
          <w:tcPr>
            <w:tcW w:w="740" w:type="dxa"/>
            <w:vAlign w:val="bottom"/>
          </w:tcPr>
          <w:p>
            <w:pPr>
              <w:spacing w:after="0"/>
              <w:rPr>
                <w:sz w:val="18"/>
                <w:szCs w:val="18"/>
                <w:color w:val="auto"/>
              </w:rPr>
            </w:pPr>
          </w:p>
        </w:tc>
        <w:tc>
          <w:tcPr>
            <w:tcW w:w="2900" w:type="dxa"/>
            <w:vAlign w:val="bottom"/>
            <w:gridSpan w:val="3"/>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43</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780" w:type="dxa"/>
            <w:vAlign w:val="bottom"/>
            <w:gridSpan w:val="3"/>
          </w:tcPr>
          <w:p>
            <w:pPr>
              <w:spacing w:after="0"/>
              <w:rPr>
                <w:sz w:val="18"/>
                <w:szCs w:val="18"/>
                <w:color w:val="auto"/>
              </w:rPr>
            </w:pPr>
          </w:p>
        </w:tc>
        <w:tc>
          <w:tcPr>
            <w:tcW w:w="3640" w:type="dxa"/>
            <w:vAlign w:val="bottom"/>
            <w:gridSpan w:val="4"/>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44</w:t>
            </w:r>
          </w:p>
        </w:tc>
        <w:tc>
          <w:tcPr>
            <w:tcW w:w="40" w:type="dxa"/>
            <w:vAlign w:val="bottom"/>
          </w:tcPr>
          <w:p>
            <w:pPr>
              <w:spacing w:after="0"/>
              <w:rPr>
                <w:sz w:val="18"/>
                <w:szCs w:val="18"/>
                <w:color w:val="auto"/>
              </w:rPr>
            </w:pPr>
          </w:p>
        </w:tc>
      </w:tr>
      <w:tr>
        <w:trPr>
          <w:trHeight w:val="871"/>
        </w:trPr>
        <w:tc>
          <w:tcPr>
            <w:tcW w:w="20" w:type="dxa"/>
            <w:vAlign w:val="bottom"/>
          </w:tcPr>
          <w:p>
            <w:pPr>
              <w:spacing w:after="0"/>
              <w:rPr>
                <w:sz w:val="24"/>
                <w:szCs w:val="24"/>
                <w:color w:val="auto"/>
              </w:rPr>
            </w:pPr>
          </w:p>
        </w:tc>
        <w:tc>
          <w:tcPr>
            <w:tcW w:w="3160" w:type="dxa"/>
            <w:vAlign w:val="bottom"/>
            <w:tcBorders>
              <w:top w:val="single" w:sz="8" w:color="0000FF"/>
            </w:tcBorders>
          </w:tcPr>
          <w:p>
            <w:pPr>
              <w:spacing w:after="0"/>
              <w:rPr>
                <w:sz w:val="24"/>
                <w:szCs w:val="24"/>
                <w:color w:val="auto"/>
              </w:rPr>
            </w:pPr>
          </w:p>
        </w:tc>
        <w:tc>
          <w:tcPr>
            <w:tcW w:w="3780" w:type="dxa"/>
            <w:vAlign w:val="bottom"/>
            <w:gridSpan w:val="3"/>
          </w:tcPr>
          <w:p>
            <w:pPr>
              <w:jc w:val="right"/>
              <w:ind w:right="1240"/>
              <w:spacing w:after="0"/>
              <w:rPr>
                <w:sz w:val="20"/>
                <w:szCs w:val="20"/>
                <w:color w:val="auto"/>
              </w:rPr>
            </w:pPr>
            <w:r>
              <w:rPr>
                <w:rFonts w:ascii="Times New Roman" w:cs="Times New Roman" w:eastAsia="Times New Roman" w:hAnsi="Times New Roman"/>
                <w:sz w:val="18"/>
                <w:szCs w:val="18"/>
                <w:color w:val="auto"/>
              </w:rPr>
              <w:t>35</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6" w:name="page37"/>
    <w:bookmarkEnd w:id="36"/>
    <w:p>
      <w:pPr>
        <w:jc w:val="center"/>
        <w:ind w:right="-19"/>
        <w:spacing w:after="0"/>
        <w:rPr>
          <w:sz w:val="20"/>
          <w:szCs w:val="20"/>
          <w:color w:val="auto"/>
        </w:rPr>
      </w:pPr>
      <w:r>
        <w:rPr>
          <w:rFonts w:ascii="Georgia" w:cs="Georgia" w:eastAsia="Georgia" w:hAnsi="Georgia"/>
          <w:sz w:val="20"/>
          <w:szCs w:val="20"/>
          <w:b w:val="1"/>
          <w:bCs w:val="1"/>
          <w:color w:val="auto"/>
        </w:rPr>
        <w:t>Report of Independent Registered Public Accounting Firm</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Georgia" w:cs="Georgia" w:eastAsia="Georgia" w:hAnsi="Georgia"/>
          <w:sz w:val="20"/>
          <w:szCs w:val="20"/>
          <w:color w:val="auto"/>
        </w:rPr>
        <w:t>To the Board of Directors and Stockholders of Powell Industries Inc.</w:t>
      </w:r>
    </w:p>
    <w:p>
      <w:pPr>
        <w:spacing w:after="0" w:line="232"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auto"/>
        </w:rPr>
        <w:t>Opinions on the Financial Statements and Internal Control over Financial Reporting</w:t>
      </w:r>
    </w:p>
    <w:p>
      <w:pPr>
        <w:spacing w:after="0" w:line="249" w:lineRule="exact"/>
        <w:rPr>
          <w:sz w:val="20"/>
          <w:szCs w:val="20"/>
          <w:color w:val="auto"/>
        </w:rPr>
      </w:pPr>
    </w:p>
    <w:p>
      <w:pPr>
        <w:spacing w:after="0" w:line="234" w:lineRule="auto"/>
        <w:rPr>
          <w:sz w:val="20"/>
          <w:szCs w:val="20"/>
          <w:color w:val="auto"/>
        </w:rPr>
      </w:pPr>
      <w:r>
        <w:rPr>
          <w:rFonts w:ascii="Georgia" w:cs="Georgia" w:eastAsia="Georgia" w:hAnsi="Georgia"/>
          <w:sz w:val="20"/>
          <w:szCs w:val="20"/>
          <w:color w:val="auto"/>
        </w:rPr>
        <w:t xml:space="preserve">We have audited the accompanying consolidated balance sheets of Powell Industries Inc. and its subsidiaries (the "Company") as of September 30, 2025 and 2024, and the related consolidated statements of operations, of comprehensive income, of shareholders' equity and of cash flows for each of the three years in the period ended September 30, 2025, including the related notes (collectively referred to as the "consolidated financial statements"). We also have audited the Company's internal control over financial reporting as of September 30, 2025, based on criteria established in </w:t>
      </w:r>
      <w:r>
        <w:rPr>
          <w:rFonts w:ascii="Georgia" w:cs="Georgia" w:eastAsia="Georgia" w:hAnsi="Georgia"/>
          <w:sz w:val="20"/>
          <w:szCs w:val="20"/>
          <w:i w:val="1"/>
          <w:iCs w:val="1"/>
          <w:color w:val="auto"/>
        </w:rPr>
        <w:t>Internal Control - Integrated Framework</w:t>
      </w:r>
      <w:r>
        <w:rPr>
          <w:rFonts w:ascii="Georgia" w:cs="Georgia" w:eastAsia="Georgia" w:hAnsi="Georgia"/>
          <w:sz w:val="20"/>
          <w:szCs w:val="20"/>
          <w:color w:val="auto"/>
        </w:rPr>
        <w:t xml:space="preserve"> (2013) issued by the Committee of Sponsoring Organizations of the Treadway Commission (COSO).</w:t>
      </w:r>
    </w:p>
    <w:p>
      <w:pPr>
        <w:spacing w:after="0" w:line="237" w:lineRule="exact"/>
        <w:rPr>
          <w:sz w:val="20"/>
          <w:szCs w:val="20"/>
          <w:color w:val="auto"/>
        </w:rPr>
      </w:pPr>
    </w:p>
    <w:p>
      <w:pPr>
        <w:ind w:right="60"/>
        <w:spacing w:after="0" w:line="234" w:lineRule="auto"/>
        <w:rPr>
          <w:sz w:val="20"/>
          <w:szCs w:val="20"/>
          <w:color w:val="auto"/>
        </w:rPr>
      </w:pPr>
      <w:r>
        <w:rPr>
          <w:rFonts w:ascii="Georgia" w:cs="Georgia" w:eastAsia="Georgia" w:hAnsi="Georgia"/>
          <w:sz w:val="20"/>
          <w:szCs w:val="20"/>
          <w:color w:val="auto"/>
        </w:rPr>
        <w:t xml:space="preserve">In our opinion, the consolidated financial statements referred to above present fairly, in all material respects, the financial position of the Company as of September 30, 2025 and 2024, and the results of its operations and its cash flows for each of the three years in the period ended September 30, 2025 in conformity with accounting principles generally accepted in the United States of America. Also in our opinion, the Company maintained, in all material respects, effective internal control over financial reporting as of September 30, 2025, based on criteria established in </w:t>
      </w:r>
      <w:r>
        <w:rPr>
          <w:rFonts w:ascii="Georgia" w:cs="Georgia" w:eastAsia="Georgia" w:hAnsi="Georgia"/>
          <w:sz w:val="20"/>
          <w:szCs w:val="20"/>
          <w:i w:val="1"/>
          <w:iCs w:val="1"/>
          <w:color w:val="auto"/>
        </w:rPr>
        <w:t>Internal Control - Integrated Framework</w:t>
      </w:r>
      <w:r>
        <w:rPr>
          <w:rFonts w:ascii="Georgia" w:cs="Georgia" w:eastAsia="Georgia" w:hAnsi="Georgia"/>
          <w:sz w:val="20"/>
          <w:szCs w:val="20"/>
          <w:color w:val="auto"/>
        </w:rPr>
        <w:t xml:space="preserve"> (2013) issued by the COSO.</w:t>
      </w:r>
    </w:p>
    <w:p>
      <w:pPr>
        <w:spacing w:after="0" w:line="246"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auto"/>
        </w:rPr>
        <w:t>Basis for Opinions</w:t>
      </w:r>
    </w:p>
    <w:p>
      <w:pPr>
        <w:spacing w:after="0" w:line="236" w:lineRule="exact"/>
        <w:rPr>
          <w:sz w:val="20"/>
          <w:szCs w:val="20"/>
          <w:color w:val="auto"/>
        </w:rPr>
      </w:pPr>
    </w:p>
    <w:p>
      <w:pPr>
        <w:ind w:right="20"/>
        <w:spacing w:after="0" w:line="235" w:lineRule="auto"/>
        <w:rPr>
          <w:sz w:val="20"/>
          <w:szCs w:val="20"/>
          <w:color w:val="auto"/>
        </w:rPr>
      </w:pPr>
      <w:r>
        <w:rPr>
          <w:rFonts w:ascii="Georgia" w:cs="Georgia" w:eastAsia="Georgia" w:hAnsi="Georgia"/>
          <w:sz w:val="20"/>
          <w:szCs w:val="20"/>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38" w:lineRule="exact"/>
        <w:rPr>
          <w:sz w:val="20"/>
          <w:szCs w:val="20"/>
          <w:color w:val="auto"/>
        </w:rPr>
      </w:pPr>
    </w:p>
    <w:p>
      <w:pPr>
        <w:ind w:right="60"/>
        <w:spacing w:after="0" w:line="233" w:lineRule="auto"/>
        <w:rPr>
          <w:sz w:val="20"/>
          <w:szCs w:val="20"/>
          <w:color w:val="auto"/>
        </w:rPr>
      </w:pPr>
      <w:r>
        <w:rPr>
          <w:rFonts w:ascii="Georgia" w:cs="Georgia" w:eastAsia="Georgia" w:hAnsi="Georgia"/>
          <w:sz w:val="20"/>
          <w:szCs w:val="20"/>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52" w:lineRule="exact"/>
        <w:rPr>
          <w:sz w:val="20"/>
          <w:szCs w:val="20"/>
          <w:color w:val="auto"/>
        </w:rPr>
      </w:pPr>
    </w:p>
    <w:p>
      <w:pPr>
        <w:ind w:right="80"/>
        <w:spacing w:after="0" w:line="233" w:lineRule="auto"/>
        <w:rPr>
          <w:sz w:val="20"/>
          <w:szCs w:val="20"/>
          <w:color w:val="auto"/>
        </w:rPr>
      </w:pPr>
      <w:r>
        <w:rPr>
          <w:rFonts w:ascii="Georgia" w:cs="Georgia" w:eastAsia="Georgia" w:hAnsi="Georgia"/>
          <w:sz w:val="20"/>
          <w:szCs w:val="20"/>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2" w:right="339" w:bottom="1440" w:gutter="0" w:footer="0" w:header="0"/>
        </w:sectPr>
      </w:pPr>
    </w:p>
    <w:bookmarkStart w:id="37" w:name="page38"/>
    <w:bookmarkEnd w:id="37"/>
    <w:p>
      <w:pPr>
        <w:spacing w:after="0"/>
        <w:rPr>
          <w:sz w:val="20"/>
          <w:szCs w:val="20"/>
          <w:color w:val="auto"/>
        </w:rPr>
      </w:pPr>
      <w:r>
        <w:rPr>
          <w:rFonts w:ascii="Georgia" w:cs="Georgia" w:eastAsia="Georgia" w:hAnsi="Georgia"/>
          <w:sz w:val="20"/>
          <w:szCs w:val="20"/>
          <w:b w:val="1"/>
          <w:bCs w:val="1"/>
          <w:i w:val="1"/>
          <w:iCs w:val="1"/>
          <w:color w:val="auto"/>
        </w:rPr>
        <w:t>Definition and Limitations of Internal Control over Financial Reporting</w:t>
      </w:r>
    </w:p>
    <w:p>
      <w:pPr>
        <w:spacing w:after="0" w:line="236" w:lineRule="exact"/>
        <w:rPr>
          <w:sz w:val="20"/>
          <w:szCs w:val="20"/>
          <w:color w:val="auto"/>
        </w:rPr>
      </w:pPr>
    </w:p>
    <w:p>
      <w:pPr>
        <w:spacing w:after="0" w:line="250" w:lineRule="auto"/>
        <w:rPr>
          <w:sz w:val="20"/>
          <w:szCs w:val="20"/>
          <w:color w:val="auto"/>
        </w:rPr>
      </w:pPr>
      <w:r>
        <w:rPr>
          <w:rFonts w:ascii="Georgia" w:cs="Georgia" w:eastAsia="Georgia" w:hAnsi="Georgia"/>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ind w:right="40" w:firstLine="8"/>
        <w:spacing w:after="0" w:line="234" w:lineRule="auto"/>
        <w:tabs>
          <w:tab w:leader="none" w:pos="254" w:val="left"/>
        </w:tabs>
        <w:numPr>
          <w:ilvl w:val="0"/>
          <w:numId w:val="6"/>
        </w:numPr>
        <w:rPr>
          <w:rFonts w:ascii="Georgia" w:cs="Georgia" w:eastAsia="Georgia" w:hAnsi="Georgia"/>
          <w:sz w:val="20"/>
          <w:szCs w:val="20"/>
          <w:color w:val="auto"/>
        </w:rPr>
      </w:pPr>
      <w:r>
        <w:rPr>
          <w:rFonts w:ascii="Georgia" w:cs="Georgia" w:eastAsia="Georgia" w:hAnsi="Georgia"/>
          <w:sz w:val="20"/>
          <w:szCs w:val="20"/>
          <w:color w:val="auto"/>
        </w:rPr>
        <w:t>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37" w:lineRule="exact"/>
        <w:rPr>
          <w:sz w:val="20"/>
          <w:szCs w:val="20"/>
          <w:color w:val="auto"/>
        </w:rPr>
      </w:pPr>
    </w:p>
    <w:p>
      <w:pPr>
        <w:jc w:val="both"/>
        <w:ind w:right="520"/>
        <w:spacing w:after="0" w:line="251" w:lineRule="auto"/>
        <w:rPr>
          <w:sz w:val="20"/>
          <w:szCs w:val="20"/>
          <w:color w:val="auto"/>
        </w:rPr>
      </w:pPr>
      <w:r>
        <w:rPr>
          <w:rFonts w:ascii="Georgia" w:cs="Georgia" w:eastAsia="Georgia" w:hAnsi="Georgia"/>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3"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auto"/>
        </w:rPr>
        <w:t>Critical Audit Matters</w:t>
      </w:r>
    </w:p>
    <w:p>
      <w:pPr>
        <w:spacing w:after="0" w:line="249" w:lineRule="exact"/>
        <w:rPr>
          <w:sz w:val="20"/>
          <w:szCs w:val="20"/>
          <w:color w:val="auto"/>
        </w:rPr>
      </w:pPr>
    </w:p>
    <w:p>
      <w:pPr>
        <w:ind w:right="180"/>
        <w:spacing w:after="0" w:line="234" w:lineRule="auto"/>
        <w:rPr>
          <w:sz w:val="20"/>
          <w:szCs w:val="20"/>
          <w:color w:val="auto"/>
        </w:rPr>
      </w:pPr>
      <w:r>
        <w:rPr>
          <w:rFonts w:ascii="Georgia" w:cs="Georgia" w:eastAsia="Georgia" w:hAnsi="Georgia"/>
          <w:sz w:val="20"/>
          <w:szCs w:val="20"/>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33"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auto"/>
        </w:rPr>
        <w:t>Revenue Recognition - Long-term fixed price contracts</w:t>
      </w:r>
    </w:p>
    <w:p>
      <w:pPr>
        <w:spacing w:after="0" w:line="249" w:lineRule="exact"/>
        <w:rPr>
          <w:sz w:val="20"/>
          <w:szCs w:val="20"/>
          <w:color w:val="auto"/>
        </w:rPr>
      </w:pPr>
    </w:p>
    <w:p>
      <w:pPr>
        <w:ind w:right="100"/>
        <w:spacing w:after="0" w:line="233" w:lineRule="auto"/>
        <w:rPr>
          <w:sz w:val="20"/>
          <w:szCs w:val="20"/>
          <w:color w:val="auto"/>
        </w:rPr>
      </w:pPr>
      <w:r>
        <w:rPr>
          <w:rFonts w:ascii="Georgia" w:cs="Georgia" w:eastAsia="Georgia" w:hAnsi="Georgia"/>
          <w:sz w:val="20"/>
          <w:szCs w:val="20"/>
          <w:color w:val="auto"/>
        </w:rPr>
        <w:t>As described in Notes B and E to the consolidated financial statements, approximately 96% of the Company’s total revenue of $1,104 million for the year ended September 30, 2025 was generated from the manufacturing of custom-engineered products and systems under long-term fixed-price contracts. Revenue from these contracts is generally recognized over time utilizing the cost-to-cost method to measure the extent of progress toward the completion of the performance obligation and the recognition of revenue over time. Management believes that this method is the most accurate representation of performance, because it directly measures the value of the services transferred to the customer over time as costs are incurred on the contracts. Contract costs include all direct materials, labor, and indirect costs related to contract performance, which may include indirect labor, supplies, tools, repairs and depreciation costs. Under the cost-to-cost method, the extent of progress towards completion is measured based on the ratio of costs incurred to date to the total estimated costs at completion of the performance obligation. Due to the nature of the contracts, estimating total cost and revenue can be complex and subject to variability due to change orders, back charges, spare parts, early completion bonuses, customer allowances and liquidated damages. Management estimates the amount of variable consideration based on the expected value method, which is the sum of the probability-weighted amount, or the most likely amount method which uses various factors including experience with similar transactions and assessment of anticipated performance.</w:t>
      </w:r>
    </w:p>
    <w:p>
      <w:pPr>
        <w:spacing w:after="0" w:line="259" w:lineRule="exact"/>
        <w:rPr>
          <w:sz w:val="20"/>
          <w:szCs w:val="20"/>
          <w:color w:val="auto"/>
        </w:rPr>
      </w:pPr>
    </w:p>
    <w:p>
      <w:pPr>
        <w:ind w:right="320"/>
        <w:spacing w:after="0" w:line="232" w:lineRule="auto"/>
        <w:rPr>
          <w:sz w:val="20"/>
          <w:szCs w:val="20"/>
          <w:color w:val="auto"/>
        </w:rPr>
      </w:pPr>
      <w:r>
        <w:rPr>
          <w:rFonts w:ascii="Georgia" w:cs="Georgia" w:eastAsia="Georgia" w:hAnsi="Georgia"/>
          <w:sz w:val="20"/>
          <w:szCs w:val="20"/>
          <w:color w:val="auto"/>
        </w:rPr>
        <w:t>The principal considerations for our determination that performing procedures relating to revenue recognized over time utilizing the cost-to-cost method is a critical audit matter are the significant judgment by management when determining the estimated total cost and revenue, which in turn led to a high degree of auditor judgment, subjectivity and effort in performing procedures and in evaluating management’s judgment about assumptions related to the estimates of costs to complete and liquidated damages.</w:t>
      </w:r>
    </w:p>
    <w:p>
      <w:pPr>
        <w:spacing w:after="0" w:line="252" w:lineRule="exact"/>
        <w:rPr>
          <w:sz w:val="20"/>
          <w:szCs w:val="20"/>
          <w:color w:val="auto"/>
        </w:rPr>
      </w:pPr>
    </w:p>
    <w:p>
      <w:pPr>
        <w:ind w:right="160"/>
        <w:spacing w:after="0"/>
        <w:rPr>
          <w:sz w:val="20"/>
          <w:szCs w:val="20"/>
          <w:color w:val="auto"/>
        </w:rPr>
      </w:pPr>
      <w:r>
        <w:rPr>
          <w:rFonts w:ascii="Georgia" w:cs="Georgia" w:eastAsia="Georgia" w:hAnsi="Georgia"/>
          <w:sz w:val="20"/>
          <w:szCs w:val="20"/>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8" w:name="page39"/>
    <w:bookmarkEnd w:id="38"/>
    <w:p>
      <w:pPr>
        <w:spacing w:after="0"/>
        <w:rPr>
          <w:sz w:val="20"/>
          <w:szCs w:val="20"/>
          <w:color w:val="auto"/>
        </w:rPr>
      </w:pPr>
      <w:r>
        <w:rPr>
          <w:rFonts w:ascii="Georgia" w:cs="Georgia" w:eastAsia="Georgia" w:hAnsi="Georgia"/>
          <w:sz w:val="20"/>
          <w:szCs w:val="20"/>
          <w:color w:val="auto"/>
        </w:rPr>
        <w:t>determination of total estimated costs at completion of the performance obligation and determination of total contract price. These procedures also included, among others, evaluating and testing management’s process for determining the estimated total cost and revenue for a sample of contracts, which included (i) obtaining executed purchase orders and agreements, (ii) evaluating the appropriateness of the method to measure estimated total cost and revenue, (iii) testing the completeness and accuracy of the underlying data used by management, and (iv) evaluating the reasonableness of significant assumptions related to the total estimated costs at completion and liquidated damages used by management and considering the factors that can affect the accuracy of those estimates. Evaluating the reasonableness of significant assumptions related to estimated total cost involved assessing management’s ability to reasonably estimate total costs to complete and liquidated damages by testing management’s process to evaluate the remaining costs related to the performance obligation and evaluating the timely identification of circumstances which may warrant a modification to the total estimated costs or liquidated damages.</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Georgia" w:cs="Georgia" w:eastAsia="Georgia" w:hAnsi="Georgia"/>
          <w:sz w:val="20"/>
          <w:szCs w:val="20"/>
          <w:color w:val="auto"/>
        </w:rPr>
        <w:t>/s/ PricewaterhouseCoopers LLP</w:t>
      </w:r>
    </w:p>
    <w:p>
      <w:pPr>
        <w:spacing w:after="0" w:line="228" w:lineRule="auto"/>
        <w:rPr>
          <w:sz w:val="20"/>
          <w:szCs w:val="20"/>
          <w:color w:val="auto"/>
        </w:rPr>
      </w:pPr>
      <w:r>
        <w:rPr>
          <w:rFonts w:ascii="Georgia" w:cs="Georgia" w:eastAsia="Georgia" w:hAnsi="Georgia"/>
          <w:sz w:val="20"/>
          <w:szCs w:val="20"/>
          <w:color w:val="auto"/>
        </w:rPr>
        <w:t>Houston, Texas</w:t>
      </w:r>
    </w:p>
    <w:p>
      <w:pPr>
        <w:spacing w:after="0" w:line="236" w:lineRule="auto"/>
        <w:rPr>
          <w:sz w:val="20"/>
          <w:szCs w:val="20"/>
          <w:color w:val="auto"/>
        </w:rPr>
      </w:pPr>
      <w:r>
        <w:rPr>
          <w:rFonts w:ascii="Georgia" w:cs="Georgia" w:eastAsia="Georgia" w:hAnsi="Georgia"/>
          <w:sz w:val="20"/>
          <w:szCs w:val="20"/>
          <w:color w:val="auto"/>
        </w:rPr>
        <w:t>November 19, 2025</w:t>
      </w:r>
    </w:p>
    <w:p>
      <w:pPr>
        <w:spacing w:after="0" w:line="245" w:lineRule="exact"/>
        <w:rPr>
          <w:sz w:val="20"/>
          <w:szCs w:val="20"/>
          <w:color w:val="auto"/>
        </w:rPr>
      </w:pPr>
    </w:p>
    <w:p>
      <w:pPr>
        <w:spacing w:after="0"/>
        <w:rPr>
          <w:sz w:val="20"/>
          <w:szCs w:val="20"/>
          <w:color w:val="auto"/>
        </w:rPr>
      </w:pPr>
      <w:r>
        <w:rPr>
          <w:rFonts w:ascii="Georgia" w:cs="Georgia" w:eastAsia="Georgia" w:hAnsi="Georgia"/>
          <w:sz w:val="20"/>
          <w:szCs w:val="20"/>
          <w:color w:val="auto"/>
        </w:rPr>
        <w:t>We have served as the Company’s auditor since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03" w:right="379" w:bottom="1440" w:gutter="0" w:footer="0" w:header="0"/>
        </w:sectPr>
      </w:pPr>
    </w:p>
    <w:bookmarkStart w:id="39" w:name="page40"/>
    <w:bookmarkEnd w:id="3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6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5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8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36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450,739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315,331</w:t>
            </w: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43,061</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less allowance for credit losses of $368 and $414, respectively</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217,065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214,405</w:t>
            </w: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 assets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136,679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102,827</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84,719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85,873</w:t>
            </w: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7,487</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7,135</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7,497</w:t>
            </w:r>
          </w:p>
        </w:tc>
        <w:tc>
          <w:tcPr>
            <w:tcW w:w="0" w:type="dxa"/>
            <w:vAlign w:val="bottom"/>
          </w:tcPr>
          <w:p>
            <w:pPr>
              <w:spacing w:after="0"/>
              <w:rPr>
                <w:sz w:val="1"/>
                <w:szCs w:val="1"/>
                <w:color w:val="auto"/>
              </w:rPr>
            </w:pPr>
          </w:p>
        </w:tc>
      </w:tr>
      <w:tr>
        <w:trPr>
          <w:trHeight w:val="223"/>
        </w:trPr>
        <w:tc>
          <w:tcPr>
            <w:tcW w:w="8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931,716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776,481</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111,049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103,421</w:t>
            </w: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 net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27,246</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18,852</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18,313</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1,108,984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928,180</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67,080</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73,633</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297,949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287,763</w:t>
            </w: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33,777</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product warranty</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w:t>
            </w: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 payable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8,983</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23,908</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17,442</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446,387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428,015</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(Note J)</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12,027</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468,214</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445,107</w:t>
            </w: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H)</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 par value $0.01; 5,000,000 shares authorized; none issued</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804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par value $0.01; 30,000,000 shares authorized;</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4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Shares issued: 12,876,196 and 12,795,256, respectively</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Shares outstanding: 12,070,178 and 11,989,238, respectively</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70,111</w:t>
            </w: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629,848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462,194</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Treasury stock, 806,018 shares at cost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(24,999)</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(27,042)</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(24,361)</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640,770</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483,073</w:t>
            </w:r>
          </w:p>
        </w:tc>
        <w:tc>
          <w:tcPr>
            <w:tcW w:w="0" w:type="dxa"/>
            <w:vAlign w:val="bottom"/>
          </w:tcPr>
          <w:p>
            <w:pPr>
              <w:spacing w:after="0"/>
              <w:rPr>
                <w:sz w:val="1"/>
                <w:szCs w:val="1"/>
                <w:color w:val="auto"/>
              </w:rPr>
            </w:pPr>
          </w:p>
        </w:tc>
      </w:tr>
      <w:tr>
        <w:trPr>
          <w:trHeight w:val="223"/>
        </w:trPr>
        <w:tc>
          <w:tcPr>
            <w:tcW w:w="8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1,108,984</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928,180</w:t>
            </w:r>
          </w:p>
        </w:tc>
        <w:tc>
          <w:tcPr>
            <w:tcW w:w="0" w:type="dxa"/>
            <w:vAlign w:val="bottom"/>
          </w:tcPr>
          <w:p>
            <w:pPr>
              <w:spacing w:after="0"/>
              <w:rPr>
                <w:sz w:val="1"/>
                <w:szCs w:val="1"/>
                <w:color w:val="auto"/>
              </w:rPr>
            </w:pPr>
          </w:p>
        </w:tc>
      </w:tr>
      <w:tr>
        <w:trPr>
          <w:trHeight w:val="21"/>
        </w:trPr>
        <w:tc>
          <w:tcPr>
            <w:tcW w:w="8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00"/>
          </w:cols>
          <w:pgMar w:left="320" w:top="887" w:right="3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type w:val="continuous"/>
        </w:sectPr>
      </w:pPr>
    </w:p>
    <w:bookmarkStart w:id="40" w:name="page41"/>
    <w:bookmarkEnd w:id="4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37"/>
        </w:trPr>
        <w:tc>
          <w:tcPr>
            <w:tcW w:w="64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4"/>
        </w:trPr>
        <w:tc>
          <w:tcPr>
            <w:tcW w:w="6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6"/>
        </w:trPr>
        <w:tc>
          <w:tcPr>
            <w:tcW w:w="6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1,104,318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1,012,356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699,308</w:t>
            </w:r>
          </w:p>
        </w:tc>
      </w:tr>
      <w:tr>
        <w:trPr>
          <w:trHeight w:val="229"/>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779,937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739,268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551,755</w:t>
            </w: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147,553</w:t>
            </w:r>
          </w:p>
        </w:tc>
      </w:tr>
      <w:tr>
        <w:trPr>
          <w:trHeight w:val="256"/>
        </w:trPr>
        <w:tc>
          <w:tcPr>
            <w:tcW w:w="6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78,813</w:t>
            </w: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6,220</w:t>
            </w: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217,860</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178,773</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62,520</w:t>
            </w:r>
          </w:p>
        </w:tc>
      </w:tr>
      <w:tr>
        <w:trPr>
          <w:trHeight w:val="257"/>
        </w:trPr>
        <w:tc>
          <w:tcPr>
            <w:tcW w:w="64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 (income):</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(6,430)</w:t>
            </w: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68,950</w:t>
            </w: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52,803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14,425</w:t>
            </w: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180,747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149,848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54,525</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7"/>
        </w:trPr>
        <w:tc>
          <w:tcPr>
            <w:tcW w:w="6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49"/>
        </w:trPr>
        <w:tc>
          <w:tcPr>
            <w:tcW w:w="6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r>
      <w:tr>
        <w:trPr>
          <w:trHeight w:val="20"/>
        </w:trPr>
        <w:tc>
          <w:tcPr>
            <w:tcW w:w="6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04"/>
        </w:trPr>
        <w:tc>
          <w:tcPr>
            <w:tcW w:w="640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14.86</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12.29</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4.50</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6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11,879</w:t>
            </w:r>
          </w:p>
        </w:tc>
      </w:tr>
      <w:tr>
        <w:trPr>
          <w:trHeight w:val="229"/>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12,120</w:t>
            </w:r>
          </w:p>
        </w:tc>
      </w:tr>
      <w:tr>
        <w:trPr>
          <w:trHeight w:val="230"/>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per share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1.0675</w:t>
            </w:r>
          </w:p>
        </w:tc>
        <w:tc>
          <w:tcPr>
            <w:tcW w:w="4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1.0475</w:t>
            </w:r>
          </w:p>
        </w:tc>
      </w:tr>
    </w:tbl>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41" w:name="page42"/>
    <w:bookmarkEnd w:id="41"/>
    <w:p>
      <w:pPr>
        <w:ind w:left="3540"/>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117"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900" w:type="dxa"/>
            <w:vAlign w:val="bottom"/>
          </w:tcPr>
          <w:p>
            <w:pPr>
              <w:spacing w:after="0"/>
              <w:rPr>
                <w:sz w:val="16"/>
                <w:szCs w:val="16"/>
                <w:color w:val="auto"/>
              </w:rPr>
            </w:pPr>
          </w:p>
        </w:tc>
      </w:tr>
      <w:tr>
        <w:trPr>
          <w:trHeight w:val="37"/>
        </w:trPr>
        <w:tc>
          <w:tcPr>
            <w:tcW w:w="74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6"/>
        </w:trPr>
        <w:tc>
          <w:tcPr>
            <w:tcW w:w="7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54,525</w:t>
            </w: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cash flow commodity hedge</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29"/>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Postretirement benefit adjustment, net of tax</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48"/>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56,614</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42" w:name="page43"/>
    <w:bookmarkEnd w:id="42"/>
    <w:p>
      <w:pPr>
        <w:ind w:left="3540"/>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11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5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20" w:type="dxa"/>
            <w:vAlign w:val="bottom"/>
          </w:tcPr>
          <w:p>
            <w:pPr>
              <w:spacing w:after="0"/>
              <w:rPr>
                <w:sz w:val="12"/>
                <w:szCs w:val="12"/>
                <w:color w:val="auto"/>
              </w:rPr>
            </w:pPr>
          </w:p>
        </w:tc>
        <w:tc>
          <w:tcPr>
            <w:tcW w:w="1700" w:type="dxa"/>
            <w:vAlign w:val="bottom"/>
            <w:gridSpan w:val="5"/>
          </w:tcPr>
          <w:p>
            <w:pPr>
              <w:ind w:left="3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5"/>
          </w:tcPr>
          <w:p>
            <w:pPr>
              <w:ind w:left="38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20" w:type="dxa"/>
            <w:vAlign w:val="bottom"/>
          </w:tcPr>
          <w:p>
            <w:pPr>
              <w:spacing w:after="0"/>
              <w:rPr>
                <w:sz w:val="12"/>
                <w:szCs w:val="12"/>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9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vMerge w:val="restart"/>
          </w:tcPr>
          <w:p>
            <w:pPr>
              <w:jc w:val="center"/>
              <w:ind w:right="200"/>
              <w:spacing w:after="0" w:line="108"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gridSpan w:val="2"/>
            <w:vMerge w:val="restart"/>
          </w:tcPr>
          <w:p>
            <w:pPr>
              <w:jc w:val="center"/>
              <w:ind w:right="200"/>
              <w:spacing w:after="0" w:line="108" w:lineRule="exact"/>
              <w:rPr>
                <w:sz w:val="20"/>
                <w:szCs w:val="20"/>
                <w:color w:val="auto"/>
              </w:rPr>
            </w:pPr>
            <w:r>
              <w:rPr>
                <w:rFonts w:ascii="Times New Roman" w:cs="Times New Roman" w:eastAsia="Times New Roman" w:hAnsi="Times New Roman"/>
                <w:sz w:val="12"/>
                <w:szCs w:val="12"/>
                <w:b w:val="1"/>
                <w:bCs w:val="1"/>
                <w:color w:val="auto"/>
              </w:rPr>
              <w:t>Other</w:t>
            </w: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3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920" w:type="dxa"/>
            <w:vAlign w:val="bottom"/>
          </w:tcPr>
          <w:p>
            <w:pPr>
              <w:spacing w:after="0"/>
              <w:rPr>
                <w:sz w:val="11"/>
                <w:szCs w:val="11"/>
                <w:color w:val="auto"/>
              </w:rPr>
            </w:pPr>
          </w:p>
        </w:tc>
        <w:tc>
          <w:tcPr>
            <w:tcW w:w="8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1"/>
                <w:szCs w:val="11"/>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12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1"/>
                <w:szCs w:val="11"/>
                <w:color w:val="auto"/>
              </w:rPr>
            </w:pP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1"/>
                <w:szCs w:val="11"/>
                <w:color w:val="auto"/>
              </w:rPr>
            </w:pPr>
          </w:p>
        </w:tc>
        <w:tc>
          <w:tcPr>
            <w:tcW w:w="11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200" w:type="dxa"/>
            <w:vAlign w:val="bottom"/>
          </w:tcPr>
          <w:p>
            <w:pPr>
              <w:spacing w:after="0"/>
              <w:rPr>
                <w:sz w:val="11"/>
                <w:szCs w:val="11"/>
                <w:color w:val="auto"/>
              </w:rPr>
            </w:pPr>
          </w:p>
        </w:tc>
        <w:tc>
          <w:tcPr>
            <w:tcW w:w="640" w:type="dxa"/>
            <w:vAlign w:val="bottom"/>
            <w:vMerge w:val="restart"/>
          </w:tcPr>
          <w:p>
            <w:pPr>
              <w:jc w:val="right"/>
              <w:ind w:right="208"/>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Income/(Loss)</w:t>
            </w:r>
          </w:p>
        </w:tc>
        <w:tc>
          <w:tcPr>
            <w:tcW w:w="2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September 30, 2022</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67,439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283,638</w:t>
            </w: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(28,998)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297,206</w:t>
            </w:r>
          </w:p>
        </w:tc>
        <w:tc>
          <w:tcPr>
            <w:tcW w:w="0" w:type="dxa"/>
            <w:vAlign w:val="bottom"/>
          </w:tcPr>
          <w:p>
            <w:pPr>
              <w:spacing w:after="0"/>
              <w:rPr>
                <w:sz w:val="1"/>
                <w:szCs w:val="1"/>
                <w:color w:val="auto"/>
              </w:rPr>
            </w:pPr>
          </w:p>
        </w:tc>
      </w:tr>
      <w:tr>
        <w:trPr>
          <w:trHeight w:val="195"/>
        </w:trPr>
        <w:tc>
          <w:tcPr>
            <w:tcW w:w="3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54,525</w:t>
            </w:r>
          </w:p>
        </w:tc>
        <w:tc>
          <w:tcPr>
            <w:tcW w:w="12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54,525</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1,915</w:t>
            </w:r>
          </w:p>
        </w:tc>
        <w:tc>
          <w:tcPr>
            <w:tcW w:w="0" w:type="dxa"/>
            <w:vAlign w:val="bottom"/>
          </w:tcPr>
          <w:p>
            <w:pPr>
              <w:spacing w:after="0"/>
              <w:rPr>
                <w:sz w:val="1"/>
                <w:szCs w:val="1"/>
                <w:color w:val="auto"/>
              </w:rPr>
            </w:pPr>
          </w:p>
        </w:tc>
      </w:tr>
      <w:tr>
        <w:trPr>
          <w:trHeight w:val="195"/>
        </w:trPr>
        <w:tc>
          <w:tcPr>
            <w:tcW w:w="3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4,599</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Shares withheld in lieu of employee tax withholding</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0" w:type="dxa"/>
            <w:vAlign w:val="bottom"/>
          </w:tcPr>
          <w:p>
            <w:pPr>
              <w:spacing w:after="0"/>
              <w:rPr>
                <w:sz w:val="1"/>
                <w:szCs w:val="1"/>
                <w:color w:val="auto"/>
              </w:rPr>
            </w:pPr>
          </w:p>
        </w:tc>
      </w:tr>
      <w:tr>
        <w:trPr>
          <w:trHeight w:val="195"/>
        </w:trPr>
        <w:tc>
          <w:tcPr>
            <w:tcW w:w="3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Dividends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(12,882)</w:t>
            </w:r>
          </w:p>
        </w:tc>
        <w:tc>
          <w:tcPr>
            <w:tcW w:w="12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(12,741)</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Gain on cash flow commodity hedge</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0" w:type="dxa"/>
            <w:vAlign w:val="bottom"/>
          </w:tcPr>
          <w:p>
            <w:pPr>
              <w:spacing w:after="0"/>
              <w:rPr>
                <w:sz w:val="1"/>
                <w:szCs w:val="1"/>
                <w:color w:val="auto"/>
              </w:rPr>
            </w:pPr>
          </w:p>
        </w:tc>
      </w:tr>
      <w:tr>
        <w:trPr>
          <w:trHeight w:val="196"/>
        </w:trPr>
        <w:tc>
          <w:tcPr>
            <w:tcW w:w="3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Postretirement benefit adjustment, net of tax of $40</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203"/>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September 30, 2023</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71,526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325,281</w:t>
            </w: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(26,909)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345,026</w:t>
            </w:r>
          </w:p>
        </w:tc>
        <w:tc>
          <w:tcPr>
            <w:tcW w:w="0" w:type="dxa"/>
            <w:vAlign w:val="bottom"/>
          </w:tcPr>
          <w:p>
            <w:pPr>
              <w:spacing w:after="0"/>
              <w:rPr>
                <w:sz w:val="1"/>
                <w:szCs w:val="1"/>
                <w:color w:val="auto"/>
              </w:rPr>
            </w:pPr>
          </w:p>
        </w:tc>
      </w:tr>
      <w:tr>
        <w:trPr>
          <w:trHeight w:val="195"/>
        </w:trPr>
        <w:tc>
          <w:tcPr>
            <w:tcW w:w="3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149,848</w:t>
            </w:r>
          </w:p>
        </w:tc>
        <w:tc>
          <w:tcPr>
            <w:tcW w:w="12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149,848</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2,561</w:t>
            </w:r>
          </w:p>
        </w:tc>
        <w:tc>
          <w:tcPr>
            <w:tcW w:w="0" w:type="dxa"/>
            <w:vAlign w:val="bottom"/>
          </w:tcPr>
          <w:p>
            <w:pPr>
              <w:spacing w:after="0"/>
              <w:rPr>
                <w:sz w:val="1"/>
                <w:szCs w:val="1"/>
                <w:color w:val="auto"/>
              </w:rPr>
            </w:pPr>
          </w:p>
        </w:tc>
      </w:tr>
      <w:tr>
        <w:trPr>
          <w:trHeight w:val="195"/>
        </w:trPr>
        <w:tc>
          <w:tcPr>
            <w:tcW w:w="3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4,747</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Shares withheld in lieu of employee tax withholding</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(6,599)</w:t>
            </w:r>
          </w:p>
        </w:tc>
        <w:tc>
          <w:tcPr>
            <w:tcW w:w="0" w:type="dxa"/>
            <w:vAlign w:val="bottom"/>
          </w:tcPr>
          <w:p>
            <w:pPr>
              <w:spacing w:after="0"/>
              <w:rPr>
                <w:sz w:val="1"/>
                <w:szCs w:val="1"/>
                <w:color w:val="auto"/>
              </w:rPr>
            </w:pPr>
          </w:p>
        </w:tc>
      </w:tr>
      <w:tr>
        <w:trPr>
          <w:trHeight w:val="195"/>
        </w:trPr>
        <w:tc>
          <w:tcPr>
            <w:tcW w:w="3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Dividends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(12,935)</w:t>
            </w:r>
          </w:p>
        </w:tc>
        <w:tc>
          <w:tcPr>
            <w:tcW w:w="12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(12,497)</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Postretirement benefit adjustment, net of tax of $4</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9"/>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September 30, 2024</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12,795</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70,111</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462,194</w:t>
            </w:r>
          </w:p>
        </w:tc>
        <w:tc>
          <w:tcPr>
            <w:tcW w:w="120" w:type="dxa"/>
            <w:vAlign w:val="bottom"/>
          </w:tcPr>
          <w:p>
            <w:pPr>
              <w:spacing w:after="0"/>
              <w:rPr>
                <w:sz w:val="16"/>
                <w:szCs w:val="16"/>
                <w:color w:val="auto"/>
              </w:rPr>
            </w:pPr>
          </w:p>
        </w:tc>
        <w:tc>
          <w:tcPr>
            <w:tcW w:w="74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(24,361)</w:t>
            </w: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483,073</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180,747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180,747</w:t>
            </w:r>
          </w:p>
        </w:tc>
        <w:tc>
          <w:tcPr>
            <w:tcW w:w="0" w:type="dxa"/>
            <w:vAlign w:val="bottom"/>
          </w:tcPr>
          <w:p>
            <w:pPr>
              <w:spacing w:after="0"/>
              <w:rPr>
                <w:sz w:val="1"/>
                <w:szCs w:val="1"/>
                <w:color w:val="auto"/>
              </w:rPr>
            </w:pPr>
          </w:p>
        </w:tc>
      </w:tr>
      <w:tr>
        <w:trPr>
          <w:trHeight w:val="195"/>
        </w:trPr>
        <w:tc>
          <w:tcPr>
            <w:tcW w:w="3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(2,598)</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4,635</w:t>
            </w:r>
          </w:p>
        </w:tc>
        <w:tc>
          <w:tcPr>
            <w:tcW w:w="0" w:type="dxa"/>
            <w:vAlign w:val="bottom"/>
          </w:tcPr>
          <w:p>
            <w:pPr>
              <w:spacing w:after="0"/>
              <w:rPr>
                <w:sz w:val="1"/>
                <w:szCs w:val="1"/>
                <w:color w:val="auto"/>
              </w:rPr>
            </w:pPr>
          </w:p>
        </w:tc>
      </w:tr>
      <w:tr>
        <w:trPr>
          <w:trHeight w:val="195"/>
        </w:trPr>
        <w:tc>
          <w:tcPr>
            <w:tcW w:w="3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Shares withheld in lieu of employee tax withholding</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(12,248)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(12,248)</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Dividends</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(13,093)</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(12,756)</w:t>
            </w:r>
          </w:p>
        </w:tc>
        <w:tc>
          <w:tcPr>
            <w:tcW w:w="0" w:type="dxa"/>
            <w:vAlign w:val="bottom"/>
          </w:tcPr>
          <w:p>
            <w:pPr>
              <w:spacing w:after="0"/>
              <w:rPr>
                <w:sz w:val="1"/>
                <w:szCs w:val="1"/>
                <w:color w:val="auto"/>
              </w:rPr>
            </w:pPr>
          </w:p>
        </w:tc>
      </w:tr>
      <w:tr>
        <w:trPr>
          <w:trHeight w:val="196"/>
        </w:trPr>
        <w:tc>
          <w:tcPr>
            <w:tcW w:w="3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Postretirement benefit adjustment, net of tax of $22</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228"/>
        </w:trPr>
        <w:tc>
          <w:tcPr>
            <w:tcW w:w="3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September 30, 2025</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12,876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629,848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640,770</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43" w:name="page44"/>
    <w:bookmarkEnd w:id="43"/>
    <w:p>
      <w:pPr>
        <w:ind w:left="3520"/>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11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c>
          <w:tcPr>
            <w:tcW w:w="840" w:type="dxa"/>
            <w:vAlign w:val="bottom"/>
            <w:tcBorders>
              <w:bottom w:val="single" w:sz="8" w:color="auto"/>
            </w:tcBorders>
          </w:tcPr>
          <w:p>
            <w:pPr>
              <w:spacing w:after="0"/>
              <w:rPr>
                <w:sz w:val="18"/>
                <w:szCs w:val="18"/>
                <w:color w:val="auto"/>
              </w:rPr>
            </w:pPr>
          </w:p>
        </w:tc>
      </w:tr>
      <w:tr>
        <w:trPr>
          <w:trHeight w:val="211"/>
        </w:trPr>
        <w:tc>
          <w:tcPr>
            <w:tcW w:w="74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3"/>
        </w:trPr>
        <w:tc>
          <w:tcPr>
            <w:tcW w:w="7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180,747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149,848</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54,525</w:t>
            </w:r>
          </w:p>
        </w:tc>
      </w:tr>
      <w:tr>
        <w:trPr>
          <w:trHeight w:val="219"/>
        </w:trPr>
        <w:tc>
          <w:tcPr>
            <w:tcW w:w="7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74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8,606</w:t>
            </w:r>
          </w:p>
        </w:tc>
      </w:tr>
      <w:tr>
        <w:trPr>
          <w:trHeight w:val="219"/>
        </w:trPr>
        <w:tc>
          <w:tcPr>
            <w:tcW w:w="7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Stock-based compensation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4,599</w:t>
            </w:r>
          </w:p>
        </w:tc>
      </w:tr>
      <w:tr>
        <w:trPr>
          <w:trHeight w:val="213"/>
        </w:trPr>
        <w:tc>
          <w:tcPr>
            <w:tcW w:w="74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Unrealized mark-to-market gain on derivative contracts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Bad debt expense (recovery), net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13"/>
        </w:trPr>
        <w:tc>
          <w:tcPr>
            <w:tcW w:w="74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(7,847)</w:t>
            </w:r>
          </w:p>
        </w:tc>
      </w:tr>
      <w:tr>
        <w:trPr>
          <w:trHeight w:val="219"/>
        </w:trPr>
        <w:tc>
          <w:tcPr>
            <w:tcW w:w="7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74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Accounts receivable,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(99,718)</w:t>
            </w:r>
          </w:p>
        </w:tc>
      </w:tr>
      <w:tr>
        <w:trPr>
          <w:trHeight w:val="219"/>
        </w:trPr>
        <w:tc>
          <w:tcPr>
            <w:tcW w:w="7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Contract assets and liabilities, net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227,598</w:t>
            </w:r>
          </w:p>
        </w:tc>
      </w:tr>
      <w:tr>
        <w:trPr>
          <w:trHeight w:val="213"/>
        </w:trPr>
        <w:tc>
          <w:tcPr>
            <w:tcW w:w="74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(13,276)</w:t>
            </w:r>
          </w:p>
        </w:tc>
      </w:tr>
      <w:tr>
        <w:trPr>
          <w:trHeight w:val="219"/>
        </w:trPr>
        <w:tc>
          <w:tcPr>
            <w:tcW w:w="7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Income taxes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4,812</w:t>
            </w:r>
          </w:p>
        </w:tc>
      </w:tr>
      <w:tr>
        <w:trPr>
          <w:trHeight w:val="213"/>
        </w:trPr>
        <w:tc>
          <w:tcPr>
            <w:tcW w:w="74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(3,253)</w:t>
            </w:r>
          </w:p>
        </w:tc>
      </w:tr>
      <w:tr>
        <w:trPr>
          <w:trHeight w:val="219"/>
        </w:trPr>
        <w:tc>
          <w:tcPr>
            <w:tcW w:w="7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(6,167)</w:t>
            </w:r>
          </w:p>
        </w:tc>
      </w:tr>
      <w:tr>
        <w:trPr>
          <w:trHeight w:val="213"/>
        </w:trPr>
        <w:tc>
          <w:tcPr>
            <w:tcW w:w="74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Accrued liabilities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11,729</w:t>
            </w:r>
          </w:p>
        </w:tc>
      </w:tr>
      <w:tr>
        <w:trPr>
          <w:trHeight w:val="219"/>
        </w:trPr>
        <w:tc>
          <w:tcPr>
            <w:tcW w:w="7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 net</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w:t>
            </w:r>
          </w:p>
        </w:tc>
      </w:tr>
      <w:tr>
        <w:trPr>
          <w:trHeight w:val="207"/>
        </w:trPr>
        <w:tc>
          <w:tcPr>
            <w:tcW w:w="74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167,937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108,661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182,553</w:t>
            </w:r>
          </w:p>
        </w:tc>
      </w:tr>
      <w:tr>
        <w:trPr>
          <w:trHeight w:val="21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7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Purchases of short-term investments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(37,262)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(42,855)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(33,515)</w:t>
            </w:r>
          </w:p>
        </w:tc>
      </w:tr>
      <w:tr>
        <w:trPr>
          <w:trHeight w:val="219"/>
        </w:trPr>
        <w:tc>
          <w:tcPr>
            <w:tcW w:w="7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Maturities of short-term investments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14,748</w:t>
            </w:r>
          </w:p>
        </w:tc>
      </w:tr>
      <w:tr>
        <w:trPr>
          <w:trHeight w:val="213"/>
        </w:trPr>
        <w:tc>
          <w:tcPr>
            <w:tcW w:w="7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paid for business acquisition, net of cash acquired</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(7,819)</w:t>
            </w:r>
          </w:p>
        </w:tc>
      </w:tr>
      <w:tr>
        <w:trPr>
          <w:trHeight w:val="213"/>
        </w:trPr>
        <w:tc>
          <w:tcPr>
            <w:tcW w:w="7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sale of property, plant and equipment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9"/>
        </w:trPr>
        <w:tc>
          <w:tcPr>
            <w:tcW w:w="7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of intangible assets</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74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(8,342)</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(21,874)</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(26,574)</w:t>
            </w:r>
          </w:p>
        </w:tc>
      </w:tr>
      <w:tr>
        <w:trPr>
          <w:trHeight w:val="21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7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Shares withheld in lieu of employee tax withholding</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w:t>
            </w:r>
          </w:p>
        </w:tc>
      </w:tr>
      <w:tr>
        <w:trPr>
          <w:trHeight w:val="219"/>
        </w:trPr>
        <w:tc>
          <w:tcPr>
            <w:tcW w:w="7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Dividends paid</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(12,407)</w:t>
            </w:r>
          </w:p>
        </w:tc>
      </w:tr>
      <w:tr>
        <w:trPr>
          <w:trHeight w:val="207"/>
        </w:trPr>
        <w:tc>
          <w:tcPr>
            <w:tcW w:w="74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(25,117)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(19,252)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(13,059)</w:t>
            </w:r>
          </w:p>
        </w:tc>
      </w:tr>
      <w:tr>
        <w:trPr>
          <w:trHeight w:val="21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142,920</w:t>
            </w:r>
          </w:p>
        </w:tc>
      </w:tr>
      <w:tr>
        <w:trPr>
          <w:trHeight w:val="213"/>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w:t>
            </w:r>
          </w:p>
        </w:tc>
      </w:tr>
      <w:tr>
        <w:trPr>
          <w:trHeight w:val="216"/>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315,331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245,875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101,954</w:t>
            </w:r>
          </w:p>
        </w:tc>
      </w:tr>
      <w:tr>
        <w:trPr>
          <w:trHeight w:val="212"/>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450,739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315,331</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245,875</w:t>
            </w:r>
          </w:p>
        </w:tc>
      </w:tr>
      <w:tr>
        <w:trPr>
          <w:trHeight w:val="20"/>
        </w:trPr>
        <w:tc>
          <w:tcPr>
            <w:tcW w:w="7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Business and Organization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Powell Industries, Inc. (we, us, our, Powell or the Company) is a Delaware corporation founded by William E. Powell in 1947. Our major subsidiaries, all of which are wholly owned, include Powell Electrical Systems, Inc.; Powell (UK) Limited; Powell Canada Inc.; and Powell Industries International Limited.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headquartered in Houston, Texas, and primarily serve the oil and gas and petrochemical markets, the electric utility market, and commercial and</w:t>
      </w:r>
    </w:p>
    <w:p>
      <w:pPr>
        <w:spacing w:after="0" w:line="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industrial markets. Beyond these major markets, we also provide products and services to the light rail traction power market and other markets that include universities and government entities. We are continuously developing new channels to electrical markets through original equipment manufacturers and distribution market channels.</w:t>
      </w:r>
    </w:p>
    <w:p>
      <w:pPr>
        <w:spacing w:after="0" w:line="17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principal products include integrated power control room substations (PCRs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custom-engineered modules, electrical houses (E-Houses), traditional and arc-resistant distribution switchgear and control gear, medium-voltage circuit breakers, monitoring and control communications systems, motor control centers, switches and bus duct systems. These products are designed for application voltages ranging from 480 volts to 38,000 volts. Our product scope includes designs tested to meet both United States (U.S.) and international standards, under both the American National Standards Institute (ANSI) and International Electrotechnical Commission (IEC). We also provide spare parts, retrofit and retrofill components for existing systems, and replacement circuit breakers for obsolete switchgear no longer produced by the original manufacturer. Our principal services include field service inspection, installation, commissioning, modification and repair services. We seek to establish long-term relationships with the end users of our systems as well as design and construction engineering firms contracted by those end users. We believe that our culture of safety and focus on customer satisfaction, along with our financial strength, allow us to continue to capitalize on opportunities in the industries we serve.</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References to Fiscal 2025, Fiscal 2024 and Fiscal 2023 used throughout these Notes to Consolidated Financial Statements relate to our fiscal years ended September 30, 2025, 2024 and 2023, respectively.</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Powell and our wholly-owned subsidiaries. All intercompany accounts and transactions have been eliminated in consolidation.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(U.S. GAAP) requires management to make estimates and assumptions that affect the amounts reported in the consolidated financial statements and accompanying footnotes. The most significant estimates used in our consolidated financial statements affect revenue recognition and estimated cost recognition on our customer contracts, allowance for credit losses, provision for excess and obsolete inventory, warranty accruals and income taxes. The amounts recorded for warranties, legal, income taxes, impairment of long-lived assets (when applicable), liquidated damages and other contingent liabilities require judgments regarding the amount of expenses that will ultimately be incurred. We base our estimates on historical experience, forecasts and various other assumptions, as well as the specific circumstances surrounding these contingent liabilities, in evaluating the amount of liability that should be recorded. Additionally, the basis for recognition of deferred tax assets requires estimates related to future income and other assumptions regarding timing and future profitability because the ultimate realization of net deferred tax assets is dependent on the generation of future taxable income during periods in which temporary differences become deductible. Estimates routinely change as new events occur, additional information becomes available or operating environments change. Actual results may differ from our prior estimates.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Investments</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 </w:t>
      </w:r>
      <w:r>
        <w:rPr>
          <w:rFonts w:ascii="Times New Roman" w:cs="Times New Roman" w:eastAsia="Times New Roman" w:hAnsi="Times New Roman"/>
          <w:sz w:val="18"/>
          <w:szCs w:val="18"/>
          <w:color w:val="auto"/>
        </w:rPr>
        <w:t>Cash and cash equivalents, primarily funds held in money market savings instruments, are reported at their current carrying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which approximates fair value due to the short-term nature of these instruments, and are included in cash and cash equivalents in our Consolidated Balance Sheets.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Short-term investments – </w:t>
      </w:r>
      <w:r>
        <w:rPr>
          <w:rFonts w:ascii="Times New Roman" w:cs="Times New Roman" w:eastAsia="Times New Roman" w:hAnsi="Times New Roman"/>
          <w:sz w:val="18"/>
          <w:szCs w:val="18"/>
          <w:color w:val="auto"/>
        </w:rPr>
        <w:t>Short-term investments include time deposits with original maturities of three months or more.</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Disclosures of Cash Flow Information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900" w:type="dxa"/>
            <w:vAlign w:val="bottom"/>
          </w:tcPr>
          <w:p>
            <w:pPr>
              <w:spacing w:after="0"/>
              <w:rPr>
                <w:sz w:val="16"/>
                <w:szCs w:val="16"/>
                <w:color w:val="auto"/>
              </w:rPr>
            </w:pPr>
          </w:p>
        </w:tc>
      </w:tr>
      <w:tr>
        <w:trPr>
          <w:trHeight w:val="23"/>
        </w:trPr>
        <w:tc>
          <w:tcPr>
            <w:tcW w:w="7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74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(received) during the period for:</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received, net of interest expense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w:t>
            </w:r>
          </w:p>
        </w:tc>
      </w:tr>
      <w:tr>
        <w:trPr>
          <w:trHeight w:val="22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 paid, net of refunds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17,232</w:t>
            </w:r>
          </w:p>
        </w:tc>
      </w:tr>
      <w:tr>
        <w:trPr>
          <w:trHeight w:val="23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capital expenditures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instruments include cash, cash equivalents, short-term investments, receivables, deferred compensation, contingent future payments related to business acquisitions, payables and debt obligations. Except as described below, due to the short-term nature of account receivables and account payables, their book values are representative of their fair values.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Accounts receivable are stated net of allowances for credit losses. We maintain and continually assess the adequacy of the allowance for credit losses representing our estimate for losses resulting from the inability of our customers to pay amounts due to us. This estimated allowance is based on historical experience of uncollected accounts, the level of past due accounts, the overall level of outstanding accounts receivable, information about specific customers with respect to their inability to make payments and expectations of future conditions that could impact the collectability of accounts receivable. Future changes in our customers’ operating performance and cash flows, or in general economic conditions, could have an impact on their ability to fully pay these amounts, which could have a material impact on our operating results. In most cases, receivables are not collateralized. However, we utilize letters of credit to secure payment on projects when possible. Retention amounts are in accordance with applicable provisions of contracts and become due upon completion of contractual requirements. As of September 30, 2025 and 2024, we had retention amounts of $8.1 million and $7.1 million, respectively.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retained amount at September 30, 2025, $8.0 million is expected to be collected in the next twelve months and is recorded in accounts receivable.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$0.1 million is recorded in other assets and is expected to be collected beyond September 30, 2026.</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affects accounts receivable, contract assets and contract liabilities in our Consolidated Balance Sheets.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assets are recorded when revenues are recognized in excess of amounts billed for fixed-price contracts as determined by the billing milestone schedule. Contract assets are transferred to accounts receivable when billing milestones have been met, or we have an unconditional right to payment.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liabilities typically represent advance payments from contractual billing milestones and billings in excess of revenue recognized. It is unusual to have advanced milestone payments with a term greater than one year, which could represent a financing component on the contract.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contract assets and liabilities are reported in a net position on a contract-by-contract basis at the end of each reporting period and are generally classified as current.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using weighted-average methods and include the cost of materials, labor and manufacturing overhead. We use estimates in determining the level of reserves required to state inventory at the lower of cost or net realizable value. Our estimates are based on market activity levels, production requirements, the physical condition of products and technological innovation. Changes in any of these factors may result in adjustments to the carrying value of inventory.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plant and equipment are stated at cost and are depreciated using the straight-line method over the estimated useful lives of the assets. Expenditures for repairs and maintenance are charged to expense when incurred. Expenditures for major renewals and improvements, which extend the useful lives of existing equipment, are capitalized and depreciated. Upon retirement or disposition of property, plant and equipment, the cost and related accumulated depreciation are removed from the accounts, and any resulting gain or loss is recognized in the Consolidated Statements of Operations.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review property, plant and equipment for impairment whenever events or changes in circumstances indicate that the carrying value may not be realizable. If an evaluation is required, the estimated future undiscounted cash flows associated with the asset are compared to the asset’s carrying amount to determine if recording an impairment of such asset is necessary. If an impairment is indicated, we record an impairment loss equal to the difference between the carrying value and the fair value of the long-lived asset. This requires us to make long-term forecasts of the future revenues and the costs related to the assets subject to review. Forecasts require assumptions about demand for our products and future market conditions. Estimating future cash flows requires significant judgment, and our projections may vary from cash flows eventually realized. Future events and unanticipated changes to assumptions could require a provision for impairment in a future period. The effect of any impairment would be reflected in operating income in the Consolidated Statements of Operations. In addition, we estimate the useful lives of our property, plant and equipment and periodically review these estimates to determine whether these lives are appropriate.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and other intangible assets generally result from acquired businesses. We account for business acquisitions by allocating the purchase price to tangible and intangible assets acquired and liabilities assumed at their fair values at the acquisition date; the excess of the purchase price over the allocated amount is recorded as goodwill. Goodwill is not amortized, but is evaluated for impairment at least annually. An impairment exists when the carrying amount of goodwill exceeds its implied fair value. Additional impairment assessments may be performed on an interim basis if we encounter events or changes in circumstances that would indicate, more likely than not, the carrying value of goodwill has been impaired.</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evaluation of goodwill for impairment, we have the option to first perform a qualitative assessment to determine whether it is more likely than not that the fair value is less than its carrying value. If, after completing such assessment, we determine it is more likely than not that the fair value is greater than its carrying value, no further testing is required. If we conclude otherwise, or if we elect to perform a quantitative assessment, we then calculate the fair value and compare to the carrying value. In performing the fair value assessment, management makes various judgments, estimates and assumptions, the most significant of which include the estimated future cash flows and discount rates. If the carrying value exceeds the fair value, an impairment loss, not to exceed the carrying amount of goodwill, is recorded in the Consolidated Statements of Operations.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intangible assets include customer relationships, trademarks, purchased technology and order backlog, all of which are subject to amortization over their estimated remaining useful lives. We evaluate other intangible assets for impairment when impairment indicators are present. If the carrying value exceeds the fair value, an impairment loss is recorded in the Consolidated Statements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Fiscal 2025, we added $5.1 million of goodwill and $5.8 million of other finite-life intangible assets through the acquisition of Remsdaq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(Remsdaq). See Note P. Business Acquisition for additional information.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based on the income tax laws and rates in the countries in which operations are conducted, and income is earned. This approach requires the recognition of deferred tax assets and liabilities for the expected future tax consequences of temporary differences between the carrying amounts and the tax basis of assets and liabilities. Developing our provision for income taxes requires significant judgment and expertise in federal, international and state income tax laws, regulations and strategies, including the determination of deferred tax assets and liabilities and, if necessary, any valuation allowances that may be required for deferred tax assets. In assessing the extent to which net deferred tax assets may be realized, we consider whether it is more likely than not that some portion or all of the net deferred tax assets may not be realized. The ultimate realization of net deferred tax assets is dependent on the generation of future taxable income during the periods in which those temporary differences become deductible. Estimates may change as new events occur, estimates of future taxable income during the carryforward period are reduced or increased, additional information becomes available or operating environments change, which may result in a full or partial reversal of the valuation allowance. We will continue to assess the adequacy of the valuation allowance on a quarterly basis. Our judgments and tax strategies are subject to audit by various taxing authorities.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47" w:name="page48"/>
    <w:bookmarkEnd w:id="47"/>
    <w:p>
      <w:pPr>
        <w:jc w:val="both"/>
        <w:spacing w:after="0" w:line="254" w:lineRule="auto"/>
        <w:rPr>
          <w:sz w:val="20"/>
          <w:szCs w:val="20"/>
          <w:color w:val="auto"/>
        </w:rPr>
      </w:pPr>
      <w:r>
        <w:rPr>
          <w:rFonts w:ascii="Times New Roman" w:cs="Times New Roman" w:eastAsia="Times New Roman" w:hAnsi="Times New Roman"/>
          <w:sz w:val="18"/>
          <w:szCs w:val="18"/>
          <w:color w:val="auto"/>
        </w:rPr>
        <w:t>The objectives of accounting for income taxes are to recognize the amount of taxes payable or refundable for the current year and deferred tax liabilities and assets for the future tax consequences of events that have been recognized in an entity’s financial statements or tax returns. 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Accounting literature also provides guidance on derecognition of income tax assets and liabilities, classification of current and deferred income tax assets and liabilities, accounting for interest and penalties associated with tax positions, and income tax disclosures. Judgment is required in assessing the future tax consequences of events that have been recognized in our financial statements or tax returns. Variations in the actual outcome of these future tax consequences could materially impact our financial statements.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revenues are primarily generated from the manufacturing of custom-engineered products and systems under long-term, fixed-price contracts that may last from one month to several years, depending on the contract. Revenue from these contracts is generally recognized over time utilizing the cost-to-cost method. Under the cost-to-cost method, the extent of progress towards completion is measured based on the ratio of costs incurred to date to the total estimated costs at completion of the performance obligation. We believe that this method is the most accurate representation of our performance because it directly measures the value of the services transferred to the customer over time as we incur costs on our contracts. Contract costs include all direct materials, labor and indirect costs related to contract performance, which may include indirect labor, supplies, tools, repairs and depreciation costs.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have contracts to provide field service inspection, installation, commissioning, modification, and repair services, as well as retrofit and retrofill components for existing systems. If the service contract terms give us the right to invoice the customer for an amount that corresponds directly with the value of our performance completed to date (i.e., a service contract in which we bill a fixed amount for each hour of service provided), then we recognize revenue over time in each reporting period corresponding to the amount that we have the right to invoice. Our performance obligations are satisfied as the work progresses.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sales orders for spare parts and replacement circuit breakers for switchgear that are obsolete or that are no longer produced by the original manufacturer. Revenues from these sales orders are recognized at the time we fulfill our performance obligation to the customer, which is typically upon shipment.</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some contracts may contain a cancellation clause that could limit the amount of revenue we are able to recognize over time. In these instances, revenue and costs associated with these contracts are deferred and recognized at a point in time when the performance obligation is fulfilled.</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and administrative costs incurred in relation to obtaining a contract are typically expensed as incurred. We periodically utilize a third-party sales agent to obtain a contract and will pay a commission to that agent. We record the full commission liability to the third-party sales agents at the order date, with a corresponding deferred asset. As the project progresses, we record commission expense based on percentage of completion rates that correlate to the project and reduce the deferred asset. Once we have been paid by the customer, we pay the commission, and the liability is reduced.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Costs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Estimated costs of warranties are accrued based on historical warranty claim costs in relation to current revenues. In addition, specific provisions are made when product failures are projected outside historical experience. Our standard terms and conditions of sale include a warranty for parts and service for one year. Occasionally, we provide service-type warranties that will extend the warranty period. Actual results could differ from our estimate.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Projects may require, on occasion, warranty terms that are longer than our standard terms due to the nature of the project. Extended warranty terms may be negotiated and included in our contracts. The allocated revenue associated with the extended warranty is deferred and recorded as a contract liability and recognized as revenue over the extended warranty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activities are directed toward the development of new products and processes as well as improvements in existing products and processes. These costs, which primarily include salaries, contract services and supplies, are expensed as incurred. Such amounts were $11.0 million, $9.4 million and $6.2 million in Fiscal 2025, 2024 and 2023, respectively.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functional currency for our foreign subsidiaries is the local currency in which the entity is located. The financial statements of all subsidiaries with a functional currency other than the U.S. Dollar have been translated into U.S. Dollars. All assets and liabilities of foreign operations are translated into U.S. Dollars using period-end exchange rates, and all revenues and expenses are translated at average rates during the respective period. The U.S. Dollar results that arise from such translation, as well as exchange gains and losses on intercompany balances of a long-term investment nature, are included in the cumulative currency translation adjustments in accumulated other comprehensive loss in stockholders’ equity.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measure stock-based compensation cost at the grant date based on the fair value of the award. Compensation expense is recognized over the period during which the recipient is required to provide service in exchange for the awards, typically the vesting period. Excess income tax benefits related to stock-based compensation expense are recognized as income tax expense or benefit in the Consolidated Statements of Operations. Cash paid when directly withholding shares on an employee’s behalf for tax withholding purposes is classified as a financing activity. We account for forfeitures as they occur, rather than estimate expected forfeitures.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 Update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November 2023, the Financial Accounting Standard Board (FASB) issued Accounting Standards Update (ASU) 2023-07,</w:t>
      </w:r>
    </w:p>
    <w:p>
      <w:pPr>
        <w:spacing w:after="0" w:line="2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requires that public entities disclose significant segment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that are regularly provided to the chief operating decision maker (CODM) on an annual and interim basis. It also requires that public entities disclose the title and position of the CODM and an explanation of how the CODM uses the reported measures in assessing segment performance and resource allocation. Additionally, it requires that all existing annual disclosures about segment profit or loss and assets must be provided on an interim basis and clarifies that single reportable segment entities are subject to the disclosure requirement under Topic 280 in its entirety. ASU 2023-07 was effective for fiscal years beginning after December 15, 2023 and interim periods within those fiscal years beginning after December 15, 2024. A public entity should apply ASU 2023-07 retrospectively to all prior periods presented in the financial statements. Early adoption was permitted. We have adopted the new standard with an effective date of October 1, 2024. See Note N. Segment Information for additional information.</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Updates and Disclosure Rules Issued but Not Yet Adopted</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which enhances the transparency of income tax disclosures. It requires greater disaggregation of information in the tax rate reconciliation and income taxes paid disaggregated by jurisdiction. This ASU is effective for fiscal years beginning after December 15, 2024, and should be applied on a prospective basis. Retrospective application and early adoption are permitted. We are currently evaluating the impacts of the new standard.</w:t>
      </w:r>
    </w:p>
    <w:p>
      <w:pPr>
        <w:spacing w:after="0" w:line="19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Reporting Comprehensive Income - Expense Disaggregation Disclosures</w:t>
      </w:r>
      <w:r>
        <w:rPr>
          <w:rFonts w:ascii="Times New Roman" w:cs="Times New Roman" w:eastAsia="Times New Roman" w:hAnsi="Times New Roman"/>
          <w:sz w:val="18"/>
          <w:szCs w:val="18"/>
          <w:color w:val="auto"/>
        </w:rPr>
        <w:t>, which requires additional qualitative and quantitative information about specific expense categories in the notes to financial statements for both interim and annual reporting periods. In January 2025, the FASB further clarified the effective date for interim reporting periods. This ASU is effective for fiscal years beginning after December 15, 2026 and interim periods within those fiscal years beginning after December 15, 2027, with early adoption permitted. We are currently evaluating the impacts of the new standard.</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Earnings Per Share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compute basic earnings per share by dividing net income by the weighted average number of common shares outstanding during the period. Diluted earnings per common and potential common share include the weighted average of additional shares associated with the incremental effect of dilutive restricted stock and restricted stock units.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49" w:name="page50"/>
    <w:bookmarkEnd w:id="49"/>
    <w:p>
      <w:pPr>
        <w:spacing w:after="0" w:line="329" w:lineRule="auto"/>
        <w:rPr>
          <w:sz w:val="20"/>
          <w:szCs w:val="20"/>
          <w:color w:val="auto"/>
        </w:rPr>
      </w:pPr>
      <w:r>
        <w:rPr>
          <w:rFonts w:ascii="Times New Roman" w:cs="Times New Roman" w:eastAsia="Times New Roman" w:hAnsi="Times New Roman"/>
          <w:sz w:val="18"/>
          <w:szCs w:val="18"/>
          <w:color w:val="auto"/>
        </w:rPr>
        <w:t>The following table reconciles basic and diluted weighted average shares used in the computation of earnings per share (in thousands, except per share data):</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7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180,747</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149,848</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54,525</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8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i w:val="1"/>
                <w:iCs w:val="1"/>
                <w:color w:val="auto"/>
              </w:rPr>
              <w:t>Denominator:</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74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basic shares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11,879</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Dilutive effect of restricted stock and restricted stock units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37"/>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diluted shares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12,120</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Earnings per share:</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7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7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8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14.86</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12.29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1"/>
        </w:trPr>
        <w:tc>
          <w:tcPr>
            <w:tcW w:w="7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Detail of Selected Balance Sheet Accounts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inventories are summarized below (in thousands):</w:t>
      </w:r>
    </w:p>
    <w:p>
      <w:pPr>
        <w:spacing w:after="0" w:line="167" w:lineRule="exact"/>
        <w:rPr>
          <w:sz w:val="20"/>
          <w:szCs w:val="20"/>
          <w:color w:val="auto"/>
        </w:rPr>
      </w:pPr>
    </w:p>
    <w:p>
      <w:pPr>
        <w:jc w:val="center"/>
        <w:ind w:left="84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23495</wp:posOffset>
            </wp:positionV>
            <wp:extent cx="17487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33" w:lineRule="exact"/>
        <w:rPr>
          <w:sz w:val="20"/>
          <w:szCs w:val="20"/>
          <w:color w:val="auto"/>
        </w:rPr>
      </w:pPr>
    </w:p>
    <w:p>
      <w:pPr>
        <w:ind w:left="8960"/>
        <w:spacing w:after="0"/>
        <w:tabs>
          <w:tab w:leader="none" w:pos="1038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ectPr>
          <w:pgSz w:w="11900" w:h="16838" w:orient="portrait"/>
          <w:cols w:equalWidth="0" w:num="1">
            <w:col w:w="11240"/>
          </w:cols>
          <w:pgMar w:left="320" w:top="1107" w:right="339" w:bottom="1440" w:gutter="0" w:footer="0" w:header="0"/>
        </w:sectPr>
      </w:pP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Raw materials, parts and sub-assemblies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Work-in-progress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06285"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Provision for excess and obsolete inventories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inventories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Property, plant and equipment are summarized below (in thousands):</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1420" w:type="dxa"/>
        <w:tblCellMar>
          <w:top w:w="0" w:type="dxa"/>
          <w:left w:w="0" w:type="dxa"/>
          <w:bottom w:w="0" w:type="dxa"/>
          <w:right w:w="0" w:type="dxa"/>
        </w:tblCellMar>
      </w:tblPr>
      <w:tr>
        <w:trPr>
          <w:trHeight w:val="238"/>
        </w:trPr>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90,743</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92,314</w:t>
            </w:r>
          </w:p>
        </w:tc>
      </w:tr>
      <w:tr>
        <w:trPr>
          <w:trHeight w:val="230"/>
        </w:trPr>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r>
      <w:tr>
        <w:trPr>
          <w:trHeight w:val="234"/>
        </w:trPr>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(8,246)</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(7,361)</w:t>
            </w:r>
          </w:p>
        </w:tc>
      </w:tr>
      <w:tr>
        <w:trPr>
          <w:trHeight w:val="223"/>
        </w:trPr>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84,719</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85,873</w:t>
            </w:r>
          </w:p>
        </w:tc>
      </w:tr>
      <w:tr>
        <w:trPr>
          <w:trHeight w:val="21"/>
        </w:trPr>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12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Range of</w:t>
            </w:r>
          </w:p>
        </w:tc>
        <w:tc>
          <w:tcPr>
            <w:tcW w:w="0" w:type="dxa"/>
            <w:vAlign w:val="bottom"/>
          </w:tcPr>
          <w:p>
            <w:pPr>
              <w:spacing w:after="0"/>
              <w:rPr>
                <w:sz w:val="1"/>
                <w:szCs w:val="1"/>
                <w:color w:val="auto"/>
              </w:rPr>
            </w:pPr>
          </w:p>
        </w:tc>
      </w:tr>
      <w:tr>
        <w:trPr>
          <w:trHeight w:val="23"/>
        </w:trPr>
        <w:tc>
          <w:tcPr>
            <w:tcW w:w="18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20" w:type="dxa"/>
            <w:vAlign w:val="bottom"/>
            <w:vMerge w:val="restart"/>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Asset Lives</w:t>
            </w:r>
          </w:p>
        </w:tc>
        <w:tc>
          <w:tcPr>
            <w:tcW w:w="0" w:type="dxa"/>
            <w:vAlign w:val="bottom"/>
          </w:tcPr>
          <w:p>
            <w:pPr>
              <w:spacing w:after="0"/>
              <w:rPr>
                <w:sz w:val="1"/>
                <w:szCs w:val="1"/>
                <w:color w:val="auto"/>
              </w:rPr>
            </w:pPr>
          </w:p>
        </w:tc>
      </w:tr>
      <w:tr>
        <w:trPr>
          <w:trHeight w:val="184"/>
        </w:trPr>
        <w:tc>
          <w:tcPr>
            <w:tcW w:w="1880" w:type="dxa"/>
            <w:vAlign w:val="bottom"/>
          </w:tcPr>
          <w:p>
            <w:pPr>
              <w:jc w:val="right"/>
              <w:ind w:right="10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6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300" w:space="720"/>
            <w:col w:w="4220"/>
          </w:cols>
          <w:pgMar w:left="320" w:top="1107" w:right="339" w:bottom="1440" w:gutter="0" w:footer="0" w:header="0"/>
          <w:type w:val="continuous"/>
        </w:sectPr>
      </w:pPr>
    </w:p>
    <w:tbl>
      <w:tblPr>
        <w:tblLayout w:type="fixed"/>
        <w:tblInd w:w="0" w:type="dxa"/>
        <w:tblCellMar>
          <w:top w:w="0" w:type="dxa"/>
          <w:left w:w="0" w:type="dxa"/>
          <w:bottom w:w="0" w:type="dxa"/>
          <w:right w:w="0" w:type="dxa"/>
        </w:tblCellMar>
      </w:tblPr>
      <w:tr>
        <w:trPr>
          <w:trHeight w:val="235"/>
        </w:trPr>
        <w:tc>
          <w:tcPr>
            <w:tcW w:w="70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Land</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24,436</w:t>
            </w:r>
          </w:p>
        </w:tc>
        <w:tc>
          <w:tcPr>
            <w:tcW w:w="10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24,110</w:t>
            </w:r>
          </w:p>
        </w:tc>
        <w:tc>
          <w:tcPr>
            <w:tcW w:w="120" w:type="dxa"/>
            <w:vAlign w:val="bottom"/>
            <w:tcBorders>
              <w:top w:val="single" w:sz="8" w:color="CCEEFF"/>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127,094</w:t>
            </w: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 – 39 Years</w:t>
            </w: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Machinery and equipment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94,889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 – 15 Years</w:t>
            </w: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Furniture and fixtures</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 – 10 Years</w:t>
            </w: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Construction in process</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3"/>
        </w:trPr>
        <w:tc>
          <w:tcPr>
            <w:tcW w:w="70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262,897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252,295</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(151,848)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(148,874)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3"/>
        </w:trPr>
        <w:tc>
          <w:tcPr>
            <w:tcW w:w="7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111,049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103,421</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
        </w:trPr>
        <w:tc>
          <w:tcPr>
            <w:tcW w:w="7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assets under finance lease as of September 30, 2025 or September 30, 2024. Depreciation expense was $7.2 million, $6.9 million and $8.6 million for fiscal years 2025, 2024, and 2023, respectively.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50" w:name="page51"/>
    <w:bookmarkEnd w:id="50"/>
    <w:p>
      <w:pPr>
        <w:jc w:val="both"/>
        <w:spacing w:after="0" w:line="261" w:lineRule="auto"/>
        <w:rPr>
          <w:sz w:val="20"/>
          <w:szCs w:val="20"/>
          <w:color w:val="auto"/>
        </w:rPr>
      </w:pPr>
      <w:r>
        <w:rPr>
          <w:rFonts w:ascii="Times New Roman" w:cs="Times New Roman" w:eastAsia="Times New Roman" w:hAnsi="Times New Roman"/>
          <w:sz w:val="18"/>
          <w:szCs w:val="18"/>
          <w:color w:val="auto"/>
        </w:rPr>
        <w:t>In Fiscal 2025, the expansion and improvement project at our electrical products facility in Houston, Texas was completed and the incremental capacity has been placed into service. Additionally, on August 15, 2025, we acquired land and buildings of $2.8 million related to the acquisition of Remsdaq. In Fiscal 2024, we acquired land and buildings in Houston for a total cash purchase price of approximately $5.6 million to help further facilitate executing the current backlog as well as planning for modest future volume growth.</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Product Warranty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our product warranty accrual consisted of the following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6"/>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to warranty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7,525</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Deduction for warranty charges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(5,039)</w:t>
            </w:r>
          </w:p>
        </w:tc>
      </w:tr>
      <w:tr>
        <w:trPr>
          <w:trHeight w:val="229"/>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due to foreign currency translation</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6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revenues are primarily generated from the manufacturing of custom-engineered products and systems under long-term fixed-price contracts under which we agree to manufacture various products such as traditional and arc-resistant distribution switchgear and control gear, medium-voltage circuit breakers, monitoring and control communications systems, motor control centers, switches and bus duct systems. These products may be sold separately as an engineered solution but are typically integrated into custom-built enclosures which we also build. These enclosures are referred to as power control room substations (PCRs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custom-engineered modules or electrical houses (E-Houses). Some contracts may also include the installation and the commissioning of these enclosures.</w:t>
      </w:r>
    </w:p>
    <w:p>
      <w:pPr>
        <w:spacing w:after="0" w:line="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from these contracts is generally recognized over time utilizing the cost-to-cost method. Under the cost-to-cost method, the extent of progress towards completion is measured based on the ratio of costs incurred to date to the total estimated costs at completion of the performance obligation. We believe that this method is the most accurate representation of our performance because it directly measures the value of the services transferred to the customer over time as we incur costs on our contracts. Contract costs include all direct materials, labor and indirect costs related to contract performance, which may include indirect labor, supplies, tools, repairs and depreciation costs.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have contracts to provide field service inspection, installation, commissioning, modification, and repair services, as well as retrofit and retrofill components for existing systems. If the service contract terms give us the right to invoice the customer for an amount that corresponds directly with the value of our performance completed to date (i.e., a service contract in which we bill a fixed amount for each hour of service provided), then we recognize revenue over time in each reporting period corresponding to the amount that we have the right to invoice. Our performance obligations are satisfied as the work progresses. Revenues from our custom-engineered products and value-added services transferred to customers over time accounted for approximately 96% and 95% of revenues for the years ended September 30, 2025 and September 30, 2024, respectively.</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sales orders for spare parts and replacement circuit breakers for switchgear that are obsolete or that are no longer produced by the original manufacturer. Revenues from these sales orders are recognized at the time we fulfill our performance obligation to the customer, which is typically upon shipment and represented approximately 4% and 5% of revenues for the years ended September 30, 2025 and September 30, 2024, respectively.</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some contracts may contain a cancellation clause that could limit the amount of revenue we are able to recognize over time. In these instances, revenue and costs associated with these contracts are deferred and recognized at a point in time when the performance obligation is fulfilled.</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and administrative costs incurred in relation to obtaining a contract are typically expensed as incurred. We periodically utilize a third-party sales agent to obtain a contract and will pay a commission to that agent. We record the full commission liability to the third-party sales agents at the order date, with a corresponding deferred asset. As the project progresses, we record commission expense based on percentage of completion rates that correlate to the project and reduce the deferred asset. Once we have been paid by the customer, we pay the commission, and the deferred liability is reduced.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performance obligation is a promise in a contract or with a customer to transfer a distinct good or service. A contract’s transaction price is allocated to each distinct performance obligation and recognized as revenue as the performance obligations are satisfied. To determine the proper revenue recognition for contracts, we evaluate whether a contract should be accounted for as more than one performance obligation or, less commonly, whether two or more contracts should be combined and accounted for as one performance obligation. This evaluation of performance obligations requires significant judgment. The majority of our contracts have a single performance obligation where multiple engineered products and services are combined into a single custom-engineered solution. Our contracts include a standard one-year assurance warranty. Occasionally, we provide service-type warranties that will extend the warranty period. These extended warranties qualify as a separate performance obligation, and revenue is deferred and recognized over the warranty period. If we determine during the evaluation of the contract that there are multiple performance obligations, we allocate the transaction price to each performance obligation using our best estimate of the standalone selling price of each distinct good or service in the contract.</w:t>
      </w:r>
    </w:p>
    <w:p>
      <w:pPr>
        <w:spacing w:after="0" w:line="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Remaining unsatisfied performance obligations, which we refer to as backlog, represent the estimated transaction price for goods and services for which we have a material right, but work has not been performed. As of September 30, 2025, we had backlog of $1.4 billion, of which approximately $823.6 million is expected to be recognized as revenue within the next twelve months. Backlog may not be indicative of future operating results as orders may be cancelled or modified by our customers. Our backlog does not include service and maintenance-type contracts for which we have the right to invoice as services are performed.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Estimates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Actual revenues and project costs may vary from previous estimates due to changes in a variety of factors. The cost estimation process is based on the professional knowledge and experience of our engineers, project managers and financial professionals. Factors that are considered in estimating the work to be completed and ultimate contract recovery include the availability and productivity of labor, the nature and complexity of the work to be performed, the availability of materials, and the effect of any delays on our project performance. We periodically review our job performance, job conditions, estimated profitability and final contract settlements, including our estimate of total costs and make revisions to costs and income in the period in which the revisions are probable and reasonably estimable. We bear the risk of cost overruns in most of our contracts, which may result in reduced profits. Whenever revisions of estimated contract costs and contract values indicate that the contract costs will exceed estimated revenues, thus creating a loss, a provision for the total estimated loss is recorded in that period.</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years ended September 30, 2025 and 2024, our operating results were positively impacted by $19.2 million and $16.9 million, respectively, as a result of net changes in contract estimates related to projects in progress at the beginning of the respective period. These changes in estimates resulted primarily from favorable project execution, reduced cost estimates and negotiations of variable consideration, discussed below, as well as revenue recognized from project cancellations and other changes in facts and circumstances during these periods. Project cancellations increased gross profit by $4.6 million and $2.2 million, respectively, for the years ended September 30, 2025 and 2024. Gross unfavorable changes in contract estimates were immaterial for the years ended September 30, 2025 and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Consideration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common for our long-term contracts to contain variable consideration that can either increase or decrease the transaction price. Due to the nature of our contracts, estimating total cost and revenue can be complex and subject to variability due to change orders, back charges, spare parts, early completion bonuses, customer allowances and liquidated damages. We estimate the amount of variable consideration based on the expected value method, which is the sum of the probability-weighted amounts, or the most likely amount method which uses various factors including experience with similar transactions and assessment of our anticipated performance. Variable consideration is included in the transaction price if legally enforceable and to the extent it is probable that a significant reversal of cumulative revenue recognized will not occur once the uncertainty associated with the variable consideration is resolved.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Modifications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Contracts may be modified for changes in contract specifications and requirements. We consider contract modifications to exist when the modification either creates new or changes the enforceable rights and obligations under the contract. Most of our contract modifications are for goods and services that are not distinct from the existing performance obligation. Contract modifications result in a cumulative catch-up adjustment to revenue based on our measure of progress for the performance obligation.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affects accounts receivable, contract assets and contract liabilities in our Consolidated Balance Sheets.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assets are recorded when revenues are recognized in excess of amounts billed for fixed-price contracts as determined by the billing milestone schedule. Contract assets are transferred to accounts receivable when billing milestones have been met, or we have an unconditional right to payment.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liabilities typically represent advance payments from contractual billing milestones and billings in excess of revenue recognized. It is unusual to have advanced milestone payments with a term greater than one year, which could represent a financing component on the contract.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contract assets and liabilities are reported in a net position on a contract-by-contract basis at the end of each reporting period and are generally classified as current.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and liabilities as of September 30, 2025 and September 30, 2024 are summarized below (in thousands):</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40" w:type="dxa"/>
            <w:vAlign w:val="bottom"/>
          </w:tcPr>
          <w:p>
            <w:pPr>
              <w:spacing w:after="0"/>
              <w:rPr>
                <w:sz w:val="16"/>
                <w:szCs w:val="16"/>
                <w:color w:val="auto"/>
              </w:rPr>
            </w:pPr>
          </w:p>
        </w:tc>
      </w:tr>
      <w:tr>
        <w:trPr>
          <w:trHeight w:val="23"/>
        </w:trPr>
        <w:tc>
          <w:tcPr>
            <w:tcW w:w="77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7700" w:type="dxa"/>
            <w:vAlign w:val="bottom"/>
            <w:tcBorders>
              <w:bottom w:val="single" w:sz="8" w:color="CFF0FC"/>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center"/>
              <w:ind w:left="437"/>
              <w:spacing w:after="0"/>
              <w:rPr>
                <w:sz w:val="20"/>
                <w:szCs w:val="20"/>
                <w:color w:val="auto"/>
              </w:rPr>
            </w:pPr>
            <w:r>
              <w:rPr>
                <w:rFonts w:ascii="Times New Roman" w:cs="Times New Roman" w:eastAsia="Times New Roman" w:hAnsi="Times New Roman"/>
                <w:sz w:val="18"/>
                <w:szCs w:val="18"/>
                <w:color w:val="auto"/>
              </w:rPr>
              <w:t>136,679</w:t>
            </w:r>
          </w:p>
        </w:tc>
        <w:tc>
          <w:tcPr>
            <w:tcW w:w="220" w:type="dxa"/>
            <w:vAlign w:val="bottom"/>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center"/>
              <w:ind w:left="335"/>
              <w:spacing w:after="0"/>
              <w:rPr>
                <w:sz w:val="20"/>
                <w:szCs w:val="20"/>
                <w:color w:val="auto"/>
              </w:rPr>
            </w:pPr>
            <w:r>
              <w:rPr>
                <w:rFonts w:ascii="Times New Roman" w:cs="Times New Roman" w:eastAsia="Times New Roman" w:hAnsi="Times New Roman"/>
                <w:sz w:val="18"/>
                <w:szCs w:val="18"/>
                <w:color w:val="auto"/>
              </w:rPr>
              <w:t>102,827</w:t>
            </w:r>
          </w:p>
        </w:tc>
      </w:tr>
      <w:tr>
        <w:trPr>
          <w:trHeight w:val="229"/>
        </w:trPr>
        <w:tc>
          <w:tcPr>
            <w:tcW w:w="77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417"/>
              <w:spacing w:after="0"/>
              <w:rPr>
                <w:sz w:val="20"/>
                <w:szCs w:val="20"/>
                <w:color w:val="auto"/>
              </w:rPr>
            </w:pPr>
            <w:r>
              <w:rPr>
                <w:rFonts w:ascii="Times New Roman" w:cs="Times New Roman" w:eastAsia="Times New Roman" w:hAnsi="Times New Roman"/>
                <w:sz w:val="18"/>
                <w:szCs w:val="18"/>
                <w:color w:val="auto"/>
                <w:w w:val="99"/>
              </w:rPr>
              <w:t>(297,949)</w:t>
            </w:r>
          </w:p>
        </w:tc>
        <w:tc>
          <w:tcPr>
            <w:tcW w:w="2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left="315"/>
              <w:spacing w:after="0"/>
              <w:rPr>
                <w:sz w:val="20"/>
                <w:szCs w:val="20"/>
                <w:color w:val="auto"/>
              </w:rPr>
            </w:pPr>
            <w:r>
              <w:rPr>
                <w:rFonts w:ascii="Times New Roman" w:cs="Times New Roman" w:eastAsia="Times New Roman" w:hAnsi="Times New Roman"/>
                <w:sz w:val="18"/>
                <w:szCs w:val="18"/>
                <w:color w:val="auto"/>
                <w:w w:val="99"/>
              </w:rPr>
              <w:t>(287,763)</w:t>
            </w:r>
          </w:p>
        </w:tc>
      </w:tr>
      <w:tr>
        <w:trPr>
          <w:trHeight w:val="248"/>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contract liability</w:t>
            </w: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center"/>
              <w:ind w:left="417"/>
              <w:spacing w:after="0"/>
              <w:rPr>
                <w:sz w:val="20"/>
                <w:szCs w:val="20"/>
                <w:color w:val="auto"/>
              </w:rPr>
            </w:pPr>
            <w:r>
              <w:rPr>
                <w:rFonts w:ascii="Times New Roman" w:cs="Times New Roman" w:eastAsia="Times New Roman" w:hAnsi="Times New Roman"/>
                <w:sz w:val="18"/>
                <w:szCs w:val="18"/>
                <w:color w:val="auto"/>
                <w:w w:val="99"/>
              </w:rPr>
              <w:t>(161,270)</w:t>
            </w:r>
          </w:p>
        </w:tc>
        <w:tc>
          <w:tcPr>
            <w:tcW w:w="220" w:type="dxa"/>
            <w:vAlign w:val="bottom"/>
          </w:tcPr>
          <w:p>
            <w:pPr>
              <w:spacing w:after="0"/>
              <w:rPr>
                <w:sz w:val="21"/>
                <w:szCs w:val="21"/>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center"/>
              <w:ind w:left="315"/>
              <w:spacing w:after="0"/>
              <w:rPr>
                <w:sz w:val="20"/>
                <w:szCs w:val="20"/>
                <w:color w:val="auto"/>
              </w:rPr>
            </w:pPr>
            <w:r>
              <w:rPr>
                <w:rFonts w:ascii="Times New Roman" w:cs="Times New Roman" w:eastAsia="Times New Roman" w:hAnsi="Times New Roman"/>
                <w:sz w:val="18"/>
                <w:szCs w:val="18"/>
                <w:color w:val="auto"/>
                <w:w w:val="99"/>
              </w:rPr>
              <w:t>(184,936)</w:t>
            </w:r>
          </w:p>
        </w:tc>
      </w:tr>
      <w:tr>
        <w:trPr>
          <w:trHeight w:val="20"/>
        </w:trPr>
        <w:tc>
          <w:tcPr>
            <w:tcW w:w="77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net contract billing position remained a net liability at both September 30, 2025 and September 30, 2024, primarily due to favorable contract billing milestones. We typically allocate a significant percentage of the progress billing to the early stages of the contract. To determine the amount of revenue recognized during the period from contract liabilities, we first allocate revenue to the individual contract liability balance outstanding at the beginning of the period until the revenue exceeds that balance. During the year ended September 30, 2025, we recognized revenue of $261.2 million that was related to contract liabilities outstanding at September 30, 2024.</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timing of our invoice process is typically dependent on the completion of certain milestones and contract terms and is subject to agreement by our customer. Payment is typically expected within 30 days of invoice. Any uncollected invoiced amounts for our performance obligations recognized over time, including contract retentions, are recorded as accounts receivable in the Consolidated Balance Sheets. Certain contracts allow customers to withhold a small percentage of billings pursuant to retainage provisions, and such amounts are generally due upon completion of the contract and acceptance of the project by the customer. Based on our experience in recent years, the majority of these retainage balances are expected to be collected within approximately twelve months. As of September 30, 2025 and September 30, 2024, we had retention amounts of $8.1 million and $7.1 million, respectively. Of the retained amount at September 30, 2025, $8.0 million is expected to be collected in the next twelve months and is recorded in accounts receivable. The remaining $0.1 million is recorded in other assets.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our disaggregated revenue by geographic destination and market sector for the years ended September 30, 2025,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6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880,222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846,526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557,934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157,191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Middle East and Africa</w:t>
            </w:r>
          </w:p>
        </w:tc>
        <w:tc>
          <w:tcPr>
            <w:tcW w:w="2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2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2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Mexico, Central and South America</w:t>
            </w:r>
          </w:p>
        </w:tc>
        <w:tc>
          <w:tcPr>
            <w:tcW w:w="26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43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revenues by geographic destination</w:t>
            </w:r>
          </w:p>
        </w:tc>
        <w:tc>
          <w:tcPr>
            <w:tcW w:w="26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1,104,318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1,012,356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699,308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bottom w:val="single" w:sz="8" w:color="CCEEFF"/>
            </w:tcBorders>
            <w:vMerge w:val="restart"/>
          </w:tcPr>
          <w:p>
            <w:pPr>
              <w:jc w:val="right"/>
              <w:ind w:right="1190"/>
              <w:spacing w:after="0"/>
              <w:rPr>
                <w:sz w:val="20"/>
                <w:szCs w:val="20"/>
                <w:color w:val="auto"/>
              </w:rPr>
            </w:pPr>
            <w:r>
              <w:rPr>
                <w:rFonts w:ascii="Times New Roman" w:cs="Times New Roman" w:eastAsia="Times New Roman" w:hAnsi="Times New Roman"/>
                <w:sz w:val="18"/>
                <w:szCs w:val="18"/>
                <w:color w:val="auto"/>
              </w:rPr>
              <w:t>52</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3" w:name="page54"/>
    <w:bookmarkEnd w:id="53"/>
    <w:tbl>
      <w:tblPr>
        <w:tblLayout w:type="fixed"/>
        <w:tblInd w:w="40" w:type="dxa"/>
        <w:tblCellMar>
          <w:top w:w="0" w:type="dxa"/>
          <w:left w:w="0" w:type="dxa"/>
          <w:bottom w:w="0" w:type="dxa"/>
          <w:right w:w="0" w:type="dxa"/>
        </w:tblCellMar>
      </w:tblPr>
      <w:tr>
        <w:trPr>
          <w:trHeight w:val="190"/>
        </w:trPr>
        <w:tc>
          <w:tcPr>
            <w:tcW w:w="6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and gas (excludes petrochemical)</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406,565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273,117</w:t>
            </w:r>
          </w:p>
        </w:tc>
      </w:tr>
      <w:tr>
        <w:trPr>
          <w:trHeight w:val="229"/>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Electric utility</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278,988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158,400</w:t>
            </w:r>
          </w:p>
        </w:tc>
      </w:tr>
      <w:tr>
        <w:trPr>
          <w:trHeight w:val="23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other industrial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178,222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103,966</w:t>
            </w:r>
          </w:p>
        </w:tc>
      </w:tr>
      <w:tr>
        <w:trPr>
          <w:trHeight w:val="229"/>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Petrochemical</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151,166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94,188</w:t>
            </w:r>
          </w:p>
        </w:tc>
      </w:tr>
      <w:tr>
        <w:trPr>
          <w:trHeight w:val="22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Light rail traction power</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28,112</w:t>
            </w:r>
          </w:p>
        </w:tc>
      </w:tr>
      <w:tr>
        <w:trPr>
          <w:trHeight w:val="230"/>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48,113</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51,115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41,525</w:t>
            </w:r>
          </w:p>
        </w:tc>
      </w:tr>
      <w:tr>
        <w:trPr>
          <w:trHeight w:val="248"/>
        </w:trPr>
        <w:tc>
          <w:tcPr>
            <w:tcW w:w="69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revenues by market sector</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1,104,318</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1,012,356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699,308</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Goodwill and Other Intangible Assets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intangible assets include goodwill of $6.1 million, which is not being amortized, and other intangible assets of $6.1 million being amortized over their estimated useful lives. No impairment expense has been recorded for the last three fiscal years.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for our single reporting segment are as follows (in thousands):</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188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1880" w:type="dxa"/>
            <w:vAlign w:val="bottom"/>
          </w:tcPr>
          <w:p>
            <w:pPr>
              <w:spacing w:after="0"/>
              <w:rPr>
                <w:sz w:val="2"/>
                <w:szCs w:val="2"/>
                <w:color w:val="auto"/>
              </w:rPr>
            </w:pPr>
          </w:p>
        </w:tc>
        <w:tc>
          <w:tcPr>
            <w:tcW w:w="7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Balance at September 30,</w:t>
            </w:r>
          </w:p>
        </w:tc>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and 2023</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r>
      <w:tr>
        <w:trPr>
          <w:trHeight w:val="230"/>
        </w:trPr>
        <w:tc>
          <w:tcPr>
            <w:tcW w:w="9520" w:type="dxa"/>
            <w:vAlign w:val="bottom"/>
            <w:gridSpan w:val="2"/>
          </w:tcPr>
          <w:p>
            <w:pPr>
              <w:ind w:left="260"/>
              <w:spacing w:after="0" w:line="230" w:lineRule="exact"/>
              <w:rPr>
                <w:sz w:val="20"/>
                <w:szCs w:val="20"/>
                <w:color w:val="auto"/>
              </w:rPr>
            </w:pPr>
            <w:r>
              <w:rPr>
                <w:rFonts w:ascii="Times New Roman" w:cs="Times New Roman" w:eastAsia="Times New Roman" w:hAnsi="Times New Roman"/>
                <w:sz w:val="18"/>
                <w:szCs w:val="18"/>
                <w:color w:val="auto"/>
              </w:rPr>
              <w:t>Goodwill related to Remsdaq acquisition</w:t>
            </w:r>
            <w:r>
              <w:rPr>
                <w:rFonts w:ascii="Times New Roman" w:cs="Times New Roman" w:eastAsia="Times New Roman" w:hAnsi="Times New Roman"/>
                <w:sz w:val="23"/>
                <w:szCs w:val="23"/>
                <w:color w:val="auto"/>
                <w:vertAlign w:val="superscript"/>
              </w:rPr>
              <w:t>(1)</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5,143</w:t>
            </w:r>
          </w:p>
        </w:tc>
      </w:tr>
      <w:tr>
        <w:trPr>
          <w:trHeight w:val="229"/>
        </w:trPr>
        <w:tc>
          <w:tcPr>
            <w:tcW w:w="9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Balance at September 30,</w:t>
            </w:r>
          </w:p>
        </w:tc>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6,125</w:t>
            </w:r>
          </w:p>
        </w:tc>
      </w:tr>
      <w:tr>
        <w:trPr>
          <w:trHeight w:val="20"/>
        </w:trPr>
        <w:tc>
          <w:tcPr>
            <w:tcW w:w="188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220" w:hanging="160"/>
        <w:spacing w:after="0"/>
        <w:tabs>
          <w:tab w:leader="none" w:pos="220"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See Note P. Business Acquisition for additional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 balances, subject to amortization, at September 30, 2025 and 2024 consisted of the following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2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4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540" w:type="dxa"/>
            <w:vAlign w:val="bottom"/>
          </w:tcPr>
          <w:p>
            <w:pPr>
              <w:spacing w:after="0"/>
              <w:rPr>
                <w:sz w:val="11"/>
                <w:szCs w:val="11"/>
                <w:color w:val="auto"/>
              </w:rPr>
            </w:pPr>
          </w:p>
        </w:tc>
        <w:tc>
          <w:tcPr>
            <w:tcW w:w="1080" w:type="dxa"/>
            <w:vAlign w:val="bottom"/>
            <w:gridSpan w:val="2"/>
          </w:tcPr>
          <w:p>
            <w:pPr>
              <w:jc w:val="center"/>
              <w:ind w:right="60"/>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1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0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200" w:type="dxa"/>
            <w:vAlign w:val="bottom"/>
          </w:tcPr>
          <w:p>
            <w:pPr>
              <w:spacing w:after="0"/>
              <w:rPr>
                <w:sz w:val="12"/>
                <w:szCs w:val="12"/>
                <w:color w:val="auto"/>
              </w:rPr>
            </w:pPr>
          </w:p>
        </w:tc>
        <w:tc>
          <w:tcPr>
            <w:tcW w:w="960" w:type="dxa"/>
            <w:vAlign w:val="bottom"/>
            <w:vMerge w:val="restart"/>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vMerge w:val="restart"/>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6"/>
        </w:trPr>
        <w:tc>
          <w:tcPr>
            <w:tcW w:w="2540" w:type="dxa"/>
            <w:vAlign w:val="bottom"/>
          </w:tcPr>
          <w:p>
            <w:pPr>
              <w:spacing w:after="0"/>
              <w:rPr>
                <w:sz w:val="12"/>
                <w:szCs w:val="12"/>
                <w:color w:val="auto"/>
              </w:rPr>
            </w:pPr>
          </w:p>
        </w:tc>
        <w:tc>
          <w:tcPr>
            <w:tcW w:w="108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540" w:type="dxa"/>
            <w:vAlign w:val="bottom"/>
          </w:tcPr>
          <w:p>
            <w:pPr>
              <w:spacing w:after="0"/>
              <w:rPr>
                <w:sz w:val="11"/>
                <w:szCs w:val="11"/>
                <w:color w:val="auto"/>
              </w:rPr>
            </w:pPr>
          </w:p>
        </w:tc>
        <w:tc>
          <w:tcPr>
            <w:tcW w:w="108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Useful Lives in</w:t>
            </w:r>
          </w:p>
        </w:tc>
        <w:tc>
          <w:tcPr>
            <w:tcW w:w="200" w:type="dxa"/>
            <w:vAlign w:val="bottom"/>
          </w:tcPr>
          <w:p>
            <w:pPr>
              <w:spacing w:after="0"/>
              <w:rPr>
                <w:sz w:val="11"/>
                <w:szCs w:val="11"/>
                <w:color w:val="auto"/>
              </w:rPr>
            </w:pPr>
          </w:p>
        </w:tc>
        <w:tc>
          <w:tcPr>
            <w:tcW w:w="1080" w:type="dxa"/>
            <w:vAlign w:val="bottom"/>
            <w:gridSpan w:val="2"/>
          </w:tcPr>
          <w:p>
            <w:pPr>
              <w:jc w:val="center"/>
              <w:ind w:right="320"/>
              <w:spacing w:after="0" w:line="13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tcPr>
          <w:p>
            <w:pPr>
              <w:jc w:val="center"/>
              <w:ind w:right="320"/>
              <w:spacing w:after="0" w:line="13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1"/>
                <w:szCs w:val="11"/>
                <w:color w:val="auto"/>
              </w:rPr>
            </w:pPr>
          </w:p>
        </w:tc>
        <w:tc>
          <w:tcPr>
            <w:tcW w:w="960" w:type="dxa"/>
            <w:vAlign w:val="bottom"/>
          </w:tcPr>
          <w:p>
            <w:pPr>
              <w:jc w:val="center"/>
              <w:ind w:right="117"/>
              <w:spacing w:after="0" w:line="13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center"/>
              <w:ind w:right="137"/>
              <w:spacing w:after="0" w:line="13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5"/>
        </w:trPr>
        <w:tc>
          <w:tcPr>
            <w:tcW w:w="2540" w:type="dxa"/>
            <w:vAlign w:val="bottom"/>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200" w:type="dxa"/>
            <w:vAlign w:val="bottom"/>
          </w:tcPr>
          <w:p>
            <w:pPr>
              <w:spacing w:after="0"/>
              <w:rPr>
                <w:sz w:val="16"/>
                <w:szCs w:val="16"/>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Pr>
          <w:p>
            <w:pPr>
              <w:spacing w:after="0"/>
              <w:rPr>
                <w:sz w:val="16"/>
                <w:szCs w:val="16"/>
                <w:color w:val="auto"/>
              </w:rPr>
            </w:pPr>
          </w:p>
        </w:tc>
        <w:tc>
          <w:tcPr>
            <w:tcW w:w="96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9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8"/>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Technologies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Order backlog</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9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carrying value of intangible assets attributable to the Remsdaq acquisition was $5.6 million at September 30, 2025, consisting of customer relationships, technologies, trademarks and order backlog. The amortization expense for all amortized intangible assets was $0.1 million in Fiscal 2025.</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we had a technology intangible asset of $0.5 million associated with an intellectual property acquired in December 2023, which has not yet been subject to amortization.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As of September 30, 2025, the estimated future amortization expense of intangible assets is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September 30:</w:t>
            </w:r>
          </w:p>
        </w:tc>
        <w:tc>
          <w:tcPr>
            <w:tcW w:w="7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1700" w:type="dxa"/>
            <w:vAlign w:val="bottom"/>
            <w:tcBorders>
              <w:top w:val="single" w:sz="8" w:color="auto"/>
            </w:tcBorders>
          </w:tcPr>
          <w:p>
            <w:pPr>
              <w:spacing w:after="0"/>
              <w:rPr>
                <w:sz w:val="2"/>
                <w:szCs w:val="2"/>
                <w:color w:val="auto"/>
              </w:rPr>
            </w:pPr>
          </w:p>
        </w:tc>
        <w:tc>
          <w:tcPr>
            <w:tcW w:w="7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7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r>
      <w:tr>
        <w:trPr>
          <w:trHeight w:val="229"/>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r>
      <w:tr>
        <w:trPr>
          <w:trHeight w:val="230"/>
        </w:trPr>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7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r>
      <w:tr>
        <w:trPr>
          <w:trHeight w:val="229"/>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r>
      <w:tr>
        <w:trPr>
          <w:trHeight w:val="230"/>
        </w:trPr>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77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r>
      <w:tr>
        <w:trPr>
          <w:trHeight w:val="229"/>
        </w:trPr>
        <w:tc>
          <w:tcPr>
            <w:tcW w:w="20" w:type="dxa"/>
            <w:vAlign w:val="bottom"/>
            <w:tcBorders>
              <w:bottom w:val="single" w:sz="8" w:color="CCEEFF"/>
            </w:tcBorders>
          </w:tcPr>
          <w:p>
            <w:pPr>
              <w:spacing w:after="0"/>
              <w:rPr>
                <w:sz w:val="19"/>
                <w:szCs w:val="19"/>
                <w:color w:val="auto"/>
              </w:rPr>
            </w:pPr>
          </w:p>
        </w:tc>
        <w:tc>
          <w:tcPr>
            <w:tcW w:w="9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4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77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Long-Term 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Revolver</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4, 2023, we entered into a third amendment (the Third Amendment) to our credit agreement with Bank of America, N.A. (as amended, the U.S. Revolver). The Third Amendment, which added Texas Capital Bank as Syndication Agent and a lender, increased the amount of the revolving line of credit from $125.0 million to $150.0 million, and extended the expiry date to October 4, 2028. The aggregate commitment of $150.0 million consists of $100.0 million committed by Bank of America and $50.0 million committed by Texas Capital Bank. As amended by the Third Amendment, the lesser of</w:t>
      </w:r>
    </w:p>
    <w:p>
      <w:pPr>
        <w:spacing w:after="0" w:line="3" w:lineRule="exact"/>
        <w:rPr>
          <w:sz w:val="20"/>
          <w:szCs w:val="20"/>
          <w:color w:val="auto"/>
        </w:rPr>
      </w:pPr>
    </w:p>
    <w:p>
      <w:pPr>
        <w:jc w:val="both"/>
        <w:ind w:firstLine="8"/>
        <w:spacing w:after="0" w:line="253" w:lineRule="auto"/>
        <w:tabs>
          <w:tab w:leader="none" w:pos="2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$60.0 million, (b) 60% of available cash, and (c) the aggregate face amount of the issued but undrawn letters of credit that are not cash-secured shall be deducted from consolidated funded indebtedness when calculating the consolidated net leverage ratio. We have the option to cash collateralize all or a portion of the letters of credit outstanding, which would favorably impact the consolidated funded indebtedness calculation and the consolidated net leverage ratio.</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26, 2024, in connection with the expected discontinuation of the publication of the Canadian Dollar Offered Rate (CDOR), we further amended the U.S. Revolver by entering into a Canadian benchmark replacement conforming changes amendment with Bank of America, N.A. that added and amended certain terms related to the replacement of the CDOR as a benchmark rate with the forward-looking term rate based on the Canadian Overnight Repo Rate Average. On September 24, 2024, in connection with the expected discontinuation of the publication of the Bloomberg Short-Term Bank Yield Index Rate as administered by the Bloomberg Index Service Limited (BSBY), we further amended the U.S. Revolver by entering into a conforming changes amendment with Bank of America, N.A. that added and amended certain terms related to the replacement of the BSBY as a benchmark rate with the Secured Overnight Financing Rate (SOFR) as administered by the Federal Reserve Bank of New York. On September 30, 2025, we entered into a fourth amendment to the U.S. Revolver associated with a reorganization of holding companies of our foreign subsidiaries, replacing the prior share pledge on 65% of the equity interests of Powell Industries International, B.V., with the share pledge on 65% of the equity interests of Powell Industries International Limited.</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there were no amounts borrowed under the U.S. Revolver, and letters of credit outstanding were $77.5 million. There was $72.5 million available for the issuance of letters of credit and borrowings under the U.S. Revolver as of September 30, 2025.</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September 30, 2025, we are required to maintain certain financial covenants, the most significant of which are a consolidated net leverage ratio of less than 3.0 to 1.0 and a consolidated interest coverage ratio of greater than 3.0 to 1.0. Our most restrictive covenant, the consolidated net leverage ratio, is the ratio of earnings before interest, taxes, depreciation, amortization and stock-based compensation (EBITDAS) to funded indebtedness. An increase in indebtedness, which includes letters of credit, or a decrease in EBITDAS, could restrict our ability to issue letters of credit or borrow under the U.S. Revolver. Additionally, we must maintain a consolidated cash balance of $60 million at all times, which can be deducted from the letters of credit outstanding as noted above. The U.S. Revolver also contains a “material adverse effect” clause, which is a material change in our operations, business, properties, liabilities or condition (financial or otherwise) or a material impairment of our ability to perform our obligations under the U.S. Revolver. As of September 30, 2025, we were in compliance with all of the financial covenants of the U.S. Revolver.</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U.S. Revolver allows the Company to elect that any borrowing under the facility bears an interest rate based on either the base rate or the eurocurrency rate, in each case, plus the applicable rate. The base rate is generally the highest of (a) the federal</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5" w:name="page56"/>
    <w:bookmarkEnd w:id="55"/>
    <w:p>
      <w:pPr>
        <w:jc w:val="both"/>
        <w:spacing w:after="0" w:line="282" w:lineRule="auto"/>
        <w:rPr>
          <w:sz w:val="20"/>
          <w:szCs w:val="20"/>
          <w:color w:val="auto"/>
        </w:rPr>
      </w:pPr>
      <w:r>
        <w:rPr>
          <w:rFonts w:ascii="Times New Roman" w:cs="Times New Roman" w:eastAsia="Times New Roman" w:hAnsi="Times New Roman"/>
          <w:sz w:val="18"/>
          <w:szCs w:val="18"/>
          <w:color w:val="auto"/>
        </w:rPr>
        <w:t>funds rate plus 0.50%, (b) the Bank of America prime rate or (c) the SOFR rate plus 1.00%. The applicable rate is generally a range from 0% to 2% depending on the type of loan and the Company’s consolidated net leverage ratio.</w:t>
      </w:r>
    </w:p>
    <w:p>
      <w:pPr>
        <w:spacing w:after="0" w:line="14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U.S. Revolver is collateralized by a pledge of 100% of the voting capital stock of each of our domestic subsidiaries and 65% of the voting capital stock of each non-domestic subsidiary. The U.S. Revolver provides for customary events of default and carries cross-default provisions with other existing debt agreements. If an event of default (as defined in the U.S. Revolver) occurs and is continuing, on the terms and subject to the conditions set forth in the U.S. Revolver, amounts and letters of credit outstanding under the U.S. Revolver may be accelerated and may become immediately due and payable.</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 Bank Guarantees and Bonds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customers require us to post letters of credit, bank guarantees or surety bonds. These security instruments assure that we will perform under the terms of our contract. In the event of default, the counterparty may demand payment from the bank under a letter of credit or bank guarantee, or performance by the surety under a bond. To date, there have been no significant draws or claims related to security instruments for the periods reported. We were contingently liable for letters of credit of $77.5 million as of September 30, 2025. We also had outstanding surety bonds totaling $417.3 million, with additional bonding capacity of $782.7 million available, at September 30, 2025. We have strong surety relationships; however, a change in market conditions or the sureties’ assessment of our financial position could cause the sureties to require cash collateralization for undischarged liabilities under the bonds.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 $20.2 million facility agreement (Facility Agreement) between Powell (UK) Limited and a large international bank that provides Powell (UK) Limited the ability to enter into bank guarantees as well as forward exchange contracts and currency options. At September 30, 2025, we had outstanding guarantees totaling $3.9 million, with additional capacity of $16.3 million available under this Facility Agreement. The Facility Agreement provides for customary events of default and carries cross-default provisions with the U.S. Revolver. If an event of default (as defined in the Facility Agreement) occurs and is continuing, per the terms and subject to the conditions set forth therein, obligations outstanding under the Facility Agreement may be accelerated and declared immediately due and payable. Additionally, we are required to maintain cash collateral for guarantees greater than two years. As of September 30, 2025, we were in compliance with all of the financial covenants of the Facility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results of operations or liquidity.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Liquidated Damages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of our customer contracts have schedule and performance obligation clauses that, if we fail to meet them, could require us to pay liquidated damages. Each individual contract defines the conditions under which the customer may make a claim against us. As of September 30, 2025, certain contracts had a probable exposure to liquidated damage claims of $3.7 million, which could possibly increase to $4.3 million under certain circumstances. Based on our actual or projected failure to meet these various contractual commitments, $3.4 million has been recorded as a reduction to revenue. We will attempt to obtain change orders, contract extensions or accelerate project completion, which may resolve the potential for any unrecorded liquidated damage claims. Should we fail to achieve relief on some or all of these contractual obligations, we could be required to pay additional liquidated damages, which could negatively impact our future operating results.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I. Income Taxes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income tax provision were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6"/>
          </w:tcPr>
          <w:p>
            <w:pPr>
              <w:jc w:val="center"/>
              <w:ind w:left="615"/>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40,543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45,271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18,129</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22,272</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(7,458)</w:t>
            </w:r>
          </w:p>
        </w:tc>
        <w:tc>
          <w:tcPr>
            <w:tcW w:w="0" w:type="dxa"/>
            <w:vAlign w:val="bottom"/>
          </w:tcPr>
          <w:p>
            <w:pPr>
              <w:spacing w:after="0"/>
              <w:rPr>
                <w:sz w:val="1"/>
                <w:szCs w:val="1"/>
                <w:color w:val="auto"/>
              </w:rPr>
            </w:pPr>
          </w:p>
        </w:tc>
      </w:tr>
      <w:tr>
        <w:trPr>
          <w:trHeight w:val="230"/>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(7,847)</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14,425</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Income before income taxes was as follows (in thousands):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70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7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60" w:type="dxa"/>
            <w:vAlign w:val="bottom"/>
            <w:gridSpan w:val="6"/>
          </w:tcPr>
          <w:p>
            <w:pPr>
              <w:jc w:val="center"/>
              <w:ind w:left="615"/>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167,887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56,923</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39,894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28,201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12,027</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68,950</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reconciliation of the statutory U.S. income tax rate and the effective income tax rate, as computed on earnings before income tax provision (benefit) in each of the three years presented in the Consolidated Statements of Operations, was as follows:</w:t>
      </w:r>
    </w:p>
    <w:p>
      <w:pPr>
        <w:spacing w:after="0" w:line="61"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4"/>
          <w:szCs w:val="14"/>
          <w:b w:val="1"/>
          <w:bCs w:val="1"/>
          <w:color w:val="auto"/>
        </w:rPr>
        <w:t>Year Ended September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rate</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30"/>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U.S. global intangible taxes and benefits</w:t>
            </w:r>
          </w:p>
        </w:tc>
        <w:tc>
          <w:tcPr>
            <w:tcW w:w="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rate</w:t>
            </w:r>
          </w:p>
        </w:tc>
        <w:tc>
          <w:tcPr>
            <w:tcW w:w="920" w:type="dxa"/>
            <w:vAlign w:val="bottom"/>
            <w:tcBorders>
              <w:top w:val="single" w:sz="8" w:color="auto"/>
              <w:bottom w:val="single" w:sz="8" w:color="auto"/>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income tax provision reflects an effective tax rate on pre-tax results of 23% in Fiscal 2025 compared to 24% and 21% in Fiscal 2024 and 2023, respectively. The income tax provision for Fiscal 2025 was favorably impacted by benefits related to the vesting of restricted stock units and the current year estimated Research and Development (R&amp;D) Tax Credit. These items were offset by state income tax expense and the tax expense related to certain nondeductible expenses.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income tax provision for Fiscal 2024 was favorably impacted by the estimated R&amp;D Tax Credit and benefits related to the vesting of restricted stock units. These items were offset by state income tax expense, the tax expense related to certain nondeductible expenses and an income inclusion related to U.S. global intangible income.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income tax provision for Fiscal 2023 was favorably impacted by the reversal of a valuation allowance on the United Kingdom (U.K.) deferred tax assets that were previously fully reserved, in addition to the estimated R&amp;D Tax Credit. These items were offset by state tax expense, the tax expense related to certain nondeductible expenses and an income inclusion related to U.S. global intangible income.</w:t>
      </w:r>
    </w:p>
    <w:p>
      <w:pPr>
        <w:sectPr>
          <w:pgSz w:w="11900" w:h="16838" w:orient="portrait"/>
          <w:cols w:equalWidth="0" w:num="1">
            <w:col w:w="11240"/>
          </w:cols>
          <w:pgMar w:left="320" w:top="1130"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type w:val="continuous"/>
        </w:sectPr>
      </w:pPr>
    </w:p>
    <w:bookmarkStart w:id="57" w:name="page58"/>
    <w:bookmarkEnd w:id="57"/>
    <w:p>
      <w:pPr>
        <w:jc w:val="both"/>
        <w:spacing w:after="0" w:line="256" w:lineRule="auto"/>
        <w:rPr>
          <w:sz w:val="20"/>
          <w:szCs w:val="20"/>
          <w:color w:val="auto"/>
        </w:rPr>
      </w:pPr>
      <w:r>
        <w:rPr>
          <w:rFonts w:ascii="Times New Roman" w:cs="Times New Roman" w:eastAsia="Times New Roman" w:hAnsi="Times New Roman"/>
          <w:sz w:val="18"/>
          <w:szCs w:val="18"/>
          <w:color w:val="auto"/>
        </w:rPr>
        <w:t>We record and maintain valuation allowances against the deferred tax assets of various foreign jurisdictions until sufficient evidence is available to demonstrate that it is more likely than not that the net deferred tax assets will be recognized. As of each reporting date, management considers new evidence, both positive and negative, that could affect its view of the future realization of deferred tax assets. During Fiscal 2024, management determined that there was sufficient positive evidence to conclude that certain Canadian tax credits in the amount of $0.5 million were realizable. The determination was based on the operating results of the past three years and the anticipated future taxable income from our Canadian operations. The release of the valuation allowance resulted in a $0.5 million tax benefit and a corresponding increase in the deferred tax assets.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not recorded deferred income taxes on $53.7 million of undistributed earnings of our foreign subsidiaries because of management’s intent to indefinitely reinvest such earnings. Upon distribution of these earnings in the form of dividends or otherwise, we may be subject to U.S. income taxes and foreign withholding taxes. It is not practical, however, to estimate the amount of taxes that may be payable on the eventual remittance of these earnings.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income tax in the U.S., multiple state jurisdictions and certain international jurisdictions, primarily the U.K. and Canada. The significant jurisdictions that remain open to examination are as follows: Canada 2018 – 2024, U.K. 2024 and U.S. federal and state 2021 – 2024. As of September 30, 2025, we did not have any state audits underway that would have a material impact on our financial position or results of operations.</w:t>
      </w:r>
    </w:p>
    <w:p>
      <w:pPr>
        <w:spacing w:after="0" w:line="9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tax effect of temporary differences between U.S. GAAP accounting and federal income tax accounting, creating deferred income tax assets and liabilities, was as follows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experimental expenditures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18,406</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12,552</w:t>
            </w:r>
          </w:p>
        </w:tc>
      </w:tr>
      <w:tr>
        <w:trPr>
          <w:trHeight w:val="22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contracts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7,480</w:t>
            </w: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compensation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w:t>
            </w: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Uniform capitalization and inventory</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Warranty accrual</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w:t>
            </w: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r>
      <w:tr>
        <w:trPr>
          <w:trHeight w:val="230"/>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 for accrued employee benefits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operating loss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carryforwards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w:t>
            </w: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r>
      <w:tr>
        <w:trPr>
          <w:trHeight w:val="223"/>
        </w:trPr>
        <w:tc>
          <w:tcPr>
            <w:tcW w:w="8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37,086</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31,220</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(5,687)</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w:t>
            </w: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Retention and other</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r>
      <w:tr>
        <w:trPr>
          <w:trHeight w:val="223"/>
        </w:trPr>
        <w:tc>
          <w:tcPr>
            <w:tcW w:w="8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(7,284)</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(5,083)</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r>
      <w:tr>
        <w:trPr>
          <w:trHeight w:val="223"/>
        </w:trPr>
        <w:tc>
          <w:tcPr>
            <w:tcW w:w="8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deferred tax asset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28,143</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24,538</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3"/>
        </w:trPr>
        <w:tc>
          <w:tcPr>
            <w:tcW w:w="8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deferred tax assets related to international net operating loss carryforwards of $0.2 million that are not reserved with a valuation allowance available to offset future tax liabilities in the respective jurisdictions. The majority of these net operating loss carryforwards are related to our U.K. operations and have an indefinite carryforward period. As of September 30, 2025, the majority of our tax credit carryforwards are fully reserved with a valuation allowance.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net increase in the total valuation allowance during the year was less than $0.1 million, which was largely a result of the net operating losses generated in foreign jurisdictions. In assessing the realizability of net deferred tax assets, we consider whether it is more likely than not that some portion or all of the net deferred tax assets may not be realized. The ultimate realization of net deferred tax assets is dependent on the generation of future taxable income during the periods in which those temporary differences become deductible.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the unrecognized tax benefits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0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020" w:type="dxa"/>
            <w:vAlign w:val="bottom"/>
          </w:tcPr>
          <w:p>
            <w:pPr>
              <w:spacing w:after="0"/>
              <w:rPr>
                <w:sz w:val="16"/>
                <w:szCs w:val="16"/>
                <w:color w:val="auto"/>
              </w:rPr>
            </w:pPr>
          </w:p>
        </w:tc>
      </w:tr>
      <w:tr>
        <w:trPr>
          <w:trHeight w:val="23"/>
        </w:trPr>
        <w:tc>
          <w:tcPr>
            <w:tcW w:w="70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70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0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82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1,739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related to tax positions taken during the current period</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related to tax positions taken during a prior period</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Decreases related to expiration of statute of limitations</w:t>
            </w:r>
          </w:p>
        </w:tc>
        <w:tc>
          <w:tcPr>
            <w:tcW w:w="8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Decreases related to settlement with taxing authorities</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820" w:type="dxa"/>
            <w:vAlign w:val="bottom"/>
            <w:tcBorders>
              <w:top w:val="single" w:sz="8" w:color="auto"/>
              <w:bottom w:val="single" w:sz="8" w:color="auto"/>
            </w:tcBorders>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2,148</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w:t>
            </w:r>
          </w:p>
        </w:tc>
      </w:tr>
      <w:tr>
        <w:trPr>
          <w:trHeight w:val="20"/>
        </w:trPr>
        <w:tc>
          <w:tcPr>
            <w:tcW w:w="70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Included in the balance of unrecognized tax benefits at the end of Fiscal 2025, 2024, and 2023 are $1.9 million, $1.5 million, and $1.6 million, respectively, of tax benefits that, if recognized, would affect the effective tax rate. Our policy is to recognize interest and penalties related to income tax matters as tax expense. The amount of interest and penalty expense recorded for the year ended September 30, 2025 was not material.</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Management believes that, within the next twelve months, it is reasonably possible that the unrecognized tax benefits will decrease by approximately $0.3 million due to the expiration of certain federal statutes of limitations. We are unable to make reasonably reliable estimates regarding the timing of future cash outflows, if any, associated with the remaining unrecognized tax benefits for the open periods of fiscal years ended September 30, 2022 – 2025.</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believes that an adequate provision has been made for any adjustments that may result from tax examinations. However, the outcome of tax audits cannot be predicted with certainty. If any issues addressed in our tax audits are resolved in a manner not consistent with management’s expectations, we could be required to adjust our provision for income tax in the period such resolution occurs.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 Employee Benefit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Plans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defined employee contribution plans for substantially all of our U.S. employees (401k plan) and our Canadian employees (Registered Retirement Savings Plan). We recognized expenses under these plans primarily related to matching contributions of $5.3 million, $4.4 million and $3.4 million in Fiscal 2025, 2024 and 2023,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offer a non-qualified deferred compensation plan to a select group of highly compensated individuals (as defined). The plan permits the deferral of up to 50% of a participant’s base salary and 90% of a participant’s annual incentive. The deferrals are held in a separate irrevocable rabbi trust (the Rabbi Trust), which has been established to administer the plan. The Rabbi Trust is intended to be used as a source of funds to match respective funding obligations to participants. The assets of the trust are subject to the claims of our creditors in the event that we become insolvent. Consequently, the Rabbi Trust qualifies as a grantor trust for income tax purposes. We make periodic payments into company-owned life insurance policies held in the Rabbi Trust to fund the expected obligations arising under this plan. Changes in the deferred compensation balance are recorded to compensation expense and reflected within the selling, general and administrative expenses line in the Consolidated Statements of Operations. The plan is not qualified under Section 401 of the Internal Revenue Code. We recorded net compensation expense adjustments of $0.2 million related to this plan in both Fiscal 2025 and Fiscal 2024. At September 30, 2025, total assets held in the Rabbi Trust were $13.9 million and recorded in other assets and the liability was $13.7 million and recorded in deferred compensation in our Consolidated Balance Sheets. The $13.9 million of assets held in the Rabbi Trust is invested in company-owned life insurance policies.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Retiree Medical Plan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an unfunded plan that extends health benefits to retirees that are also available to active employees under our existing health plans. The current plan provides coverage for employees with at least 10 years of service who are age 55 or older but less than 65. Effective January 1, 2023, eligibility for postretirement medical benefits changed to age 60 with 10 years of continuous service. Employees who are under age 50 as of January 1, 2023 or who are hired after January 1, 2023 are no longer eligible for postretirement medical benefits. The retiree is required to pay the COBRA rate, less a subsidy provided by us based on years of service at the time of retirement. The unfunded liability is recorded in other long-term liabilities and was $0.2 million as of September 30, 2025 and $0.3 million as of September 30, 2024. Our net periodic postretirement costs were immaterial for all periods presented in the Consolidated Statements of Operations. Due to the immateriality of the costs and liabilities of this plan, no further disclosure is being presented.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 Stock-Based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the following stock-based compensation plans: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2014, our stockholders approved and adopted at the Annual Meeting of Stockholders the 2014 Equity Incentive Plan (the 2014 Plan), which replaced our 2006 Equity Compensation Plan (2006 Plan). Persons eligible to receive awards under the 2014 Plan include our officers and employees. The 2014 Plan authorizes stock options, stock appreciation rights, restricted stock, restricted stock units (RSUs) and performance-based awards, as well as certain other awards. In February 2023, our stockholders approved an amendment to the 2014 Plan that extended the term of the 2014 Plan by five years and increased the number of shares of common stock that may be issued under the plan by 600,000 shares for a total of 1,350,000 shares.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accordance with the 2014 Plan, the Compensation and Human Capital Committee has authorized grants of RSUs to certain officers and key employees of the Company. The fair value of the RSUs is based on the price of our common stock as reported on the NASDAQ Global Market during a specified period prior to the grant dates. Typically, these grants vest over a three-year period from the date of issuance and are a blend of time-based and performance-based shares. Fifty percent of the grant is time-based and typically vests over a three-year period on each anniversary of the grant date, based on continued employment. The remaining fifty percent of the grant is earned based on the three-year earnings and safety performance of the Company following the grant date. At September 30, 2025, there were 116,886 RSUs outstanding. The RSUs do not have voting rights but do receive dividend equivalents upon vesting, which are accrued quarterly. Additionally, the shares of common stock underlying the RSUs are not considered issued and outstanding until vested and common stock is issued.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RSU activity (number of shares) for the past fiscal year is summarized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37"/>
        </w:trPr>
        <w:tc>
          <w:tcPr>
            <w:tcW w:w="8440" w:type="dxa"/>
            <w:vAlign w:val="bottom"/>
          </w:tcPr>
          <w:p>
            <w:pPr>
              <w:spacing w:after="0"/>
              <w:rPr>
                <w:sz w:val="11"/>
                <w:szCs w:val="11"/>
                <w:color w:val="auto"/>
              </w:rPr>
            </w:pPr>
          </w:p>
        </w:tc>
        <w:tc>
          <w:tcPr>
            <w:tcW w:w="13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center"/>
              <w:ind w:right="138"/>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r>
      <w:tr>
        <w:trPr>
          <w:trHeight w:val="148"/>
        </w:trPr>
        <w:tc>
          <w:tcPr>
            <w:tcW w:w="84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Grant Value</w:t>
            </w:r>
          </w:p>
        </w:tc>
      </w:tr>
      <w:tr>
        <w:trPr>
          <w:trHeight w:val="190"/>
        </w:trPr>
        <w:tc>
          <w:tcPr>
            <w:tcW w:w="844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3"/>
        </w:trPr>
        <w:tc>
          <w:tcPr>
            <w:tcW w:w="84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192,011</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w:t>
            </w:r>
          </w:p>
        </w:tc>
      </w:tr>
      <w:tr>
        <w:trPr>
          <w:trHeight w:val="270"/>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184.01</w:t>
            </w:r>
          </w:p>
        </w:tc>
      </w:tr>
      <w:tr>
        <w:trPr>
          <w:trHeight w:val="27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w:t>
            </w:r>
          </w:p>
        </w:tc>
      </w:tr>
      <w:tr>
        <w:trPr>
          <w:trHeight w:val="270"/>
        </w:trPr>
        <w:tc>
          <w:tcPr>
            <w:tcW w:w="8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Forfeited/canceled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85.21</w:t>
            </w:r>
          </w:p>
        </w:tc>
      </w:tr>
      <w:tr>
        <w:trPr>
          <w:trHeight w:val="28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2025</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116,886</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2022, our stockholders approved an amendment to the 2014 Non-Employee Director Equity Incentive Plan (the 2014 Director Plan) that extended the term of the 2014 Director Plan by ten years and increased the number of shares of common stock that may be issued under the 2014 Director Plan by 200,000 shares for a total of 350,000 shares. The plan is administered by the Compensation and Human Capital Committee. Eligibility to participate in the plan is limited to those individuals who are members of the Board of Directors of the Company and who are not employees of the Company or any affiliate of the Company.</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of the 2014 Director Plan, the maximum number of shares that may be granted during any calendar year to any individual is 12,000 shares. The total number of shares that may be issued for awards to any single participant during a calendar year for other stock-based awards (excluding stock options and stock appreciation rights) is 4,000 shares. In December 2023, the Company’s Compensation and Human Capital Committee revised the non-employee directors' annual restricted stock compensation from a fixed-shares arrangement to a fixed-value arrangement, retrospectively effective on October 1, 2023. Prior</w:t>
      </w:r>
    </w:p>
    <w:p>
      <w:pPr>
        <w:sectPr>
          <w:pgSz w:w="11900" w:h="16838" w:orient="portrait"/>
          <w:cols w:equalWidth="0" w:num="1">
            <w:col w:w="11240"/>
          </w:cols>
          <w:pgMar w:left="320" w:top="1211"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type w:val="continuous"/>
        </w:sectPr>
      </w:pPr>
    </w:p>
    <w:bookmarkStart w:id="60" w:name="page61"/>
    <w:bookmarkEnd w:id="60"/>
    <w:p>
      <w:pPr>
        <w:jc w:val="both"/>
        <w:spacing w:after="0" w:line="255" w:lineRule="auto"/>
        <w:rPr>
          <w:sz w:val="20"/>
          <w:szCs w:val="20"/>
          <w:color w:val="auto"/>
        </w:rPr>
      </w:pPr>
      <w:r>
        <w:rPr>
          <w:rFonts w:ascii="Times New Roman" w:cs="Times New Roman" w:eastAsia="Times New Roman" w:hAnsi="Times New Roman"/>
          <w:sz w:val="18"/>
          <w:szCs w:val="18"/>
          <w:color w:val="auto"/>
        </w:rPr>
        <w:t>to October 1, 2023, each non-employee director received 2,400 restricted shares of the Company’s common stock annually. Fifty percent of the restricted stock granted to each of our non-employee directors was vested immediately, while the remaining fifty percent vested on the anniversary of the grant date. Compensation expense was recognized immediately for the first fifty percent of the restricted stock granted, while compensation expense for the remaining fifty percent was recognized over the remaining vesting period. Subsequent to October 1, 2023, each non-employee director shall receive restricted shares of the Company’s common stock valued at $0.1 million annually. The number of granted shares is calculated by dividing the $0.1 million by the average of high and low prices of our common stock on the grant date. The shares shall vest on the earlier of the grant anniversary date or the date of the next annual meeting of stockholders, whichever occurs first.</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this 2014 Director Plan, in February 2025, 3,500 shares of restricted stock were issued to our non-employee directors at a price of $200.02 per share. In August 2025, an additional 230 shares of restricted stock were issued to one of our non-employee directors at a price of $222.25 per share. In February 2024, we issued 4,620 shares of restricted stock to our non-employee directors at a price of $153.81 per share. The total number of shares of common stock available for future awards under the 2014 Director plan was 182,250 shares as of September 30, 2025. At September 30, 2025 and 2024, there were 3,730 shares and 4,620 shares, respectively, of unvested restricted stock outstanding.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Expense</w:t>
      </w:r>
    </w:p>
    <w:p>
      <w:pPr>
        <w:spacing w:after="0" w:line="12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Total compensation expense related to restricted stock grants under all plans was $0.7 million, $0.6 million and $0.6 million for the years ended September 30, 2025, 2024 and 2023, respectively. Total compensation expense related to RSUs under all plans was $3.9 million, $4.2 million and $4.0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for the years ended September 30, 2025, 2024 and 2023, respectively.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 the amortization of non-vested restricted stock and restricted stock units as an increase to additional paid-in capital. As of September 30, 2025 and 2024, amounts of deferred compensation expense not yet recognized related to non-vested stock and RSUs totaled $2.4 million and $2.1 million, respectively. As of September 30, 2025, the total weighted average remaining contractual life of our non-vested restricted stock and RSUs is approximately five months and 1.35 years, respectively.</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 Fair Value Measurements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measure certain financial assets and liabilities at fair value. Fair value is defined as an “exit price,” which represents the amount that would be received to sell an asset or paid to transfer a liability in an orderly transaction between market participants as of the measurement date. As such, fair value is a market-based measurement that should be determined based on assumptions that market participants would use in valuing an asset or liability. The accounting guidance requires the use of valuation techniques to measure fair value that maximize the use of observable inputs and minimize the use of unobservable inputs. As a basis for considering such assumptions and inputs, a fair value hierarchy has been established that identifies and prioritizes three levels of inputs to be used in measuring fair value.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levels of the fair value hierarchy are as follows: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Observable inputs such as quoted prices (unadjusted) in active markets for identical assets or liabilities.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 Inputs other than the quoted prices in active markets that are observable either directly or indirectly, including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data and require the reporting entity to develop its own assumptions.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229" w:lineRule="exact"/>
        <w:rPr>
          <w:sz w:val="20"/>
          <w:szCs w:val="20"/>
          <w:color w:val="auto"/>
        </w:rPr>
      </w:pPr>
    </w:p>
    <w:p>
      <w:pPr>
        <w:ind w:right="20"/>
        <w:spacing w:after="0" w:line="329" w:lineRule="auto"/>
        <w:rPr>
          <w:sz w:val="20"/>
          <w:szCs w:val="20"/>
          <w:color w:val="auto"/>
        </w:rPr>
      </w:pPr>
      <w:r>
        <w:rPr>
          <w:rFonts w:ascii="Times New Roman" w:cs="Times New Roman" w:eastAsia="Times New Roman" w:hAnsi="Times New Roman"/>
          <w:sz w:val="18"/>
          <w:szCs w:val="18"/>
          <w:color w:val="auto"/>
        </w:rPr>
        <w:t>The following table summarizes the fair value of our assets and liabilities that were accounted for at fair value on a recurring basis as of September 30, 2025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300" w:type="dxa"/>
            <w:vAlign w:val="bottom"/>
            <w:gridSpan w:val="8"/>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 Measurements at September 30, 2025</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jc w:val="center"/>
              <w:ind w:right="38"/>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gridSpan w:val="3"/>
          </w:tcPr>
          <w:p>
            <w:pPr>
              <w:jc w:val="center"/>
              <w:ind w:right="44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460" w:type="dxa"/>
            <w:vAlign w:val="bottom"/>
            <w:gridSpan w:val="3"/>
          </w:tcPr>
          <w:p>
            <w:pPr>
              <w:jc w:val="center"/>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ind w:right="38"/>
              <w:spacing w:after="0" w:line="146"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3"/>
          </w:tcPr>
          <w:p>
            <w:pPr>
              <w:jc w:val="center"/>
              <w:ind w:right="440"/>
              <w:spacing w:after="0" w:line="146"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460" w:type="dxa"/>
            <w:vAlign w:val="bottom"/>
            <w:gridSpan w:val="3"/>
          </w:tcPr>
          <w:p>
            <w:pPr>
              <w:jc w:val="center"/>
              <w:ind w:right="420"/>
              <w:spacing w:after="0" w:line="146"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32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6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46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228"/>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450,739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450,739</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24,788</w:t>
            </w:r>
          </w:p>
        </w:tc>
        <w:tc>
          <w:tcPr>
            <w:tcW w:w="0" w:type="dxa"/>
            <w:vAlign w:val="bottom"/>
          </w:tcPr>
          <w:p>
            <w:pPr>
              <w:spacing w:after="0"/>
              <w:rPr>
                <w:sz w:val="1"/>
                <w:szCs w:val="1"/>
                <w:color w:val="auto"/>
              </w:rPr>
            </w:pPr>
          </w:p>
        </w:tc>
      </w:tr>
      <w:tr>
        <w:trPr>
          <w:trHeight w:val="229"/>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Rabbi trust assets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13,931</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compensation</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13,707</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Contingent future payments related to the acquisition of Remsdaq</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spacing w:after="0" w:line="329" w:lineRule="auto"/>
        <w:rPr>
          <w:sz w:val="20"/>
          <w:szCs w:val="20"/>
          <w:color w:val="auto"/>
        </w:rPr>
      </w:pPr>
      <w:r>
        <w:rPr>
          <w:rFonts w:ascii="Times New Roman" w:cs="Times New Roman" w:eastAsia="Times New Roman" w:hAnsi="Times New Roman"/>
          <w:sz w:val="18"/>
          <w:szCs w:val="18"/>
          <w:color w:val="auto"/>
        </w:rPr>
        <w:t>The following table summarizes the fair value of our assets and liabilities that were accounted for at fair value on a recurring basis as of September 30, 2024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300" w:type="dxa"/>
            <w:vAlign w:val="bottom"/>
            <w:gridSpan w:val="8"/>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 Measurements at September 30, 2024</w:t>
            </w:r>
          </w:p>
        </w:tc>
        <w:tc>
          <w:tcPr>
            <w:tcW w:w="1320" w:type="dxa"/>
            <w:vAlign w:val="bottom"/>
          </w:tcPr>
          <w:p>
            <w:pPr>
              <w:spacing w:after="0"/>
              <w:rPr>
                <w:sz w:val="16"/>
                <w:szCs w:val="16"/>
                <w:color w:val="auto"/>
              </w:rPr>
            </w:pPr>
          </w:p>
        </w:tc>
      </w:tr>
      <w:tr>
        <w:trPr>
          <w:trHeight w:val="23"/>
        </w:trPr>
        <w:tc>
          <w:tcPr>
            <w:tcW w:w="5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28"/>
        </w:trPr>
        <w:tc>
          <w:tcPr>
            <w:tcW w:w="5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jc w:val="center"/>
              <w:ind w:right="39"/>
              <w:spacing w:after="0" w:line="12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gridSpan w:val="3"/>
          </w:tcPr>
          <w:p>
            <w:pPr>
              <w:jc w:val="center"/>
              <w:ind w:right="440"/>
              <w:spacing w:after="0" w:line="129"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460" w:type="dxa"/>
            <w:vAlign w:val="bottom"/>
            <w:gridSpan w:val="3"/>
          </w:tcPr>
          <w:p>
            <w:pPr>
              <w:jc w:val="center"/>
              <w:ind w:right="420"/>
              <w:spacing w:after="0" w:line="12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320" w:type="dxa"/>
            <w:vAlign w:val="bottom"/>
          </w:tcPr>
          <w:p>
            <w:pPr>
              <w:spacing w:after="0"/>
              <w:rPr>
                <w:sz w:val="11"/>
                <w:szCs w:val="11"/>
                <w:color w:val="auto"/>
              </w:rPr>
            </w:pPr>
          </w:p>
        </w:tc>
      </w:tr>
      <w:tr>
        <w:trPr>
          <w:trHeight w:val="137"/>
        </w:trPr>
        <w:tc>
          <w:tcPr>
            <w:tcW w:w="5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jc w:val="center"/>
              <w:ind w:right="39"/>
              <w:spacing w:after="0" w:line="137"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gridSpan w:val="3"/>
          </w:tcPr>
          <w:p>
            <w:pPr>
              <w:jc w:val="center"/>
              <w:ind w:right="440"/>
              <w:spacing w:after="0" w:line="137"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460" w:type="dxa"/>
            <w:vAlign w:val="bottom"/>
            <w:gridSpan w:val="3"/>
          </w:tcPr>
          <w:p>
            <w:pPr>
              <w:jc w:val="center"/>
              <w:ind w:right="420"/>
              <w:spacing w:after="0" w:line="137"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320" w:type="dxa"/>
            <w:vAlign w:val="bottom"/>
          </w:tcPr>
          <w:p>
            <w:pPr>
              <w:spacing w:after="0"/>
              <w:rPr>
                <w:sz w:val="11"/>
                <w:szCs w:val="11"/>
                <w:color w:val="auto"/>
              </w:rPr>
            </w:pPr>
          </w:p>
        </w:tc>
      </w:tr>
      <w:tr>
        <w:trPr>
          <w:trHeight w:val="160"/>
        </w:trPr>
        <w:tc>
          <w:tcPr>
            <w:tcW w:w="5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ind w:right="39"/>
              <w:spacing w:after="0" w:line="160"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3"/>
          </w:tcPr>
          <w:p>
            <w:pPr>
              <w:jc w:val="center"/>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60" w:type="dxa"/>
            <w:vAlign w:val="bottom"/>
            <w:gridSpan w:val="3"/>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Inputs</w:t>
            </w:r>
          </w:p>
        </w:tc>
        <w:tc>
          <w:tcPr>
            <w:tcW w:w="1320" w:type="dxa"/>
            <w:vAlign w:val="bottom"/>
          </w:tcPr>
          <w:p>
            <w:pPr>
              <w:jc w:val="right"/>
              <w:ind w:right="236"/>
              <w:spacing w:after="0" w:line="160" w:lineRule="exact"/>
              <w:rPr>
                <w:sz w:val="20"/>
                <w:szCs w:val="20"/>
                <w:color w:val="auto"/>
              </w:rPr>
            </w:pPr>
            <w:r>
              <w:rPr>
                <w:rFonts w:ascii="Times New Roman" w:cs="Times New Roman" w:eastAsia="Times New Roman" w:hAnsi="Times New Roman"/>
                <w:sz w:val="14"/>
                <w:szCs w:val="14"/>
                <w:b w:val="1"/>
                <w:bCs w:val="1"/>
                <w:color w:val="auto"/>
              </w:rPr>
              <w:t>Fair Value at</w:t>
            </w:r>
          </w:p>
        </w:tc>
      </w:tr>
      <w:tr>
        <w:trPr>
          <w:trHeight w:val="196"/>
        </w:trPr>
        <w:tc>
          <w:tcPr>
            <w:tcW w:w="5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46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32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29"/>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r>
      <w:tr>
        <w:trPr>
          <w:trHeight w:val="229"/>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315,331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315,331</w:t>
            </w:r>
          </w:p>
        </w:tc>
      </w:tr>
      <w:tr>
        <w:trPr>
          <w:trHeight w:val="230"/>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43,061</w:t>
            </w:r>
          </w:p>
        </w:tc>
      </w:tr>
      <w:tr>
        <w:trPr>
          <w:trHeight w:val="230"/>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Rabbi trust assets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12,324</w:t>
            </w: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4"/>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compensation</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12,027</w:t>
            </w:r>
          </w:p>
        </w:tc>
      </w:tr>
    </w:tbl>
    <w:p>
      <w:pPr>
        <w:spacing w:after="0" w:line="3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Fair value guidance requires certain fair value disclosures to be presented in both interim and annual reports. The estimated fair value amounts of financial instruments have been determined using available market information and valuation methodologies described below.</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Cash and cash equivalents, primarily funds held in money market savings instruments, are reported at their current carrying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which approximates fair value due to the short-term nature of these instruments and are included in cash and cash equivalents in our Consolidated Balance Sheets.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Short-term investments </w:t>
      </w:r>
      <w:r>
        <w:rPr>
          <w:rFonts w:ascii="Times New Roman" w:cs="Times New Roman" w:eastAsia="Times New Roman" w:hAnsi="Times New Roman"/>
          <w:sz w:val="18"/>
          <w:szCs w:val="18"/>
          <w:color w:val="auto"/>
        </w:rPr>
        <w:t>– Short-term investments include time deposits with original maturities of three months or more.</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Rabbi trust assets and deferred compensation </w:t>
      </w:r>
      <w:r>
        <w:rPr>
          <w:rFonts w:ascii="Times New Roman" w:cs="Times New Roman" w:eastAsia="Times New Roman" w:hAnsi="Times New Roman"/>
          <w:sz w:val="18"/>
          <w:szCs w:val="18"/>
          <w:color w:val="auto"/>
        </w:rPr>
        <w:t>– We hold investments in an irrevocable rabbi trust for our deferred compensation plan. The assets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related to company-owned life insurance policies and are included in other assets in the accompanying Consolidated Balance Sheets. Because the mutual funds and company-owned life insurance policies are combined in the plan, they are categorized as Level 2 in the fair value measurement hierarchy. The deferred compensation liability represents the investment options that the plan participants have designated to serve as the basis for measurement of the notional value of their accounts. Because the deferred compensation liability is intended to offset the plan assets, it is also categorized as Level 2 in the fair value measurement hierarchy.</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Contingent future payments related to the acquisition of Remsdaq </w:t>
      </w:r>
      <w:r>
        <w:rPr>
          <w:rFonts w:ascii="Times New Roman" w:cs="Times New Roman" w:eastAsia="Times New Roman" w:hAnsi="Times New Roman"/>
          <w:sz w:val="18"/>
          <w:szCs w:val="18"/>
          <w:color w:val="auto"/>
        </w:rPr>
        <w:t>– The contingent future payments were calculated using a probability outcome model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internally developed assumptions; accordingly, they are categorized as Level 3 in the fair value measurement hierarchy.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levels within the fair value measurement hierarchy during the year ended September 30, 2025.</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Non-recurring Fair Value Measurements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had non-recurring fair value measurements associated with our acquisition of Remsdaq, see Note P. Business Acquisition, for additional information on non-recurring fair value measurements.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 Leases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leases consist primarily of office space and construction equipment. All of our future lease obligations are related to non-cancelable operating leases.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lease cost components for the years ended September 30, 2025, 2024 and 2023 respectively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540" w:type="dxa"/>
            <w:vAlign w:val="bottom"/>
          </w:tcPr>
          <w:p>
            <w:pPr>
              <w:spacing w:after="0"/>
              <w:rPr>
                <w:sz w:val="20"/>
                <w:szCs w:val="20"/>
                <w:color w:val="auto"/>
              </w:rPr>
            </w:pPr>
          </w:p>
        </w:tc>
        <w:tc>
          <w:tcPr>
            <w:tcW w:w="1700" w:type="dxa"/>
            <w:vAlign w:val="bottom"/>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80" w:type="dxa"/>
            <w:vAlign w:val="bottom"/>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80" w:type="dxa"/>
            <w:vAlign w:val="bottom"/>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4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2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r>
      <w:tr>
        <w:trPr>
          <w:trHeight w:val="230"/>
        </w:trPr>
        <w:tc>
          <w:tcPr>
            <w:tcW w:w="42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Less: sublease income</w:t>
            </w:r>
          </w:p>
        </w:tc>
        <w:tc>
          <w:tcPr>
            <w:tcW w:w="540" w:type="dxa"/>
            <w:vAlign w:val="bottom"/>
          </w:tcPr>
          <w:p>
            <w:pPr>
              <w:spacing w:after="0"/>
              <w:rPr>
                <w:sz w:val="19"/>
                <w:szCs w:val="19"/>
                <w:color w:val="auto"/>
              </w:rPr>
            </w:pPr>
          </w:p>
        </w:tc>
        <w:tc>
          <w:tcPr>
            <w:tcW w:w="1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29"/>
        </w:trPr>
        <w:tc>
          <w:tcPr>
            <w:tcW w:w="42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Variable lease cost</w:t>
            </w:r>
            <w:r>
              <w:rPr>
                <w:rFonts w:ascii="Times New Roman" w:cs="Times New Roman" w:eastAsia="Times New Roman" w:hAnsi="Times New Roman"/>
                <w:sz w:val="23"/>
                <w:szCs w:val="23"/>
                <w:color w:val="auto"/>
                <w:vertAlign w:val="superscript"/>
              </w:rPr>
              <w:t>(1)</w:t>
            </w: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29"/>
        </w:trPr>
        <w:tc>
          <w:tcPr>
            <w:tcW w:w="424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Short-term lease cost</w:t>
            </w:r>
            <w:r>
              <w:rPr>
                <w:rFonts w:ascii="Times New Roman" w:cs="Times New Roman" w:eastAsia="Times New Roman" w:hAnsi="Times New Roman"/>
                <w:sz w:val="23"/>
                <w:szCs w:val="23"/>
                <w:color w:val="auto"/>
                <w:vertAlign w:val="superscript"/>
              </w:rPr>
              <w:t>(2)</w:t>
            </w:r>
          </w:p>
        </w:tc>
        <w:tc>
          <w:tcPr>
            <w:tcW w:w="5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2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w:t>
            </w:r>
          </w:p>
        </w:tc>
      </w:tr>
      <w:tr>
        <w:trPr>
          <w:trHeight w:val="248"/>
        </w:trPr>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200" w:hanging="174"/>
        <w:spacing w:after="0"/>
        <w:tabs>
          <w:tab w:leader="none" w:pos="20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Variable lease cost represents common area maintenance charges related to our Canadian office space lease.</w:t>
      </w:r>
    </w:p>
    <w:p>
      <w:pPr>
        <w:spacing w:after="0" w:line="15" w:lineRule="exact"/>
        <w:rPr>
          <w:rFonts w:ascii="Times New Roman" w:cs="Times New Roman" w:eastAsia="Times New Roman" w:hAnsi="Times New Roman"/>
          <w:sz w:val="22"/>
          <w:szCs w:val="22"/>
          <w:color w:val="auto"/>
          <w:vertAlign w:val="superscript"/>
        </w:rPr>
      </w:pPr>
    </w:p>
    <w:p>
      <w:pPr>
        <w:ind w:left="200" w:hanging="174"/>
        <w:spacing w:after="0" w:line="203" w:lineRule="auto"/>
        <w:tabs>
          <w:tab w:leader="none" w:pos="20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Short-term lease cost includes leases and rentals with initial terms of one year or less.</w:t>
      </w:r>
    </w:p>
    <w:p>
      <w:pPr>
        <w:spacing w:after="0" w:line="2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operating lease assets and operating lease liabilities representing the present value of the remaining lease payments for leases with initial terms greater than twelve months. Leases with initial terms of twelve months or less are not recorded in our Consolidated Balance Sheets. The following table provides a summary of the operating lease assets and operating lease liabilities included in our Consolidated Balance Sheets as of September 30, 2025 and 2024, respectively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56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5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56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1700" w:type="dxa"/>
            <w:vAlign w:val="bottom"/>
          </w:tcPr>
          <w:p>
            <w:pPr>
              <w:jc w:val="right"/>
              <w:ind w:right="8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80" w:type="dxa"/>
            <w:vAlign w:val="bottom"/>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3"/>
        </w:trPr>
        <w:tc>
          <w:tcPr>
            <w:tcW w:w="6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Operating lease assets, net</w:t>
            </w:r>
          </w:p>
        </w:tc>
        <w:tc>
          <w:tcPr>
            <w:tcW w:w="540" w:type="dxa"/>
            <w:vAlign w:val="bottom"/>
            <w:tcBorders>
              <w:bottom w:val="single" w:sz="8" w:color="auto"/>
            </w:tcBorders>
          </w:tcPr>
          <w:p>
            <w:pPr>
              <w:jc w:val="right"/>
              <w:ind w:right="3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1,664</w:t>
            </w:r>
          </w:p>
        </w:tc>
        <w:tc>
          <w:tcPr>
            <w:tcW w:w="200" w:type="dxa"/>
            <w:vAlign w:val="bottom"/>
          </w:tcPr>
          <w:p>
            <w:pPr>
              <w:spacing w:after="0"/>
              <w:rPr>
                <w:sz w:val="17"/>
                <w:szCs w:val="17"/>
                <w:color w:val="auto"/>
              </w:rPr>
            </w:pPr>
          </w:p>
        </w:tc>
        <w:tc>
          <w:tcPr>
            <w:tcW w:w="660" w:type="dxa"/>
            <w:vAlign w:val="bottom"/>
            <w:tcBorders>
              <w:bottom w:val="single" w:sz="8" w:color="auto"/>
            </w:tcBorders>
          </w:tcPr>
          <w:p>
            <w:pPr>
              <w:jc w:val="right"/>
              <w:ind w:right="47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1,216</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6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5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29"/>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5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23"/>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20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0" w:type="dxa"/>
            <w:vAlign w:val="bottom"/>
          </w:tcPr>
          <w:p>
            <w:pPr>
              <w:spacing w:after="0"/>
              <w:rPr>
                <w:sz w:val="1"/>
                <w:szCs w:val="1"/>
                <w:color w:val="auto"/>
              </w:rPr>
            </w:pPr>
          </w:p>
        </w:tc>
      </w:tr>
      <w:tr>
        <w:trPr>
          <w:trHeight w:val="21"/>
        </w:trPr>
        <w:tc>
          <w:tcPr>
            <w:tcW w:w="6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The following table provides the maturities of our operating lease liabilities as of September 30, 2025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3"/>
        </w:trPr>
        <w:tc>
          <w:tcPr>
            <w:tcW w:w="9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2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w:t>
            </w:r>
          </w:p>
        </w:tc>
      </w:tr>
      <w:tr>
        <w:trPr>
          <w:trHeight w:val="230"/>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present value discount (imputed interest)</w:t>
            </w:r>
          </w:p>
        </w:tc>
        <w:tc>
          <w:tcPr>
            <w:tcW w:w="3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48"/>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 average discount rates as of September 30, 2025 and 2024 were 7.13% and 5.44%, respectively. The weighted average remaining lease term was 2.06 years and 2.47 years, respectively, at September 30, 2025 and 2024.</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 Segment Information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manage our business as one reportable, operating segment and our revenues are primarily generated from the development, design, manufacturing and servicing of custom-engineered equipment and systems for the distribution, control and monitoring of electrical energy.</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chief operating decision maker (“CODM”) is our chief executive officer. The CODM manages and allocates resources on a total consolidated basis by assessing performance of revenues and earnings before interest and taxes (“EBIT”) using actual-to-actual, actual-to-plan and actual-to-forecast variance analysis. The measure of segment profit and loss regularly provided to the CODM that is most consistent with GAAP is consolidated net income, as presented in our Consolidated Statements of Operations. The CODM does not manage cost components by product, customer type or service type, nor does the CODM regularly receive disaggregated information at this level.</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years ended September 30, 2025, 2024 and 2023, the summary of segment net income, including segment expenses, for our single reportable segment were as follows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90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020" w:type="dxa"/>
            <w:vAlign w:val="bottom"/>
          </w:tcPr>
          <w:p>
            <w:pPr>
              <w:spacing w:after="0"/>
              <w:rPr>
                <w:sz w:val="16"/>
                <w:szCs w:val="16"/>
                <w:color w:val="auto"/>
              </w:rPr>
            </w:pPr>
          </w:p>
        </w:tc>
      </w:tr>
      <w:tr>
        <w:trPr>
          <w:trHeight w:val="37"/>
        </w:trPr>
        <w:tc>
          <w:tcPr>
            <w:tcW w:w="70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6"/>
        </w:trPr>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1,104,318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1,012,356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699,308</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expenses: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779,937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739,268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551,755</w:t>
            </w:r>
          </w:p>
        </w:tc>
      </w:tr>
      <w:tr>
        <w:trPr>
          <w:trHeight w:val="230"/>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65,569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57,037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52,819</w:t>
            </w:r>
          </w:p>
        </w:tc>
      </w:tr>
      <w:tr>
        <w:trPr>
          <w:trHeight w:val="230"/>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25,642</w:t>
            </w:r>
          </w:p>
        </w:tc>
      </w:tr>
      <w:tr>
        <w:trPr>
          <w:trHeight w:val="230"/>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6,220</w:t>
            </w:r>
          </w:p>
        </w:tc>
      </w:tr>
      <w:tr>
        <w:trPr>
          <w:trHeight w:val="229"/>
        </w:trPr>
        <w:tc>
          <w:tcPr>
            <w:tcW w:w="702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Other expense</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23"/>
        </w:trPr>
        <w:tc>
          <w:tcPr>
            <w:tcW w:w="70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Total segment operating expenses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886,458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833,583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636,788</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 EBIT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217,860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178,773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62,520</w:t>
            </w:r>
          </w:p>
        </w:tc>
      </w:tr>
      <w:tr>
        <w:trPr>
          <w:trHeight w:val="229"/>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net</w:t>
            </w:r>
          </w:p>
        </w:tc>
        <w:tc>
          <w:tcPr>
            <w:tcW w:w="3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(6,430)</w:t>
            </w:r>
          </w:p>
        </w:tc>
      </w:tr>
      <w:tr>
        <w:trPr>
          <w:trHeight w:val="230"/>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provision</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52,803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14,425</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net income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180,747</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149,848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54,525</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4"/>
        </w:trPr>
        <w:tc>
          <w:tcPr>
            <w:tcW w:w="7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4"/>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324,381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273,088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147,553</w:t>
            </w:r>
          </w:p>
        </w:tc>
      </w:tr>
    </w:tbl>
    <w:p>
      <w:pPr>
        <w:spacing w:after="0" w:line="80" w:lineRule="exact"/>
        <w:rPr>
          <w:sz w:val="20"/>
          <w:szCs w:val="20"/>
          <w:color w:val="auto"/>
        </w:rPr>
      </w:pPr>
    </w:p>
    <w:p>
      <w:pPr>
        <w:ind w:left="200" w:hanging="174"/>
        <w:spacing w:after="0"/>
        <w:tabs>
          <w:tab w:leader="none" w:pos="20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Other expense includes realized currency loss of $0.3 million, $0.8 million, and $0.4 million, respectively.</w:t>
      </w: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367" w:lineRule="exact"/>
        <w:rPr>
          <w:rFonts w:ascii="Times New Roman" w:cs="Times New Roman" w:eastAsia="Times New Roman" w:hAnsi="Times New Roman"/>
          <w:sz w:val="22"/>
          <w:szCs w:val="22"/>
          <w:color w:val="auto"/>
          <w:vertAlign w:val="superscript"/>
        </w:rPr>
      </w:pPr>
    </w:p>
    <w:p>
      <w:pPr>
        <w:ind w:left="554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4" w:name="page65"/>
    <w:bookmarkEnd w:id="64"/>
    <w:p>
      <w:pPr>
        <w:spacing w:after="0" w:line="282" w:lineRule="auto"/>
        <w:rPr>
          <w:sz w:val="20"/>
          <w:szCs w:val="20"/>
          <w:color w:val="auto"/>
        </w:rPr>
      </w:pPr>
      <w:r>
        <w:rPr>
          <w:rFonts w:ascii="Times New Roman" w:cs="Times New Roman" w:eastAsia="Times New Roman" w:hAnsi="Times New Roman"/>
          <w:sz w:val="18"/>
          <w:szCs w:val="18"/>
          <w:color w:val="auto"/>
        </w:rPr>
        <w:t>Revenues by country represent sales to unaffiliated customers as determined by the ultimate destination of our products and services, summarized for the last three fiscal years by region in the table below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90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020" w:type="dxa"/>
            <w:vAlign w:val="bottom"/>
          </w:tcPr>
          <w:p>
            <w:pPr>
              <w:spacing w:after="0"/>
              <w:rPr>
                <w:sz w:val="16"/>
                <w:szCs w:val="16"/>
                <w:color w:val="auto"/>
              </w:rPr>
            </w:pPr>
          </w:p>
        </w:tc>
      </w:tr>
      <w:tr>
        <w:trPr>
          <w:trHeight w:val="37"/>
        </w:trPr>
        <w:tc>
          <w:tcPr>
            <w:tcW w:w="70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6"/>
        </w:trPr>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880,222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846,526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557,934</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157,191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84,090</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Middle East and Africa</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14,998</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26,699</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6,188</w:t>
            </w:r>
          </w:p>
        </w:tc>
      </w:tr>
      <w:tr>
        <w:trPr>
          <w:trHeight w:val="229"/>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Mexico, Central and South America</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9,399</w:t>
            </w:r>
          </w:p>
        </w:tc>
      </w:tr>
      <w:tr>
        <w:trPr>
          <w:trHeight w:val="248"/>
        </w:trPr>
        <w:tc>
          <w:tcPr>
            <w:tcW w:w="7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1,104,318</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1,012,356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699,308</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340"/>
        <w:spacing w:after="0" w:line="270" w:lineRule="auto"/>
        <w:rPr>
          <w:sz w:val="20"/>
          <w:szCs w:val="20"/>
          <w:color w:val="auto"/>
        </w:rPr>
      </w:pPr>
      <w:r>
        <w:rPr>
          <w:rFonts w:ascii="Times New Roman" w:cs="Times New Roman" w:eastAsia="Times New Roman" w:hAnsi="Times New Roman"/>
          <w:sz w:val="18"/>
          <w:szCs w:val="18"/>
          <w:color w:val="auto"/>
        </w:rPr>
        <w:t>Long-lived assets by country consist of property, plant and equipment, net of accumulated depreciation and are determined based on the location of the tangible assets, summarized for the last two fiscal years in the table below (in thousands):</w:t>
      </w: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Long-lived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70,699</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64,560</w:t>
            </w: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34,456</w:t>
            </w:r>
          </w:p>
        </w:tc>
      </w:tr>
      <w:tr>
        <w:trPr>
          <w:trHeight w:val="229"/>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United Kingdom</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4,405</w:t>
            </w:r>
          </w:p>
        </w:tc>
      </w:tr>
      <w:tr>
        <w:trPr>
          <w:trHeight w:val="248"/>
        </w:trPr>
        <w:tc>
          <w:tcPr>
            <w:tcW w:w="8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111,049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103,421</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O. Quarterly Information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sets forth the unaudited consolidated operating results by fiscal quarter for the years ended September 30, 2025 and 2024 (in thousands, except per share data):</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2025 Quarters</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
        </w:trPr>
        <w:tc>
          <w:tcPr>
            <w:tcW w:w="4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9"/>
        </w:trPr>
        <w:tc>
          <w:tcPr>
            <w:tcW w:w="4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First</w:t>
            </w:r>
            <w:r>
              <w:rPr>
                <w:rFonts w:ascii="Times New Roman" w:cs="Times New Roman" w:eastAsia="Times New Roman" w:hAnsi="Times New Roman"/>
                <w:sz w:val="18"/>
                <w:szCs w:val="18"/>
                <w:b w:val="1"/>
                <w:bCs w:val="1"/>
                <w:color w:val="auto"/>
                <w:vertAlign w:val="superscript"/>
              </w:rPr>
              <w:t>(1)</w:t>
            </w:r>
          </w:p>
        </w:tc>
        <w:tc>
          <w:tcPr>
            <w:tcW w:w="24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Second</w:t>
            </w:r>
            <w:r>
              <w:rPr>
                <w:rFonts w:ascii="Times New Roman" w:cs="Times New Roman" w:eastAsia="Times New Roman" w:hAnsi="Times New Roman"/>
                <w:sz w:val="18"/>
                <w:szCs w:val="18"/>
                <w:b w:val="1"/>
                <w:bCs w:val="1"/>
                <w:color w:val="auto"/>
                <w:vertAlign w:val="superscript"/>
              </w:rPr>
              <w:t>(2)</w:t>
            </w: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Third</w:t>
            </w:r>
            <w:r>
              <w:rPr>
                <w:rFonts w:ascii="Times New Roman" w:cs="Times New Roman" w:eastAsia="Times New Roman" w:hAnsi="Times New Roman"/>
                <w:sz w:val="18"/>
                <w:szCs w:val="18"/>
                <w:b w:val="1"/>
                <w:bCs w:val="1"/>
                <w:color w:val="auto"/>
                <w:w w:val="97"/>
                <w:vertAlign w:val="superscript"/>
              </w:rPr>
              <w:t>(3)</w:t>
            </w:r>
          </w:p>
        </w:tc>
        <w:tc>
          <w:tcPr>
            <w:tcW w:w="26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Fourth</w:t>
            </w:r>
            <w:r>
              <w:rPr>
                <w:rFonts w:ascii="Times New Roman" w:cs="Times New Roman" w:eastAsia="Times New Roman" w:hAnsi="Times New Roman"/>
                <w:sz w:val="18"/>
                <w:szCs w:val="18"/>
                <w:b w:val="1"/>
                <w:bCs w:val="1"/>
                <w:color w:val="auto"/>
                <w:vertAlign w:val="superscript"/>
              </w:rPr>
              <w:t>(4)</w:t>
            </w:r>
          </w:p>
        </w:tc>
        <w:tc>
          <w:tcPr>
            <w:tcW w:w="320" w:type="dxa"/>
            <w:vAlign w:val="bottom"/>
          </w:tcPr>
          <w:p>
            <w:pPr>
              <w:spacing w:after="0"/>
              <w:rPr>
                <w:sz w:val="18"/>
                <w:szCs w:val="18"/>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3"/>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241,431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278,631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286,273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297,983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1,104,318</w:t>
            </w: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324,381</w:t>
            </w: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180,747</w:t>
            </w: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r>
      <w:tr>
        <w:trPr>
          <w:trHeight w:val="234"/>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w:t>
            </w:r>
          </w:p>
        </w:tc>
      </w:tr>
    </w:tbl>
    <w:p>
      <w:pPr>
        <w:spacing w:after="0" w:line="247" w:lineRule="exact"/>
        <w:rPr>
          <w:sz w:val="20"/>
          <w:szCs w:val="20"/>
          <w:color w:val="auto"/>
        </w:rPr>
      </w:pPr>
    </w:p>
    <w:p>
      <w:pPr>
        <w:ind w:left="140" w:right="80" w:firstLine="7"/>
        <w:spacing w:after="0" w:line="208" w:lineRule="auto"/>
        <w:tabs>
          <w:tab w:leader="none" w:pos="332"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results for the first quarter of Fiscal 2025 demonstrated normal seasonality and were negatively impacted by holidays and work schedules compared to other quarterly periods.</w:t>
      </w:r>
    </w:p>
    <w:p>
      <w:pPr>
        <w:spacing w:after="0" w:line="1" w:lineRule="exact"/>
        <w:rPr>
          <w:rFonts w:ascii="Times New Roman" w:cs="Times New Roman" w:eastAsia="Times New Roman" w:hAnsi="Times New Roman"/>
          <w:sz w:val="23"/>
          <w:szCs w:val="23"/>
          <w:color w:val="auto"/>
          <w:vertAlign w:val="superscript"/>
        </w:rPr>
      </w:pPr>
    </w:p>
    <w:p>
      <w:pPr>
        <w:ind w:left="320" w:hanging="173"/>
        <w:spacing w:after="0" w:line="230" w:lineRule="auto"/>
        <w:tabs>
          <w:tab w:leader="none" w:pos="32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results for the second quarter of Fiscal 2025 were positively impacted by project cancellations of $1.8 million.</w:t>
      </w:r>
    </w:p>
    <w:p>
      <w:pPr>
        <w:spacing w:after="0" w:line="15" w:lineRule="exact"/>
        <w:rPr>
          <w:rFonts w:ascii="Times New Roman" w:cs="Times New Roman" w:eastAsia="Times New Roman" w:hAnsi="Times New Roman"/>
          <w:sz w:val="22"/>
          <w:szCs w:val="22"/>
          <w:color w:val="auto"/>
          <w:vertAlign w:val="superscript"/>
        </w:rPr>
      </w:pPr>
    </w:p>
    <w:p>
      <w:pPr>
        <w:ind w:left="320" w:hanging="173"/>
        <w:spacing w:after="0" w:line="203" w:lineRule="auto"/>
        <w:tabs>
          <w:tab w:leader="none" w:pos="32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results for the third quarter of Fiscal 2025 were positively impacted by project cancellations of $2.3 million.</w:t>
      </w:r>
    </w:p>
    <w:p>
      <w:pPr>
        <w:spacing w:after="0" w:line="15" w:lineRule="exact"/>
        <w:rPr>
          <w:rFonts w:ascii="Times New Roman" w:cs="Times New Roman" w:eastAsia="Times New Roman" w:hAnsi="Times New Roman"/>
          <w:sz w:val="22"/>
          <w:szCs w:val="22"/>
          <w:color w:val="auto"/>
          <w:vertAlign w:val="superscript"/>
        </w:rPr>
      </w:pPr>
    </w:p>
    <w:p>
      <w:pPr>
        <w:ind w:left="320" w:hanging="173"/>
        <w:spacing w:after="0" w:line="203" w:lineRule="auto"/>
        <w:tabs>
          <w:tab w:leader="none" w:pos="32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results for the fourth quarter of Fiscal 2025 were positively impacted by project cancellations of $0.5 million.</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2024 Quarters</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
        </w:trPr>
        <w:tc>
          <w:tcPr>
            <w:tcW w:w="4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4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First</w:t>
            </w:r>
            <w:r>
              <w:rPr>
                <w:rFonts w:ascii="Times New Roman" w:cs="Times New Roman" w:eastAsia="Times New Roman" w:hAnsi="Times New Roman"/>
                <w:sz w:val="9"/>
                <w:szCs w:val="9"/>
                <w:b w:val="1"/>
                <w:bCs w:val="1"/>
                <w:color w:val="auto"/>
              </w:rPr>
              <w:t>(1)</w:t>
            </w:r>
          </w:p>
        </w:tc>
        <w:tc>
          <w:tcPr>
            <w:tcW w:w="26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260" w:type="dxa"/>
            <w:vAlign w:val="bottom"/>
          </w:tcPr>
          <w:p>
            <w:pPr>
              <w:spacing w:after="0"/>
              <w:rPr>
                <w:sz w:val="16"/>
                <w:szCs w:val="16"/>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Fourth</w:t>
            </w:r>
            <w:r>
              <w:rPr>
                <w:rFonts w:ascii="Times New Roman" w:cs="Times New Roman" w:eastAsia="Times New Roman" w:hAnsi="Times New Roman"/>
                <w:sz w:val="9"/>
                <w:szCs w:val="9"/>
                <w:b w:val="1"/>
                <w:bCs w:val="1"/>
                <w:color w:val="auto"/>
              </w:rPr>
              <w:t>(2)</w:t>
            </w:r>
          </w:p>
        </w:tc>
        <w:tc>
          <w:tcPr>
            <w:tcW w:w="32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42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3"/>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1,012,356</w:t>
            </w: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48,194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273,088</w:t>
            </w:r>
          </w:p>
        </w:tc>
      </w:tr>
      <w:tr>
        <w:trPr>
          <w:trHeight w:val="229"/>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149,848</w:t>
            </w: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4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r>
      <w:tr>
        <w:trPr>
          <w:trHeight w:val="234"/>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w:t>
            </w:r>
          </w:p>
        </w:tc>
      </w:tr>
    </w:tbl>
    <w:p>
      <w:pPr>
        <w:spacing w:after="0" w:line="139" w:lineRule="exact"/>
        <w:rPr>
          <w:sz w:val="20"/>
          <w:szCs w:val="20"/>
          <w:color w:val="auto"/>
        </w:rPr>
      </w:pPr>
    </w:p>
    <w:p>
      <w:pPr>
        <w:ind w:left="140" w:right="80" w:firstLine="7"/>
        <w:spacing w:after="0" w:line="215" w:lineRule="auto"/>
        <w:tabs>
          <w:tab w:leader="none" w:pos="332"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results for the first quarter of Fiscal 2024 demonstrated normal seasonality and were negatively impacted by holidays and work schedules compared to other quarterly periods.</w:t>
      </w:r>
    </w:p>
    <w:p>
      <w:pPr>
        <w:ind w:left="320" w:hanging="173"/>
        <w:spacing w:after="0" w:line="217" w:lineRule="auto"/>
        <w:tabs>
          <w:tab w:leader="none" w:pos="32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results for the fourth quarter of Fiscal 2024 were positively impacted by project cancellations of $2.2 million.</w:t>
      </w:r>
    </w:p>
    <w:p>
      <w:pPr>
        <w:spacing w:after="0" w:line="32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sum of the individual earnings per share amounts may not agree with year-to-date earnings per share as each period’s computation is based on the weighted-average number of shares outstanding during the period.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P. Business Acquisition</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On August 15, 2025, Powell UK Limited, a fully owned subsidiary of Powell Industries, Inc. completed the previously announced business acquisition of all outstanding equity interests in Remsdaq, a U.K.-based manufacturer of SCADA RTUs for electrical substation control and automation in generation, transmission and distribution, for a total consideration of $18.4 million including cash acquired of $4.6 million. Cash payment of $15.2 million, including cash acquired of $4.6 million, was made on the acquisition date and deferred payments of $3.2 million are contingent upon Remsdaq meeting certain technical and financial milestones. We recorded assets acquired and liabilities assumed in connection with this acquisition based on their estimated fair values as of the acquisition date of August 15, 2025. In September 2025, Remsdaq achieved its financial milestone and accordingly, we made cash payments of $0.9 million and reduced the fair value of the deferred payments to $2.3 million. We incurred total acquisition-related costs of approximately $1.4 million, including legal, accounting, valuation, and other professional fees. These costs were expensed as incurred and included within Selling, General and Administrative Expenses in the Consolidated Statements of Operations.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The aggregate purchase price allocation at the acquisition date was as follows (in thousands):</w:t>
            </w:r>
          </w:p>
        </w:tc>
        <w:tc>
          <w:tcPr>
            <w:tcW w:w="18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364"/>
        </w:trPr>
        <w:tc>
          <w:tcPr>
            <w:tcW w:w="87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Purchase Price Allocation</w:t>
            </w:r>
          </w:p>
        </w:tc>
      </w:tr>
      <w:tr>
        <w:trPr>
          <w:trHeight w:val="209"/>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assets acquired</w:t>
            </w:r>
          </w:p>
        </w:tc>
        <w:tc>
          <w:tcPr>
            <w:tcW w:w="18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r>
      <w:tr>
        <w:trPr>
          <w:trHeight w:val="230"/>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4,565</w:t>
            </w:r>
          </w:p>
        </w:tc>
      </w:tr>
      <w:tr>
        <w:trPr>
          <w:trHeight w:val="229"/>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18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r>
      <w:tr>
        <w:trPr>
          <w:trHeight w:val="229"/>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w:t>
            </w:r>
          </w:p>
        </w:tc>
      </w:tr>
      <w:tr>
        <w:trPr>
          <w:trHeight w:val="230"/>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5,773</w:t>
            </w:r>
          </w:p>
        </w:tc>
      </w:tr>
      <w:tr>
        <w:trPr>
          <w:trHeight w:val="229"/>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5,143</w:t>
            </w:r>
          </w:p>
        </w:tc>
      </w:tr>
      <w:tr>
        <w:trPr>
          <w:trHeight w:val="230"/>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 assets</w:t>
            </w:r>
          </w:p>
        </w:tc>
        <w:tc>
          <w:tcPr>
            <w:tcW w:w="180" w:type="dxa"/>
            <w:vAlign w:val="bottom"/>
            <w:tcBorders>
              <w:bottom w:val="single" w:sz="8" w:color="auto"/>
            </w:tcBorders>
            <w:shd w:val="clear" w:color="auto" w:fill="CCEEFF"/>
          </w:tcPr>
          <w:p>
            <w:pPr>
              <w:spacing w:after="0"/>
              <w:rPr>
                <w:sz w:val="19"/>
                <w:szCs w:val="19"/>
                <w:color w:val="auto"/>
              </w:rPr>
            </w:pP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w:t>
            </w:r>
          </w:p>
        </w:tc>
      </w:tr>
      <w:tr>
        <w:trPr>
          <w:trHeight w:val="223"/>
        </w:trPr>
        <w:tc>
          <w:tcPr>
            <w:tcW w:w="8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assets recognized</w:t>
            </w:r>
          </w:p>
        </w:tc>
        <w:tc>
          <w:tcPr>
            <w:tcW w:w="1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22,396</w:t>
            </w:r>
          </w:p>
        </w:tc>
      </w:tr>
      <w:tr>
        <w:trPr>
          <w:trHeight w:val="210"/>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liabilities assumed</w:t>
            </w:r>
          </w:p>
        </w:tc>
        <w:tc>
          <w:tcPr>
            <w:tcW w:w="18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r>
      <w:tr>
        <w:trPr>
          <w:trHeight w:val="229"/>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18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w:t>
            </w:r>
          </w:p>
        </w:tc>
      </w:tr>
      <w:tr>
        <w:trPr>
          <w:trHeight w:val="229"/>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 associated with intangible assets recognized related to acquisition</w:t>
            </w:r>
          </w:p>
        </w:tc>
        <w:tc>
          <w:tcPr>
            <w:tcW w:w="180" w:type="dxa"/>
            <w:vAlign w:val="bottom"/>
            <w:tcBorders>
              <w:bottom w:val="single" w:sz="8" w:color="auto"/>
            </w:tcBorders>
            <w:shd w:val="clear" w:color="auto" w:fill="CCEEFF"/>
          </w:tcPr>
          <w:p>
            <w:pPr>
              <w:spacing w:after="0"/>
              <w:rPr>
                <w:sz w:val="19"/>
                <w:szCs w:val="19"/>
                <w:color w:val="auto"/>
              </w:rPr>
            </w:pP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r>
      <w:tr>
        <w:trPr>
          <w:trHeight w:val="223"/>
        </w:trPr>
        <w:tc>
          <w:tcPr>
            <w:tcW w:w="8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of net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18,411</w:t>
            </w:r>
          </w:p>
        </w:tc>
      </w:tr>
      <w:tr>
        <w:trPr>
          <w:trHeight w:val="20"/>
        </w:trPr>
        <w:tc>
          <w:tcPr>
            <w:tcW w:w="8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r>
      <w:tr>
        <w:trPr>
          <w:trHeight w:val="237"/>
        </w:trPr>
        <w:tc>
          <w:tcPr>
            <w:tcW w:w="8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320" w:type="dxa"/>
            <w:vAlign w:val="bottom"/>
            <w:shd w:val="clear" w:color="auto" w:fill="CCEEFF"/>
          </w:tcPr>
          <w:p>
            <w:pPr>
              <w:spacing w:after="0"/>
              <w:rPr>
                <w:sz w:val="20"/>
                <w:szCs w:val="20"/>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Purchase Consideration</w:t>
            </w:r>
          </w:p>
        </w:tc>
      </w:tr>
      <w:tr>
        <w:trPr>
          <w:trHeight w:val="223"/>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consideration</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15,175</w:t>
            </w:r>
          </w:p>
        </w:tc>
      </w:tr>
      <w:tr>
        <w:trPr>
          <w:trHeight w:val="230"/>
        </w:trPr>
        <w:tc>
          <w:tcPr>
            <w:tcW w:w="8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Fair value of contingent consideration</w:t>
            </w:r>
          </w:p>
        </w:tc>
        <w:tc>
          <w:tcPr>
            <w:tcW w:w="2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3,236</w:t>
            </w:r>
          </w:p>
        </w:tc>
      </w:tr>
      <w:tr>
        <w:trPr>
          <w:trHeight w:val="248"/>
        </w:trPr>
        <w:tc>
          <w:tcPr>
            <w:tcW w:w="8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18,411</w:t>
            </w: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assets acquired and liabilities assumed are preliminary and subject to change until we finalize the valuation of net assets acquired.</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is non-deductible for income tax purposes and calculated as the excess of the consideration transferred over the net assets recognized and represents the anticipated synergies of acquiring Remsdaq. Other intangible assets of approximately $5.8 million include customer relationships, technology, trademarks and order backlog, as follows (in thousands) at the acquisition date: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gridSpan w:val="2"/>
          </w:tcPr>
          <w:p>
            <w:pPr>
              <w:ind w:left="2260"/>
              <w:spacing w:after="0"/>
              <w:rPr>
                <w:sz w:val="20"/>
                <w:szCs w:val="20"/>
                <w:color w:val="auto"/>
              </w:rPr>
            </w:pPr>
            <w:r>
              <w:rPr>
                <w:rFonts w:ascii="Times New Roman" w:cs="Times New Roman" w:eastAsia="Times New Roman" w:hAnsi="Times New Roman"/>
                <w:sz w:val="18"/>
                <w:szCs w:val="18"/>
                <w:b w:val="1"/>
                <w:bCs w:val="1"/>
                <w:color w:val="auto"/>
              </w:rPr>
              <w:t>Intangible Assets Identified</w:t>
            </w:r>
          </w:p>
        </w:tc>
        <w:tc>
          <w:tcPr>
            <w:tcW w:w="520" w:type="dxa"/>
            <w:vAlign w:val="bottom"/>
          </w:tcPr>
          <w:p>
            <w:pPr>
              <w:spacing w:after="0"/>
              <w:rPr>
                <w:sz w:val="20"/>
                <w:szCs w:val="20"/>
                <w:color w:val="auto"/>
              </w:rPr>
            </w:pPr>
          </w:p>
        </w:tc>
        <w:tc>
          <w:tcPr>
            <w:tcW w:w="2220" w:type="dxa"/>
            <w:vAlign w:val="bottom"/>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0" w:type="dxa"/>
            <w:vAlign w:val="bottom"/>
          </w:tcPr>
          <w:p>
            <w:pPr>
              <w:spacing w:after="0"/>
              <w:rPr>
                <w:sz w:val="20"/>
                <w:szCs w:val="20"/>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Useful Life</w:t>
            </w:r>
          </w:p>
        </w:tc>
      </w:tr>
      <w:tr>
        <w:trPr>
          <w:trHeight w:val="223"/>
        </w:trPr>
        <w:tc>
          <w:tcPr>
            <w:tcW w:w="6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2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52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6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52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6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Order backlog</w:t>
            </w:r>
          </w:p>
        </w:tc>
        <w:tc>
          <w:tcPr>
            <w:tcW w:w="52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5,773</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7" w:name="page68"/>
    <w:bookmarkEnd w:id="67"/>
    <w:p>
      <w:pPr>
        <w:jc w:val="both"/>
        <w:spacing w:after="0" w:line="256" w:lineRule="auto"/>
        <w:rPr>
          <w:sz w:val="20"/>
          <w:szCs w:val="20"/>
          <w:color w:val="auto"/>
        </w:rPr>
      </w:pPr>
      <w:r>
        <w:rPr>
          <w:rFonts w:ascii="Times New Roman" w:cs="Times New Roman" w:eastAsia="Times New Roman" w:hAnsi="Times New Roman"/>
          <w:sz w:val="18"/>
          <w:szCs w:val="18"/>
          <w:color w:val="auto"/>
        </w:rPr>
        <w:t>We engaged an independent third-party valuation specialist to assist with the fair value measurement of the intangible assets assumed through the acquisition of Remsdaq, and the calculation of goodwill. The intangible assets were valued using the income approach, specifically the multi-period excess earnings method and the relief from royalty method. The inputs include forecasted future revenues, future margins, and revenues attributable to existing customers, obsolescence factor, royalty rate, customer attrition rate, contributory asset charges and discount rates, which are unobservable inputs that are based on our own and Remsdaq’s assumptions. Accordingly, the fair values of goodwill and other intangible assets are considered level 3 measurements under the U.S. GAAP fair value hierarchy.</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purchase price includes up to $3.2 million in contingent consideration, of which approximately $0.9 million has been earned and paid in September 2025 after Remsdaq achieved its financial target. The remaining contingent consideration was calculated based on a probability outcome model to measure the fair value of the contingent consideration, which is considered a Level 3 measurement under the U.S. GAAP fair value measurement hierarchy. As of September 30, 2025, we determined the fair value of the contingent consideration was $2.3 million.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Subsequent Event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Quarterly Dividend Declared</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4, 2025, our Board of Directors declared a quarterly cash dividend on our common stock in the amount of $0.2675 per share. The dividend is payable on December 17, 2025 to shareholders of record at the close of business on November 19, 2025.</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68" w:name="page69"/>
    <w:bookmarkEnd w:id="68"/>
    <w:p>
      <w:pPr>
        <w:ind w:right="392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established and maintain a system of disclosure controls and procedures that are designed to provide reasonable assurance that information required to be disclosed in our reports filed with the SEC pursuant to the Securities Exchange Act of 1934, as amended (Exchange Act), is recorded, processed, summarized and reported within the time periods specified in the rules and forms of the SEC and that such information is accumulated and communicated to our management, including our Chief Executive Officer (CEO) and Chief Financial Officer (CFO), as appropriate, to allow timely decisions regarding required disclosures.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with the participation of our CEO and CFO, has evaluated the effectiveness of the design and operation of our disclosure controls and procedures (as defined in Rules 13a–15(e) and 15d–15(e) of the Exchange Act) as of the end of the period covered by this report. Based on such evaluation, our CEO and CFO have each concluded that, as of the end of the period covered by this report, our disclosure controls and procedures were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the CEO and CFO, as appropriate, to allow timely decisions regarding required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effective internal control over financial reporting as defined in Rule 13a–15(f) under the Exchange Act. Our system of internal control was designed using a top-down risk-based approach to provide reasonable assurance regarding the reliability of financial reporting and the preparation of financial statements for external purposes in accordance with U.S. GAAP. Due to its inherent limitations, internal control over financial reporting may not prevent or detect misstatements. Also, projections of any evaluation of effectiveness to future periods are subject to the risk that controls may become ineffective due to changes in conditions or deterioration in the degree of compliance with the policies or procedures.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of the Company has assessed the effectiveness of our internal control over financial reporting as of September 30, 2025. Management evaluated the effectiveness of our internal control over financial reporting based on the criteria in Internal Control – Integrated Framework (2013) issued by the Committee of Sponsoring Organizations of the Treadway Commission (COSO). Based on management’s evaluation, management has concluded that our internal control over financial reporting was effective at the reasonable assurance level as of September 30, 2025, based on criteria in Internal Control – Integrated Framework (2013) issued by the COSO.</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PricewaterhouseCoopers LLP, an independent registered public accounting firm, has audited and issued their attestation report on the effectiveness of our internal control over financial reporting as of September 30, 2025, which appears in their report on the financial statements included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paragraph (d) of Rules 13a-15 or 15d-15 of the Exchange Act that occurred during the fourth quarter of Fiscal 2025 that have materially affected, or are reasonably likely to materially affect, our internal control over financial reporting.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Adoption or Termination of Trading Arrangements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last fiscal quarter, none of our directors or officers adopted or terminated any "Rule 10b5-1 trading arrangement" or "non-Rule 10b5-1 trading arrangement," as those terms are defined in Regulation S-K, Item 408.</w:t>
      </w:r>
    </w:p>
    <w:p>
      <w:pPr>
        <w:spacing w:after="0" w:line="293" w:lineRule="exact"/>
        <w:rPr>
          <w:sz w:val="20"/>
          <w:szCs w:val="20"/>
          <w:color w:val="auto"/>
        </w:rPr>
      </w:pPr>
    </w:p>
    <w:p>
      <w:pPr>
        <w:ind w:right="540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applicable.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in this Annual Report by reference to our definitive proxy statement pursuant to Regulation 14A, to be filed with the SEC not later than 120 days after the close of our fiscal year ended September 30, 2025.</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that applies to all employees, including our executive officers and directors. A copy of our Code of Business Conduct and Ethics may be obtained at the Investor Relations section of our website, </w:t>
      </w:r>
      <w:r>
        <w:rPr>
          <w:rFonts w:ascii="Times New Roman" w:cs="Times New Roman" w:eastAsia="Times New Roman" w:hAnsi="Times New Roman"/>
          <w:sz w:val="18"/>
          <w:szCs w:val="18"/>
          <w:u w:val="single" w:color="auto"/>
          <w:color w:val="auto"/>
        </w:rPr>
        <w:t>www.powellind.com</w:t>
      </w:r>
      <w:r>
        <w:rPr>
          <w:rFonts w:ascii="Times New Roman" w:cs="Times New Roman" w:eastAsia="Times New Roman" w:hAnsi="Times New Roman"/>
          <w:sz w:val="18"/>
          <w:szCs w:val="18"/>
          <w:color w:val="auto"/>
        </w:rPr>
        <w:t>, or by written request addressed to the Secretary, Powell Industries, Inc., 8550 Mosley Road, Houston, Texas 77075. We will satisfy the requirements under Item 5.05 of Form 8-K regarding disclosure of amendments to, or waivers from, provisions of our code of ethics that apply to the chief executive officer, chief financial officer or controller by posting such information on our website.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in this Annual Report by reference to our definitive proxy statement pursuant to Regulation 14A, to be filed with the SEC not later than 120 days after the close of our fiscal year ended September 30, 2025.</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in this Annual Report by reference to our definitive proxy statement pursuant to Regulation 14A, to be filed with the SEC not later than 120 days after the close of our fiscal year ended September 30, 2025.</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in this Annual Report by reference to our definitive proxy statement pursuant to Regulation 14A, to be filed with the SEC not later than 120 days after the close of our fiscal year ended September 30, 2025.</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in this Annual Report by reference to our definitive proxy statement pursuant to Regulation 14A, to be filed with the SEC not later than 120 days after the close of our fiscal year ended September 30, 2025.</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Financial Statement Schedules</w:t>
      </w:r>
    </w:p>
    <w:p>
      <w:pPr>
        <w:spacing w:after="0" w:line="119" w:lineRule="exact"/>
        <w:rPr>
          <w:sz w:val="20"/>
          <w:szCs w:val="20"/>
          <w:color w:val="auto"/>
        </w:rPr>
      </w:pPr>
    </w:p>
    <w:p>
      <w:pPr>
        <w:ind w:left="180" w:hanging="172"/>
        <w:spacing w:after="0"/>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Reference is made to the Index to Consolidated Financial Statements at Item 8 of this Annual Report.</w:t>
      </w:r>
    </w:p>
    <w:p>
      <w:pPr>
        <w:spacing w:after="0" w:line="225" w:lineRule="exact"/>
        <w:rPr>
          <w:rFonts w:ascii="Times New Roman" w:cs="Times New Roman" w:eastAsia="Times New Roman" w:hAnsi="Times New Roman"/>
          <w:sz w:val="18"/>
          <w:szCs w:val="18"/>
          <w:color w:val="auto"/>
        </w:rPr>
      </w:pPr>
    </w:p>
    <w:p>
      <w:pPr>
        <w:ind w:firstLine="8"/>
        <w:spacing w:after="0" w:line="284" w:lineRule="auto"/>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 Schedule. </w:t>
      </w:r>
      <w:r>
        <w:rPr>
          <w:rFonts w:ascii="Times New Roman" w:cs="Times New Roman" w:eastAsia="Times New Roman" w:hAnsi="Times New Roman"/>
          <w:sz w:val="18"/>
          <w:szCs w:val="18"/>
          <w:color w:val="auto"/>
        </w:rPr>
        <w:t>All financial statement schedules are omitted because they are not applicable, or the required information is shown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Financial Statements or the Notes to Consolidated Financial Statements included elsewhere in this Annual Report.</w:t>
      </w:r>
    </w:p>
    <w:p>
      <w:pPr>
        <w:spacing w:after="0" w:line="198"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140" w:lineRule="exact"/>
        <w:rPr>
          <w:sz w:val="20"/>
          <w:szCs w:val="20"/>
          <w:color w:val="auto"/>
        </w:rPr>
      </w:pPr>
    </w:p>
    <w:p>
      <w:pPr>
        <w:ind w:left="20"/>
        <w:spacing w:after="0"/>
        <w:tabs>
          <w:tab w:leader="none" w:pos="154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04659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pacing w:after="0" w:line="37" w:lineRule="exact"/>
        <w:rPr>
          <w:sz w:val="20"/>
          <w:szCs w:val="20"/>
          <w:color w:val="auto"/>
        </w:rPr>
      </w:pPr>
    </w:p>
    <w:p>
      <w:pPr>
        <w:jc w:val="right"/>
        <w:ind w:left="680" w:right="160"/>
        <w:spacing w:after="0" w:line="184"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7"/>
          <w:szCs w:val="17"/>
          <w:color w:val="auto"/>
        </w:rPr>
        <w:t xml:space="preserve">   </w:t>
      </w:r>
      <w:hyperlink r:id="rId97">
        <w:r>
          <w:rPr>
            <w:rFonts w:ascii="Times New Roman" w:cs="Times New Roman" w:eastAsia="Times New Roman" w:hAnsi="Times New Roman"/>
            <w:sz w:val="17"/>
            <w:szCs w:val="17"/>
            <w:u w:val="single" w:color="auto"/>
            <w:color w:val="0000FF"/>
          </w:rPr>
          <w:t>Amended and Restated Certificate of Incorporation of Powell Industries, Inc. filed with the Secretary of State of the State of</w:t>
        </w:r>
      </w:hyperlink>
      <w:r>
        <w:rPr>
          <w:rFonts w:ascii="Times New Roman" w:cs="Times New Roman" w:eastAsia="Times New Roman" w:hAnsi="Times New Roman"/>
          <w:sz w:val="17"/>
          <w:szCs w:val="17"/>
          <w:color w:val="auto"/>
        </w:rPr>
        <w:t xml:space="preserve"> </w:t>
      </w:r>
      <w:hyperlink r:id="rId97">
        <w:r>
          <w:rPr>
            <w:rFonts w:ascii="Times New Roman" w:cs="Times New Roman" w:eastAsia="Times New Roman" w:hAnsi="Times New Roman"/>
            <w:sz w:val="17"/>
            <w:szCs w:val="17"/>
            <w:u w:val="single" w:color="auto"/>
            <w:color w:val="0000FF"/>
          </w:rPr>
          <w:t>Delaware on February 19, 2025 (filed as Exhibit 3.1 to our Form 8-K filed February 19, 2025, and incorporated herein by</w:t>
        </w:r>
      </w:hyperlink>
    </w:p>
    <w:p>
      <w:pPr>
        <w:spacing w:after="0" w:line="1" w:lineRule="exact"/>
        <w:rPr>
          <w:sz w:val="20"/>
          <w:szCs w:val="20"/>
          <w:color w:val="auto"/>
        </w:rPr>
      </w:pPr>
    </w:p>
    <w:p>
      <w:pPr>
        <w:ind w:left="1560"/>
        <w:spacing w:after="0"/>
        <w:rPr>
          <w:rFonts w:ascii="Times New Roman" w:cs="Times New Roman" w:eastAsia="Times New Roman" w:hAnsi="Times New Roman"/>
          <w:sz w:val="18"/>
          <w:szCs w:val="18"/>
          <w:u w:val="single" w:color="auto"/>
          <w:color w:val="0000FF"/>
        </w:rPr>
      </w:pPr>
      <w:hyperlink r:id="rId97">
        <w:r>
          <w:rPr>
            <w:rFonts w:ascii="Times New Roman" w:cs="Times New Roman" w:eastAsia="Times New Roman" w:hAnsi="Times New Roman"/>
            <w:sz w:val="18"/>
            <w:szCs w:val="18"/>
            <w:u w:val="single" w:color="auto"/>
            <w:color w:val="0000FF"/>
          </w:rPr>
          <w:t>reference).</w:t>
        </w:r>
      </w:hyperlink>
    </w:p>
    <w:p>
      <w:pPr>
        <w:spacing w:after="0" w:line="160" w:lineRule="exact"/>
        <w:rPr>
          <w:sz w:val="20"/>
          <w:szCs w:val="20"/>
          <w:color w:val="auto"/>
        </w:rPr>
      </w:pPr>
    </w:p>
    <w:p>
      <w:pPr>
        <w:ind w:left="1200" w:right="160" w:hanging="881"/>
        <w:spacing w:after="0" w:line="187" w:lineRule="auto"/>
        <w:tabs>
          <w:tab w:leader="none" w:pos="11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29"/>
          <w:szCs w:val="29"/>
          <w:color w:val="auto"/>
          <w:vertAlign w:val="superscript"/>
        </w:rPr>
        <w:t xml:space="preserve">— </w:t>
      </w:r>
      <w:hyperlink r:id="rId98">
        <w:r>
          <w:rPr>
            <w:rFonts w:ascii="Times New Roman" w:cs="Times New Roman" w:eastAsia="Times New Roman" w:hAnsi="Times New Roman"/>
            <w:sz w:val="17"/>
            <w:szCs w:val="17"/>
            <w:u w:val="single" w:color="auto"/>
            <w:color w:val="0000FF"/>
          </w:rPr>
          <w:t>Second Amended and Restated By-laws of Powell Industries, Inc. (filed as Exhibit 3.1 to our Form 8-K filed February 24, 2025,</w:t>
        </w:r>
      </w:hyperlink>
      <w:r>
        <w:rPr>
          <w:rFonts w:ascii="Times New Roman" w:cs="Times New Roman" w:eastAsia="Times New Roman" w:hAnsi="Times New Roman"/>
          <w:sz w:val="29"/>
          <w:szCs w:val="29"/>
          <w:color w:val="auto"/>
        </w:rPr>
        <w:t xml:space="preserve"> </w:t>
      </w:r>
      <w:hyperlink r:id="rId98">
        <w:r>
          <w:rPr>
            <w:rFonts w:ascii="Times New Roman" w:cs="Times New Roman" w:eastAsia="Times New Roman" w:hAnsi="Times New Roman"/>
            <w:sz w:val="17"/>
            <w:szCs w:val="17"/>
            <w:u w:val="single" w:color="auto"/>
            <w:color w:val="0000FF"/>
          </w:rPr>
          <w:t>and incorporated herein by reference).</w:t>
        </w:r>
      </w:hyperlink>
    </w:p>
    <w:p>
      <w:pPr>
        <w:sectPr>
          <w:pgSz w:w="11900" w:h="16838" w:orient="portrait"/>
          <w:cols w:equalWidth="0" w:num="1">
            <w:col w:w="11240"/>
          </w:cols>
          <w:pgMar w:left="320" w:top="887" w:right="339" w:bottom="1440" w:gutter="0" w:footer="0" w:header="0"/>
        </w:sectPr>
      </w:pPr>
    </w:p>
    <w:p>
      <w:pPr>
        <w:spacing w:after="0" w:line="168" w:lineRule="exact"/>
        <w:rPr>
          <w:sz w:val="20"/>
          <w:szCs w:val="20"/>
          <w:color w:val="auto"/>
        </w:rPr>
      </w:pPr>
    </w:p>
    <w:p>
      <w:pPr>
        <w:ind w:left="700"/>
        <w:spacing w:after="0"/>
        <w:tabs>
          <w:tab w:leader="none" w:pos="1180" w:val="left"/>
        </w:tabs>
        <w:rPr>
          <w:sz w:val="20"/>
          <w:szCs w:val="20"/>
          <w:color w:val="auto"/>
        </w:rPr>
      </w:pPr>
      <w:r>
        <w:rPr>
          <w:rFonts w:ascii="Times New Roman" w:cs="Times New Roman" w:eastAsia="Times New Roman" w:hAnsi="Times New Roman"/>
          <w:sz w:val="14"/>
          <w:szCs w:val="14"/>
          <w:color w:val="auto"/>
        </w:rPr>
        <w:t>**4</w:t>
      </w:r>
      <w:r>
        <w:rPr>
          <w:sz w:val="20"/>
          <w:szCs w:val="20"/>
          <w:color w:val="auto"/>
        </w:rPr>
        <w:tab/>
      </w:r>
      <w:r>
        <w:rPr>
          <w:rFonts w:ascii="Times New Roman" w:cs="Times New Roman" w:eastAsia="Times New Roman" w:hAnsi="Times New Roman"/>
          <w:sz w:val="20"/>
          <w:szCs w:val="20"/>
          <w:color w:val="auto"/>
          <w:vertAlign w:val="superscript"/>
        </w:rPr>
        <w:t>—</w:t>
      </w:r>
    </w:p>
    <w:p>
      <w:pPr>
        <w:spacing w:after="0" w:line="110" w:lineRule="exact"/>
        <w:rPr>
          <w:sz w:val="20"/>
          <w:szCs w:val="20"/>
          <w:color w:val="auto"/>
        </w:rPr>
      </w:pPr>
    </w:p>
    <w:p>
      <w:pPr>
        <w:ind w:left="560"/>
        <w:spacing w:after="0"/>
        <w:tabs>
          <w:tab w:leader="none" w:pos="118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21"/>
          <w:szCs w:val="21"/>
          <w:color w:val="auto"/>
          <w:vertAlign w:val="superscript"/>
        </w:rPr>
        <w:t>—</w:t>
      </w:r>
    </w:p>
    <w:p>
      <w:pPr>
        <w:spacing w:after="0" w:line="323" w:lineRule="exact"/>
        <w:rPr>
          <w:sz w:val="20"/>
          <w:szCs w:val="20"/>
          <w:color w:val="auto"/>
        </w:rPr>
      </w:pPr>
    </w:p>
    <w:p>
      <w:pPr>
        <w:jc w:val="right"/>
        <w:spacing w:after="0"/>
        <w:tabs>
          <w:tab w:leader="none" w:pos="12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21"/>
          <w:szCs w:val="21"/>
          <w:color w:val="auto"/>
          <w:vertAlign w:val="superscript"/>
        </w:rPr>
        <w:t>—</w:t>
      </w:r>
    </w:p>
    <w:p>
      <w:pPr>
        <w:spacing w:after="0" w:line="150" w:lineRule="exact"/>
        <w:rPr>
          <w:sz w:val="20"/>
          <w:szCs w:val="20"/>
          <w:color w:val="auto"/>
        </w:rPr>
      </w:pPr>
    </w:p>
    <w:p>
      <w:pPr>
        <w:jc w:val="right"/>
        <w:spacing w:after="0"/>
        <w:tabs>
          <w:tab w:leader="none" w:pos="12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21"/>
          <w:szCs w:val="21"/>
          <w:color w:val="auto"/>
          <w:vertAlign w:val="superscript"/>
        </w:rPr>
        <w:t>—</w:t>
      </w:r>
    </w:p>
    <w:p>
      <w:pPr>
        <w:spacing w:after="0" w:line="272" w:lineRule="exact"/>
        <w:rPr>
          <w:sz w:val="20"/>
          <w:szCs w:val="20"/>
          <w:color w:val="auto"/>
        </w:rPr>
      </w:pPr>
    </w:p>
    <w:p>
      <w:pPr>
        <w:jc w:val="right"/>
        <w:spacing w:after="0"/>
        <w:tabs>
          <w:tab w:leader="none" w:pos="1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21"/>
          <w:szCs w:val="21"/>
          <w:color w:val="auto"/>
          <w:vertAlign w:val="superscript"/>
        </w:rPr>
        <w:t>—</w:t>
      </w:r>
    </w:p>
    <w:p>
      <w:pPr>
        <w:spacing w:after="0" w:line="272" w:lineRule="exact"/>
        <w:rPr>
          <w:sz w:val="20"/>
          <w:szCs w:val="20"/>
          <w:color w:val="auto"/>
        </w:rPr>
      </w:pPr>
    </w:p>
    <w:p>
      <w:pPr>
        <w:jc w:val="right"/>
        <w:spacing w:after="0"/>
        <w:tabs>
          <w:tab w:leader="none" w:pos="12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21"/>
          <w:szCs w:val="21"/>
          <w:color w:val="auto"/>
          <w:vertAlign w:val="superscript"/>
        </w:rPr>
        <w:t>—</w:t>
      </w:r>
    </w:p>
    <w:p>
      <w:pPr>
        <w:spacing w:after="0" w:line="272" w:lineRule="exact"/>
        <w:rPr>
          <w:sz w:val="20"/>
          <w:szCs w:val="20"/>
          <w:color w:val="auto"/>
        </w:rPr>
      </w:pPr>
    </w:p>
    <w:p>
      <w:pPr>
        <w:jc w:val="right"/>
        <w:spacing w:after="0"/>
        <w:tabs>
          <w:tab w:leader="none" w:pos="12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21"/>
          <w:szCs w:val="21"/>
          <w:color w:val="auto"/>
          <w:vertAlign w:val="superscript"/>
        </w:rPr>
        <w:t>—</w:t>
      </w:r>
    </w:p>
    <w:p>
      <w:pPr>
        <w:spacing w:after="0" w:line="272" w:lineRule="exact"/>
        <w:rPr>
          <w:sz w:val="20"/>
          <w:szCs w:val="20"/>
          <w:color w:val="auto"/>
        </w:rPr>
      </w:pPr>
    </w:p>
    <w:p>
      <w:pPr>
        <w:jc w:val="right"/>
        <w:spacing w:after="0"/>
        <w:tabs>
          <w:tab w:leader="none" w:pos="12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21"/>
          <w:szCs w:val="21"/>
          <w:color w:val="auto"/>
          <w:vertAlign w:val="superscript"/>
        </w:rPr>
        <w:t>—</w:t>
      </w:r>
    </w:p>
    <w:p>
      <w:pPr>
        <w:spacing w:after="0" w:line="272" w:lineRule="exact"/>
        <w:rPr>
          <w:sz w:val="20"/>
          <w:szCs w:val="20"/>
          <w:color w:val="auto"/>
        </w:rPr>
      </w:pPr>
    </w:p>
    <w:p>
      <w:pPr>
        <w:jc w:val="right"/>
        <w:spacing w:after="0"/>
        <w:tabs>
          <w:tab w:leader="none" w:pos="12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21"/>
          <w:szCs w:val="21"/>
          <w:color w:val="auto"/>
          <w:vertAlign w:val="superscript"/>
        </w:rPr>
        <w:t>—</w:t>
      </w:r>
    </w:p>
    <w:p>
      <w:pPr>
        <w:spacing w:after="0" w:line="272" w:lineRule="exact"/>
        <w:rPr>
          <w:sz w:val="20"/>
          <w:szCs w:val="20"/>
          <w:color w:val="auto"/>
        </w:rPr>
      </w:pPr>
    </w:p>
    <w:p>
      <w:pPr>
        <w:jc w:val="right"/>
        <w:spacing w:after="0"/>
        <w:tabs>
          <w:tab w:leader="none" w:pos="120" w:val="left"/>
        </w:tabs>
        <w:rPr>
          <w:sz w:val="20"/>
          <w:szCs w:val="20"/>
          <w:color w:val="auto"/>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21"/>
          <w:szCs w:val="21"/>
          <w:color w:val="auto"/>
          <w:vertAlign w:val="superscript"/>
        </w:rPr>
        <w:t>—</w:t>
      </w:r>
    </w:p>
    <w:p>
      <w:pPr>
        <w:spacing w:after="0" w:line="339" w:lineRule="exact"/>
        <w:rPr>
          <w:sz w:val="20"/>
          <w:szCs w:val="20"/>
          <w:color w:val="auto"/>
        </w:rPr>
      </w:pPr>
    </w:p>
    <w:p>
      <w:pPr>
        <w:ind w:left="460"/>
        <w:spacing w:after="0"/>
        <w:tabs>
          <w:tab w:leader="none" w:pos="1180" w:val="left"/>
        </w:tabs>
        <w:rPr>
          <w:sz w:val="20"/>
          <w:szCs w:val="20"/>
          <w:color w:val="auto"/>
        </w:rPr>
      </w:pPr>
      <w:r>
        <w:rPr>
          <w:rFonts w:ascii="Times New Roman" w:cs="Times New Roman" w:eastAsia="Times New Roman" w:hAnsi="Times New Roman"/>
          <w:sz w:val="18"/>
          <w:szCs w:val="18"/>
          <w:color w:val="auto"/>
        </w:rPr>
        <w:t>*10.10</w:t>
      </w:r>
      <w:r>
        <w:rPr>
          <w:sz w:val="20"/>
          <w:szCs w:val="20"/>
          <w:color w:val="auto"/>
        </w:rPr>
        <w:tab/>
      </w:r>
      <w:r>
        <w:rPr>
          <w:rFonts w:ascii="Times New Roman" w:cs="Times New Roman" w:eastAsia="Times New Roman" w:hAnsi="Times New Roman"/>
          <w:sz w:val="21"/>
          <w:szCs w:val="21"/>
          <w:color w:val="auto"/>
          <w:vertAlign w:val="superscript"/>
        </w:rPr>
        <w:t>—</w:t>
      </w:r>
    </w:p>
    <w:p>
      <w:pPr>
        <w:spacing w:after="0" w:line="272" w:lineRule="exact"/>
        <w:rPr>
          <w:sz w:val="20"/>
          <w:szCs w:val="20"/>
          <w:color w:val="auto"/>
        </w:rPr>
      </w:pPr>
    </w:p>
    <w:p>
      <w:pPr>
        <w:ind w:left="480"/>
        <w:spacing w:after="0"/>
        <w:tabs>
          <w:tab w:leader="none" w:pos="1180" w:val="left"/>
        </w:tabs>
        <w:rPr>
          <w:sz w:val="20"/>
          <w:szCs w:val="20"/>
          <w:color w:val="auto"/>
        </w:rPr>
      </w:pP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21"/>
          <w:szCs w:val="21"/>
          <w:color w:val="auto"/>
          <w:vertAlign w:val="superscript"/>
        </w:rPr>
        <w:t>—</w:t>
      </w:r>
    </w:p>
    <w:p>
      <w:pPr>
        <w:spacing w:after="0" w:line="272" w:lineRule="exact"/>
        <w:rPr>
          <w:sz w:val="20"/>
          <w:szCs w:val="20"/>
          <w:color w:val="auto"/>
        </w:rPr>
      </w:pPr>
    </w:p>
    <w:p>
      <w:pPr>
        <w:jc w:val="right"/>
        <w:spacing w:after="0"/>
        <w:tabs>
          <w:tab w:leader="none" w:pos="120" w:val="left"/>
        </w:tabs>
        <w:rPr>
          <w:sz w:val="20"/>
          <w:szCs w:val="20"/>
          <w:color w:val="auto"/>
        </w:rPr>
      </w:pPr>
      <w:r>
        <w:rPr>
          <w:rFonts w:ascii="Times New Roman" w:cs="Times New Roman" w:eastAsia="Times New Roman" w:hAnsi="Times New Roman"/>
          <w:sz w:val="18"/>
          <w:szCs w:val="18"/>
          <w:color w:val="auto"/>
        </w:rPr>
        <w:t>10.12</w:t>
      </w:r>
      <w:r>
        <w:rPr>
          <w:sz w:val="20"/>
          <w:szCs w:val="20"/>
          <w:color w:val="auto"/>
        </w:rPr>
        <w:tab/>
      </w:r>
      <w:r>
        <w:rPr>
          <w:rFonts w:ascii="Times New Roman" w:cs="Times New Roman" w:eastAsia="Times New Roman" w:hAnsi="Times New Roman"/>
          <w:sz w:val="21"/>
          <w:szCs w:val="21"/>
          <w:color w:val="auto"/>
          <w:vertAlign w:val="superscript"/>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tabs>
          <w:tab w:leader="none" w:pos="120" w:val="left"/>
        </w:tabs>
        <w:rPr>
          <w:sz w:val="20"/>
          <w:szCs w:val="20"/>
          <w:color w:val="auto"/>
        </w:rPr>
      </w:pPr>
      <w:r>
        <w:rPr>
          <w:rFonts w:ascii="Times New Roman" w:cs="Times New Roman" w:eastAsia="Times New Roman" w:hAnsi="Times New Roman"/>
          <w:sz w:val="18"/>
          <w:szCs w:val="18"/>
          <w:color w:val="auto"/>
        </w:rPr>
        <w:t>10.13</w:t>
      </w:r>
      <w:r>
        <w:rPr>
          <w:sz w:val="20"/>
          <w:szCs w:val="20"/>
          <w:color w:val="auto"/>
        </w:rPr>
        <w:tab/>
      </w:r>
      <w:r>
        <w:rPr>
          <w:rFonts w:ascii="Times New Roman" w:cs="Times New Roman" w:eastAsia="Times New Roman" w:hAnsi="Times New Roman"/>
          <w:sz w:val="21"/>
          <w:szCs w:val="21"/>
          <w:color w:val="auto"/>
          <w:vertAlign w:val="superscript"/>
        </w:rPr>
        <w:t>—</w:t>
      </w:r>
    </w:p>
    <w:p>
      <w:pPr>
        <w:spacing w:after="0" w:line="272" w:lineRule="exact"/>
        <w:rPr>
          <w:sz w:val="20"/>
          <w:szCs w:val="20"/>
          <w:color w:val="auto"/>
        </w:rPr>
      </w:pPr>
    </w:p>
    <w:p>
      <w:pPr>
        <w:jc w:val="right"/>
        <w:spacing w:after="0"/>
        <w:tabs>
          <w:tab w:leader="none" w:pos="120" w:val="left"/>
        </w:tabs>
        <w:rPr>
          <w:sz w:val="20"/>
          <w:szCs w:val="20"/>
          <w:color w:val="auto"/>
        </w:rPr>
      </w:pPr>
      <w:r>
        <w:rPr>
          <w:rFonts w:ascii="Times New Roman" w:cs="Times New Roman" w:eastAsia="Times New Roman" w:hAnsi="Times New Roman"/>
          <w:sz w:val="18"/>
          <w:szCs w:val="18"/>
          <w:color w:val="auto"/>
        </w:rPr>
        <w:t>10.14</w:t>
      </w:r>
      <w:r>
        <w:rPr>
          <w:sz w:val="20"/>
          <w:szCs w:val="20"/>
          <w:color w:val="auto"/>
        </w:rPr>
        <w:tab/>
      </w:r>
      <w:r>
        <w:rPr>
          <w:rFonts w:ascii="Times New Roman" w:cs="Times New Roman" w:eastAsia="Times New Roman" w:hAnsi="Times New Roman"/>
          <w:sz w:val="21"/>
          <w:szCs w:val="21"/>
          <w:color w:val="auto"/>
          <w:vertAlign w:val="superscript"/>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Description of Powell Industries, Inc.'s Common Stock</w:t>
      </w:r>
    </w:p>
    <w:p>
      <w:pPr>
        <w:spacing w:after="0" w:line="117" w:lineRule="exact"/>
        <w:rPr>
          <w:sz w:val="20"/>
          <w:szCs w:val="20"/>
          <w:color w:val="auto"/>
        </w:rPr>
      </w:pPr>
    </w:p>
    <w:p>
      <w:pPr>
        <w:ind w:right="160"/>
        <w:spacing w:after="0" w:line="237" w:lineRule="auto"/>
        <w:rPr>
          <w:rFonts w:ascii="Times New Roman" w:cs="Times New Roman" w:eastAsia="Times New Roman" w:hAnsi="Times New Roman"/>
          <w:sz w:val="18"/>
          <w:szCs w:val="18"/>
          <w:u w:val="single" w:color="auto"/>
          <w:color w:val="0000FF"/>
        </w:rPr>
      </w:pPr>
      <w:hyperlink r:id="rId99">
        <w:r>
          <w:rPr>
            <w:rFonts w:ascii="Times New Roman" w:cs="Times New Roman" w:eastAsia="Times New Roman" w:hAnsi="Times New Roman"/>
            <w:sz w:val="18"/>
            <w:szCs w:val="18"/>
            <w:u w:val="single" w:color="auto"/>
            <w:color w:val="0000FF"/>
          </w:rPr>
          <w:t>Powell Industries, Inc. Deferred Compensation Plan (filed as Exhibit 10.9 to our Form 10-K for the fiscal year ended October 31,</w:t>
        </w:r>
      </w:hyperlink>
      <w:r>
        <w:rPr>
          <w:rFonts w:ascii="Times New Roman" w:cs="Times New Roman" w:eastAsia="Times New Roman" w:hAnsi="Times New Roman"/>
          <w:sz w:val="18"/>
          <w:szCs w:val="18"/>
          <w:u w:val="single" w:color="auto"/>
          <w:color w:val="0000FF"/>
        </w:rPr>
        <w:t xml:space="preserve"> </w:t>
      </w:r>
      <w:hyperlink r:id="rId99">
        <w:r>
          <w:rPr>
            <w:rFonts w:ascii="Times New Roman" w:cs="Times New Roman" w:eastAsia="Times New Roman" w:hAnsi="Times New Roman"/>
            <w:sz w:val="18"/>
            <w:szCs w:val="18"/>
            <w:u w:val="single" w:color="auto"/>
            <w:color w:val="0000FF"/>
          </w:rPr>
          <w:t>2002, and incorporated herein by reference).</w:t>
        </w:r>
      </w:hyperlink>
    </w:p>
    <w:p>
      <w:pPr>
        <w:spacing w:after="0" w:line="17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00">
        <w:r>
          <w:rPr>
            <w:rFonts w:ascii="Times New Roman" w:cs="Times New Roman" w:eastAsia="Times New Roman" w:hAnsi="Times New Roman"/>
            <w:sz w:val="18"/>
            <w:szCs w:val="18"/>
            <w:u w:val="single" w:color="auto"/>
            <w:color w:val="0000FF"/>
          </w:rPr>
          <w:t>2014 Equity Incentive Plan (filed as Exhibit 10.2 to our Form 10-Q filed May 7, 2014 and incorporated herein by reference).</w:t>
        </w:r>
      </w:hyperlink>
    </w:p>
    <w:p>
      <w:pPr>
        <w:spacing w:after="0" w:line="185" w:lineRule="exact"/>
        <w:rPr>
          <w:sz w:val="20"/>
          <w:szCs w:val="20"/>
          <w:color w:val="auto"/>
        </w:rPr>
      </w:pPr>
    </w:p>
    <w:p>
      <w:pPr>
        <w:ind w:right="160"/>
        <w:spacing w:after="0" w:line="237" w:lineRule="auto"/>
        <w:rPr>
          <w:rFonts w:ascii="Times New Roman" w:cs="Times New Roman" w:eastAsia="Times New Roman" w:hAnsi="Times New Roman"/>
          <w:sz w:val="18"/>
          <w:szCs w:val="18"/>
          <w:u w:val="single" w:color="auto"/>
          <w:color w:val="0000FF"/>
        </w:rPr>
      </w:pPr>
      <w:hyperlink r:id="rId101">
        <w:r>
          <w:rPr>
            <w:rFonts w:ascii="Times New Roman" w:cs="Times New Roman" w:eastAsia="Times New Roman" w:hAnsi="Times New Roman"/>
            <w:sz w:val="18"/>
            <w:szCs w:val="18"/>
            <w:u w:val="single" w:color="auto"/>
            <w:color w:val="0000FF"/>
          </w:rPr>
          <w:t>Form of Restricted Stock Award Agreement under 2014 Equity Incentive Plan (filed as Exhibit 10.3 to our Form 10-Q filed May 7,</w:t>
        </w:r>
      </w:hyperlink>
      <w:r>
        <w:rPr>
          <w:rFonts w:ascii="Times New Roman" w:cs="Times New Roman" w:eastAsia="Times New Roman" w:hAnsi="Times New Roman"/>
          <w:sz w:val="18"/>
          <w:szCs w:val="18"/>
          <w:u w:val="single" w:color="auto"/>
          <w:color w:val="0000FF"/>
        </w:rPr>
        <w:t xml:space="preserve"> </w:t>
      </w:r>
      <w:hyperlink r:id="rId101">
        <w:r>
          <w:rPr>
            <w:rFonts w:ascii="Times New Roman" w:cs="Times New Roman" w:eastAsia="Times New Roman" w:hAnsi="Times New Roman"/>
            <w:sz w:val="18"/>
            <w:szCs w:val="18"/>
            <w:u w:val="single" w:color="auto"/>
            <w:color w:val="0000FF"/>
          </w:rPr>
          <w:t>2014 and incorporated herein by reference).</w:t>
        </w:r>
      </w:hyperlink>
    </w:p>
    <w:p>
      <w:pPr>
        <w:spacing w:after="0" w:line="104" w:lineRule="exact"/>
        <w:rPr>
          <w:sz w:val="20"/>
          <w:szCs w:val="20"/>
          <w:color w:val="auto"/>
        </w:rPr>
      </w:pPr>
    </w:p>
    <w:p>
      <w:pPr>
        <w:ind w:right="160"/>
        <w:spacing w:after="0" w:line="237" w:lineRule="auto"/>
        <w:rPr>
          <w:rFonts w:ascii="Times New Roman" w:cs="Times New Roman" w:eastAsia="Times New Roman" w:hAnsi="Times New Roman"/>
          <w:sz w:val="18"/>
          <w:szCs w:val="18"/>
          <w:u w:val="single" w:color="auto"/>
          <w:color w:val="0000FF"/>
        </w:rPr>
      </w:pPr>
      <w:hyperlink r:id="rId102">
        <w:r>
          <w:rPr>
            <w:rFonts w:ascii="Times New Roman" w:cs="Times New Roman" w:eastAsia="Times New Roman" w:hAnsi="Times New Roman"/>
            <w:sz w:val="18"/>
            <w:szCs w:val="18"/>
            <w:u w:val="single" w:color="auto"/>
            <w:color w:val="0000FF"/>
          </w:rPr>
          <w:t>Form of Restricted Stock Unit Award Agreement under 2014 Equity Incentive Plan (filed as Exhibit 10.4 to our Form 10-Q filed</w:t>
        </w:r>
      </w:hyperlink>
      <w:r>
        <w:rPr>
          <w:rFonts w:ascii="Times New Roman" w:cs="Times New Roman" w:eastAsia="Times New Roman" w:hAnsi="Times New Roman"/>
          <w:sz w:val="18"/>
          <w:szCs w:val="18"/>
          <w:u w:val="single" w:color="auto"/>
          <w:color w:val="0000FF"/>
        </w:rPr>
        <w:t xml:space="preserve"> </w:t>
      </w:r>
      <w:hyperlink r:id="rId102">
        <w:r>
          <w:rPr>
            <w:rFonts w:ascii="Times New Roman" w:cs="Times New Roman" w:eastAsia="Times New Roman" w:hAnsi="Times New Roman"/>
            <w:sz w:val="18"/>
            <w:szCs w:val="18"/>
            <w:u w:val="single" w:color="auto"/>
            <w:color w:val="0000FF"/>
          </w:rPr>
          <w:t>May 7, 2014 and incorporated herein by reference).</w:t>
        </w:r>
      </w:hyperlink>
    </w:p>
    <w:p>
      <w:pPr>
        <w:spacing w:after="0" w:line="104" w:lineRule="exact"/>
        <w:rPr>
          <w:sz w:val="20"/>
          <w:szCs w:val="20"/>
          <w:color w:val="auto"/>
        </w:rPr>
      </w:pPr>
    </w:p>
    <w:p>
      <w:pPr>
        <w:ind w:right="160"/>
        <w:spacing w:after="0" w:line="237" w:lineRule="auto"/>
        <w:rPr>
          <w:rFonts w:ascii="Times New Roman" w:cs="Times New Roman" w:eastAsia="Times New Roman" w:hAnsi="Times New Roman"/>
          <w:sz w:val="18"/>
          <w:szCs w:val="18"/>
          <w:u w:val="single" w:color="auto"/>
          <w:color w:val="0000FF"/>
        </w:rPr>
      </w:pPr>
      <w:hyperlink r:id="rId103">
        <w:r>
          <w:rPr>
            <w:rFonts w:ascii="Times New Roman" w:cs="Times New Roman" w:eastAsia="Times New Roman" w:hAnsi="Times New Roman"/>
            <w:sz w:val="18"/>
            <w:szCs w:val="18"/>
            <w:u w:val="single" w:color="auto"/>
            <w:color w:val="0000FF"/>
          </w:rPr>
          <w:t>Form of Performance Unit Award Agreement under 2014 Equity Incentive Plan (filed as Exhibit 10.5 to our Form 10-Q filed May</w:t>
        </w:r>
      </w:hyperlink>
      <w:r>
        <w:rPr>
          <w:rFonts w:ascii="Times New Roman" w:cs="Times New Roman" w:eastAsia="Times New Roman" w:hAnsi="Times New Roman"/>
          <w:sz w:val="18"/>
          <w:szCs w:val="18"/>
          <w:u w:val="single" w:color="auto"/>
          <w:color w:val="0000FF"/>
        </w:rPr>
        <w:t xml:space="preserve"> </w:t>
      </w:r>
      <w:hyperlink r:id="rId103">
        <w:r>
          <w:rPr>
            <w:rFonts w:ascii="Times New Roman" w:cs="Times New Roman" w:eastAsia="Times New Roman" w:hAnsi="Times New Roman"/>
            <w:sz w:val="18"/>
            <w:szCs w:val="18"/>
            <w:u w:val="single" w:color="auto"/>
            <w:color w:val="0000FF"/>
          </w:rPr>
          <w:t>7, 2014 and incorporated herein by reference).</w:t>
        </w:r>
      </w:hyperlink>
    </w:p>
    <w:p>
      <w:pPr>
        <w:spacing w:after="0" w:line="104" w:lineRule="exact"/>
        <w:rPr>
          <w:sz w:val="20"/>
          <w:szCs w:val="20"/>
          <w:color w:val="auto"/>
        </w:rPr>
      </w:pPr>
    </w:p>
    <w:p>
      <w:pPr>
        <w:ind w:right="160"/>
        <w:spacing w:after="0" w:line="237" w:lineRule="auto"/>
        <w:rPr>
          <w:rFonts w:ascii="Times New Roman" w:cs="Times New Roman" w:eastAsia="Times New Roman" w:hAnsi="Times New Roman"/>
          <w:sz w:val="18"/>
          <w:szCs w:val="18"/>
          <w:u w:val="single" w:color="auto"/>
          <w:color w:val="0000FF"/>
        </w:rPr>
      </w:pPr>
      <w:hyperlink r:id="rId104">
        <w:r>
          <w:rPr>
            <w:rFonts w:ascii="Times New Roman" w:cs="Times New Roman" w:eastAsia="Times New Roman" w:hAnsi="Times New Roman"/>
            <w:sz w:val="18"/>
            <w:szCs w:val="18"/>
            <w:u w:val="single" w:color="auto"/>
            <w:color w:val="0000FF"/>
          </w:rPr>
          <w:t>Form of Stock Option Award Agreement under 2014 Equity Incentive Plan (filed as Exhibit 10.6 to our Form 10-Q filed May 7,</w:t>
        </w:r>
      </w:hyperlink>
      <w:r>
        <w:rPr>
          <w:rFonts w:ascii="Times New Roman" w:cs="Times New Roman" w:eastAsia="Times New Roman" w:hAnsi="Times New Roman"/>
          <w:sz w:val="18"/>
          <w:szCs w:val="18"/>
          <w:u w:val="single" w:color="auto"/>
          <w:color w:val="0000FF"/>
        </w:rPr>
        <w:t xml:space="preserve"> </w:t>
      </w:r>
      <w:hyperlink r:id="rId104">
        <w:r>
          <w:rPr>
            <w:rFonts w:ascii="Times New Roman" w:cs="Times New Roman" w:eastAsia="Times New Roman" w:hAnsi="Times New Roman"/>
            <w:sz w:val="18"/>
            <w:szCs w:val="18"/>
            <w:u w:val="single" w:color="auto"/>
            <w:color w:val="0000FF"/>
          </w:rPr>
          <w:t>2014 and incorporated herein by reference).</w:t>
        </w:r>
      </w:hyperlink>
    </w:p>
    <w:p>
      <w:pPr>
        <w:spacing w:after="0" w:line="104" w:lineRule="exact"/>
        <w:rPr>
          <w:sz w:val="20"/>
          <w:szCs w:val="20"/>
          <w:color w:val="auto"/>
        </w:rPr>
      </w:pPr>
    </w:p>
    <w:p>
      <w:pPr>
        <w:ind w:right="160"/>
        <w:spacing w:after="0" w:line="237" w:lineRule="auto"/>
        <w:rPr>
          <w:rFonts w:ascii="Times New Roman" w:cs="Times New Roman" w:eastAsia="Times New Roman" w:hAnsi="Times New Roman"/>
          <w:sz w:val="18"/>
          <w:szCs w:val="18"/>
          <w:u w:val="single" w:color="auto"/>
          <w:color w:val="0000FF"/>
        </w:rPr>
      </w:pPr>
      <w:hyperlink r:id="rId105">
        <w:r>
          <w:rPr>
            <w:rFonts w:ascii="Times New Roman" w:cs="Times New Roman" w:eastAsia="Times New Roman" w:hAnsi="Times New Roman"/>
            <w:sz w:val="18"/>
            <w:szCs w:val="18"/>
            <w:u w:val="single" w:color="auto"/>
            <w:color w:val="0000FF"/>
          </w:rPr>
          <w:t>Form of Stock Appreciation Right Award Agreement under 2014 Equity Incentive Plan (filed as Exhibit 10.7 to our Form 10-Q</w:t>
        </w:r>
      </w:hyperlink>
      <w:r>
        <w:rPr>
          <w:rFonts w:ascii="Times New Roman" w:cs="Times New Roman" w:eastAsia="Times New Roman" w:hAnsi="Times New Roman"/>
          <w:sz w:val="18"/>
          <w:szCs w:val="18"/>
          <w:u w:val="single" w:color="auto"/>
          <w:color w:val="0000FF"/>
        </w:rPr>
        <w:t xml:space="preserve"> </w:t>
      </w:r>
      <w:hyperlink r:id="rId105">
        <w:r>
          <w:rPr>
            <w:rFonts w:ascii="Times New Roman" w:cs="Times New Roman" w:eastAsia="Times New Roman" w:hAnsi="Times New Roman"/>
            <w:sz w:val="18"/>
            <w:szCs w:val="18"/>
            <w:u w:val="single" w:color="auto"/>
            <w:color w:val="0000FF"/>
          </w:rPr>
          <w:t>filed May 7, 2014 and incorporated herein by reference).</w:t>
        </w:r>
      </w:hyperlink>
    </w:p>
    <w:p>
      <w:pPr>
        <w:spacing w:after="0" w:line="104" w:lineRule="exact"/>
        <w:rPr>
          <w:sz w:val="20"/>
          <w:szCs w:val="20"/>
          <w:color w:val="auto"/>
        </w:rPr>
      </w:pPr>
    </w:p>
    <w:p>
      <w:pPr>
        <w:ind w:right="160"/>
        <w:spacing w:after="0" w:line="237" w:lineRule="auto"/>
        <w:rPr>
          <w:rFonts w:ascii="Times New Roman" w:cs="Times New Roman" w:eastAsia="Times New Roman" w:hAnsi="Times New Roman"/>
          <w:sz w:val="18"/>
          <w:szCs w:val="18"/>
          <w:u w:val="single" w:color="auto"/>
          <w:color w:val="0000FF"/>
        </w:rPr>
      </w:pPr>
      <w:hyperlink r:id="rId106">
        <w:r>
          <w:rPr>
            <w:rFonts w:ascii="Times New Roman" w:cs="Times New Roman" w:eastAsia="Times New Roman" w:hAnsi="Times New Roman"/>
            <w:sz w:val="18"/>
            <w:szCs w:val="18"/>
            <w:u w:val="single" w:color="auto"/>
            <w:color w:val="0000FF"/>
          </w:rPr>
          <w:t>2014 Non-Employee Director Equity Incentive Plan (filed as Exhibit 10.8 to our Form 10-Q filed May 7, 2014 and incorporated</w:t>
        </w:r>
      </w:hyperlink>
      <w:r>
        <w:rPr>
          <w:rFonts w:ascii="Times New Roman" w:cs="Times New Roman" w:eastAsia="Times New Roman" w:hAnsi="Times New Roman"/>
          <w:sz w:val="18"/>
          <w:szCs w:val="18"/>
          <w:u w:val="single" w:color="auto"/>
          <w:color w:val="0000FF"/>
        </w:rPr>
        <w:t xml:space="preserve"> </w:t>
      </w:r>
      <w:hyperlink r:id="rId106">
        <w:r>
          <w:rPr>
            <w:rFonts w:ascii="Times New Roman" w:cs="Times New Roman" w:eastAsia="Times New Roman" w:hAnsi="Times New Roman"/>
            <w:sz w:val="18"/>
            <w:szCs w:val="18"/>
            <w:u w:val="single" w:color="auto"/>
            <w:color w:val="0000FF"/>
          </w:rPr>
          <w:t>herein by reference).</w:t>
        </w:r>
      </w:hyperlink>
    </w:p>
    <w:p>
      <w:pPr>
        <w:spacing w:after="0" w:line="104" w:lineRule="exact"/>
        <w:rPr>
          <w:sz w:val="20"/>
          <w:szCs w:val="20"/>
          <w:color w:val="auto"/>
        </w:rPr>
      </w:pPr>
    </w:p>
    <w:p>
      <w:pPr>
        <w:ind w:right="160"/>
        <w:spacing w:after="0" w:line="237" w:lineRule="auto"/>
        <w:rPr>
          <w:rFonts w:ascii="Times New Roman" w:cs="Times New Roman" w:eastAsia="Times New Roman" w:hAnsi="Times New Roman"/>
          <w:sz w:val="18"/>
          <w:szCs w:val="18"/>
          <w:u w:val="single" w:color="auto"/>
          <w:color w:val="0000FF"/>
        </w:rPr>
      </w:pPr>
      <w:hyperlink r:id="rId107">
        <w:r>
          <w:rPr>
            <w:rFonts w:ascii="Times New Roman" w:cs="Times New Roman" w:eastAsia="Times New Roman" w:hAnsi="Times New Roman"/>
            <w:sz w:val="18"/>
            <w:szCs w:val="18"/>
            <w:u w:val="single" w:color="auto"/>
            <w:color w:val="0000FF"/>
          </w:rPr>
          <w:t>Form of Restricted Stock Award Agreement under 2014 Non-Employee Director Equity Incentive Plan (filed as Exhibit 10.9 to our</w:t>
        </w:r>
      </w:hyperlink>
      <w:r>
        <w:rPr>
          <w:rFonts w:ascii="Times New Roman" w:cs="Times New Roman" w:eastAsia="Times New Roman" w:hAnsi="Times New Roman"/>
          <w:sz w:val="18"/>
          <w:szCs w:val="18"/>
          <w:u w:val="single" w:color="auto"/>
          <w:color w:val="0000FF"/>
        </w:rPr>
        <w:t xml:space="preserve"> </w:t>
      </w:r>
      <w:hyperlink r:id="rId107">
        <w:r>
          <w:rPr>
            <w:rFonts w:ascii="Times New Roman" w:cs="Times New Roman" w:eastAsia="Times New Roman" w:hAnsi="Times New Roman"/>
            <w:sz w:val="18"/>
            <w:szCs w:val="18"/>
            <w:u w:val="single" w:color="auto"/>
            <w:color w:val="0000FF"/>
          </w:rPr>
          <w:t>Form 10-Q filed May 7, 2014 and incorporated herein by reference).</w:t>
        </w:r>
      </w:hyperlink>
    </w:p>
    <w:p>
      <w:pPr>
        <w:spacing w:after="0" w:line="172" w:lineRule="exact"/>
        <w:rPr>
          <w:sz w:val="20"/>
          <w:szCs w:val="20"/>
          <w:color w:val="auto"/>
        </w:rPr>
      </w:pPr>
    </w:p>
    <w:p>
      <w:pPr>
        <w:ind w:right="160"/>
        <w:spacing w:after="0" w:line="237" w:lineRule="auto"/>
        <w:rPr>
          <w:rFonts w:ascii="Times New Roman" w:cs="Times New Roman" w:eastAsia="Times New Roman" w:hAnsi="Times New Roman"/>
          <w:sz w:val="18"/>
          <w:szCs w:val="18"/>
          <w:u w:val="single" w:color="auto"/>
          <w:color w:val="0000FF"/>
        </w:rPr>
      </w:pPr>
      <w:hyperlink r:id="rId108">
        <w:r>
          <w:rPr>
            <w:rFonts w:ascii="Times New Roman" w:cs="Times New Roman" w:eastAsia="Times New Roman" w:hAnsi="Times New Roman"/>
            <w:sz w:val="18"/>
            <w:szCs w:val="18"/>
            <w:u w:val="single" w:color="auto"/>
            <w:color w:val="0000FF"/>
          </w:rPr>
          <w:t>Employment Agreement dated September 29, 2016, between the Company and Brett A. Cope (filed as Exhibit 10.1 to our 8-K filed</w:t>
        </w:r>
      </w:hyperlink>
      <w:r>
        <w:rPr>
          <w:rFonts w:ascii="Times New Roman" w:cs="Times New Roman" w:eastAsia="Times New Roman" w:hAnsi="Times New Roman"/>
          <w:sz w:val="18"/>
          <w:szCs w:val="18"/>
          <w:u w:val="single" w:color="auto"/>
          <w:color w:val="0000FF"/>
        </w:rPr>
        <w:t xml:space="preserve"> </w:t>
      </w:r>
      <w:hyperlink r:id="rId108">
        <w:r>
          <w:rPr>
            <w:rFonts w:ascii="Times New Roman" w:cs="Times New Roman" w:eastAsia="Times New Roman" w:hAnsi="Times New Roman"/>
            <w:sz w:val="18"/>
            <w:szCs w:val="18"/>
            <w:u w:val="single" w:color="auto"/>
            <w:color w:val="0000FF"/>
          </w:rPr>
          <w:t>September 30, 2016 and incorporated herein by reference).</w:t>
        </w:r>
      </w:hyperlink>
    </w:p>
    <w:p>
      <w:pPr>
        <w:spacing w:after="0" w:line="104" w:lineRule="exact"/>
        <w:rPr>
          <w:sz w:val="20"/>
          <w:szCs w:val="20"/>
          <w:color w:val="auto"/>
        </w:rPr>
      </w:pPr>
    </w:p>
    <w:p>
      <w:pPr>
        <w:ind w:right="160"/>
        <w:spacing w:after="0" w:line="237" w:lineRule="auto"/>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u w:val="single" w:color="auto"/>
            <w:color w:val="0000FF"/>
          </w:rPr>
          <w:t>Employment Agreement effective November 5, 2018 by and between the Company and Michael W. Metcalf (filed as Exhibit 10.1</w:t>
        </w:r>
      </w:hyperlink>
      <w:r>
        <w:rPr>
          <w:rFonts w:ascii="Times New Roman" w:cs="Times New Roman" w:eastAsia="Times New Roman" w:hAnsi="Times New Roman"/>
          <w:sz w:val="18"/>
          <w:szCs w:val="18"/>
          <w:u w:val="single" w:color="auto"/>
          <w:color w:val="0000FF"/>
        </w:rPr>
        <w:t xml:space="preserve"> </w:t>
      </w:r>
      <w:hyperlink r:id="rId109">
        <w:r>
          <w:rPr>
            <w:rFonts w:ascii="Times New Roman" w:cs="Times New Roman" w:eastAsia="Times New Roman" w:hAnsi="Times New Roman"/>
            <w:sz w:val="18"/>
            <w:szCs w:val="18"/>
            <w:u w:val="single" w:color="auto"/>
            <w:color w:val="0000FF"/>
          </w:rPr>
          <w:t>to our Form 8-K filed November 1, 2018 and incorporated herein by reference)</w:t>
        </w:r>
        <w:r>
          <w:rPr>
            <w:rFonts w:ascii="Times New Roman" w:cs="Times New Roman" w:eastAsia="Times New Roman" w:hAnsi="Times New Roman"/>
            <w:sz w:val="18"/>
            <w:szCs w:val="18"/>
            <w:color w:val="000000"/>
          </w:rPr>
          <w:t>.</w:t>
        </w:r>
      </w:hyperlink>
    </w:p>
    <w:p>
      <w:pPr>
        <w:spacing w:after="0" w:line="104" w:lineRule="exact"/>
        <w:rPr>
          <w:sz w:val="20"/>
          <w:szCs w:val="20"/>
          <w:color w:val="auto"/>
        </w:rPr>
      </w:pPr>
    </w:p>
    <w:p>
      <w:pPr>
        <w:ind w:right="160"/>
        <w:spacing w:after="0" w:line="222" w:lineRule="auto"/>
        <w:rPr>
          <w:rFonts w:ascii="Times New Roman" w:cs="Times New Roman" w:eastAsia="Times New Roman" w:hAnsi="Times New Roman"/>
          <w:sz w:val="18"/>
          <w:szCs w:val="18"/>
          <w:u w:val="single" w:color="auto"/>
          <w:color w:val="0000FF"/>
        </w:rPr>
      </w:pPr>
      <w:hyperlink r:id="rId110">
        <w:r>
          <w:rPr>
            <w:rFonts w:ascii="Times New Roman" w:cs="Times New Roman" w:eastAsia="Times New Roman" w:hAnsi="Times New Roman"/>
            <w:sz w:val="18"/>
            <w:szCs w:val="18"/>
            <w:u w:val="single" w:color="auto"/>
            <w:color w:val="0000FF"/>
          </w:rPr>
          <w:t>Amended and Restated Credit Agreement, dated September 27, 2019, by and between the Company, as Borrower, certain</w:t>
        </w:r>
      </w:hyperlink>
      <w:r>
        <w:rPr>
          <w:rFonts w:ascii="Times New Roman" w:cs="Times New Roman" w:eastAsia="Times New Roman" w:hAnsi="Times New Roman"/>
          <w:sz w:val="18"/>
          <w:szCs w:val="18"/>
          <w:u w:val="single" w:color="auto"/>
          <w:color w:val="0000FF"/>
        </w:rPr>
        <w:t xml:space="preserve"> </w:t>
      </w:r>
      <w:hyperlink r:id="rId110">
        <w:r>
          <w:rPr>
            <w:rFonts w:ascii="Times New Roman" w:cs="Times New Roman" w:eastAsia="Times New Roman" w:hAnsi="Times New Roman"/>
            <w:sz w:val="18"/>
            <w:szCs w:val="18"/>
            <w:u w:val="single" w:color="auto"/>
            <w:color w:val="0000FF"/>
          </w:rPr>
          <w:t>subsidiaries of the Company identified therein, as Guarantors, Bank of America, N.A., as Administrative Agent, Swingline Lender</w:t>
        </w:r>
      </w:hyperlink>
    </w:p>
    <w:p>
      <w:pPr>
        <w:spacing w:after="0" w:line="2" w:lineRule="exact"/>
        <w:rPr>
          <w:sz w:val="20"/>
          <w:szCs w:val="20"/>
          <w:color w:val="auto"/>
        </w:rPr>
      </w:pPr>
    </w:p>
    <w:p>
      <w:pPr>
        <w:ind w:right="160"/>
        <w:spacing w:after="0" w:line="226" w:lineRule="auto"/>
        <w:rPr>
          <w:rFonts w:ascii="Times New Roman" w:cs="Times New Roman" w:eastAsia="Times New Roman" w:hAnsi="Times New Roman"/>
          <w:sz w:val="18"/>
          <w:szCs w:val="18"/>
          <w:u w:val="single" w:color="auto"/>
          <w:color w:val="0000FF"/>
        </w:rPr>
      </w:pPr>
      <w:hyperlink r:id="rId110">
        <w:r>
          <w:rPr>
            <w:rFonts w:ascii="Times New Roman" w:cs="Times New Roman" w:eastAsia="Times New Roman" w:hAnsi="Times New Roman"/>
            <w:sz w:val="18"/>
            <w:szCs w:val="18"/>
            <w:u w:val="single" w:color="auto"/>
            <w:color w:val="0000FF"/>
          </w:rPr>
          <w:t>and L/C Issuer, the Lenders party thereto and BofA Securities, Inc., as Sole Lead Arranger and Sole Bookrunner (filed as Exhibit</w:t>
        </w:r>
      </w:hyperlink>
      <w:r>
        <w:rPr>
          <w:rFonts w:ascii="Times New Roman" w:cs="Times New Roman" w:eastAsia="Times New Roman" w:hAnsi="Times New Roman"/>
          <w:sz w:val="18"/>
          <w:szCs w:val="18"/>
          <w:u w:val="single" w:color="auto"/>
          <w:color w:val="0000FF"/>
        </w:rPr>
        <w:t xml:space="preserve"> </w:t>
      </w:r>
      <w:hyperlink r:id="rId110">
        <w:r>
          <w:rPr>
            <w:rFonts w:ascii="Times New Roman" w:cs="Times New Roman" w:eastAsia="Times New Roman" w:hAnsi="Times New Roman"/>
            <w:sz w:val="18"/>
            <w:szCs w:val="18"/>
            <w:u w:val="single" w:color="auto"/>
            <w:color w:val="0000FF"/>
          </w:rPr>
          <w:t>10.25 to our Form 10-K filed December 5, 2019 and incorporated herein by reference).</w:t>
        </w:r>
      </w:hyperlink>
    </w:p>
    <w:p>
      <w:pPr>
        <w:spacing w:after="0" w:line="90" w:lineRule="exact"/>
        <w:rPr>
          <w:sz w:val="20"/>
          <w:szCs w:val="20"/>
          <w:color w:val="auto"/>
        </w:rPr>
      </w:pPr>
    </w:p>
    <w:p>
      <w:pPr>
        <w:ind w:right="600"/>
        <w:spacing w:after="0" w:line="237" w:lineRule="auto"/>
        <w:rPr>
          <w:rFonts w:ascii="Times New Roman" w:cs="Times New Roman" w:eastAsia="Times New Roman" w:hAnsi="Times New Roman"/>
          <w:sz w:val="18"/>
          <w:szCs w:val="18"/>
          <w:u w:val="single" w:color="auto"/>
          <w:color w:val="0000FF"/>
        </w:rPr>
      </w:pPr>
      <w:hyperlink r:id="rId111">
        <w:r>
          <w:rPr>
            <w:rFonts w:ascii="Times New Roman" w:cs="Times New Roman" w:eastAsia="Times New Roman" w:hAnsi="Times New Roman"/>
            <w:sz w:val="18"/>
            <w:szCs w:val="18"/>
            <w:u w:val="single" w:color="auto"/>
            <w:color w:val="0000FF"/>
          </w:rPr>
          <w:t>First Amendment to Credit Agreement dated March 12, 2021 (filed as Exhibit 10.1 to our Form 8-K filed March 16, 2021 and</w:t>
        </w:r>
      </w:hyperlink>
      <w:r>
        <w:rPr>
          <w:rFonts w:ascii="Times New Roman" w:cs="Times New Roman" w:eastAsia="Times New Roman" w:hAnsi="Times New Roman"/>
          <w:sz w:val="18"/>
          <w:szCs w:val="18"/>
          <w:u w:val="single" w:color="auto"/>
          <w:color w:val="0000FF"/>
        </w:rPr>
        <w:t xml:space="preserve"> </w:t>
      </w:r>
      <w:hyperlink r:id="rId111">
        <w:r>
          <w:rPr>
            <w:rFonts w:ascii="Times New Roman" w:cs="Times New Roman" w:eastAsia="Times New Roman" w:hAnsi="Times New Roman"/>
            <w:sz w:val="18"/>
            <w:szCs w:val="18"/>
            <w:u w:val="single" w:color="auto"/>
            <w:color w:val="0000FF"/>
          </w:rPr>
          <w:t>incorporated herein by reference).</w:t>
        </w:r>
      </w:hyperlink>
    </w:p>
    <w:p>
      <w:pPr>
        <w:spacing w:after="0" w:line="104" w:lineRule="exact"/>
        <w:rPr>
          <w:sz w:val="20"/>
          <w:szCs w:val="20"/>
          <w:color w:val="auto"/>
        </w:rPr>
      </w:pPr>
    </w:p>
    <w:p>
      <w:pPr>
        <w:ind w:right="160"/>
        <w:spacing w:after="0" w:line="222" w:lineRule="auto"/>
        <w:rPr>
          <w:rFonts w:ascii="Times New Roman" w:cs="Times New Roman" w:eastAsia="Times New Roman" w:hAnsi="Times New Roman"/>
          <w:sz w:val="18"/>
          <w:szCs w:val="18"/>
          <w:u w:val="single" w:color="auto"/>
          <w:color w:val="0000FF"/>
        </w:rPr>
      </w:pPr>
      <w:hyperlink r:id="rId112">
        <w:r>
          <w:rPr>
            <w:rFonts w:ascii="Times New Roman" w:cs="Times New Roman" w:eastAsia="Times New Roman" w:hAnsi="Times New Roman"/>
            <w:sz w:val="18"/>
            <w:szCs w:val="18"/>
            <w:u w:val="single" w:color="auto"/>
            <w:color w:val="0000FF"/>
          </w:rPr>
          <w:t>LIBOR Transition Amendment, dated December 31, 2021, by and between the Company, as Borrower, certain subsidiaries of the</w:t>
        </w:r>
      </w:hyperlink>
      <w:r>
        <w:rPr>
          <w:rFonts w:ascii="Times New Roman" w:cs="Times New Roman" w:eastAsia="Times New Roman" w:hAnsi="Times New Roman"/>
          <w:sz w:val="18"/>
          <w:szCs w:val="18"/>
          <w:u w:val="single" w:color="auto"/>
          <w:color w:val="0000FF"/>
        </w:rPr>
        <w:t xml:space="preserve"> </w:t>
      </w:r>
      <w:hyperlink r:id="rId112">
        <w:r>
          <w:rPr>
            <w:rFonts w:ascii="Times New Roman" w:cs="Times New Roman" w:eastAsia="Times New Roman" w:hAnsi="Times New Roman"/>
            <w:sz w:val="18"/>
            <w:szCs w:val="18"/>
            <w:u w:val="single" w:color="auto"/>
            <w:color w:val="0000FF"/>
          </w:rPr>
          <w:t>Company identified therein, as Guarantors, the Lenders party thereto and Bank of America, N.A., as Administrative Agent (filed as</w:t>
        </w:r>
      </w:hyperlink>
    </w:p>
    <w:p>
      <w:pPr>
        <w:spacing w:after="0" w:line="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12">
        <w:r>
          <w:rPr>
            <w:rFonts w:ascii="Times New Roman" w:cs="Times New Roman" w:eastAsia="Times New Roman" w:hAnsi="Times New Roman"/>
            <w:sz w:val="18"/>
            <w:szCs w:val="18"/>
            <w:u w:val="single" w:color="auto"/>
            <w:color w:val="0000FF"/>
          </w:rPr>
          <w:t>Exhibit 10.1 to our Form 10-Q filed February 9, 2022 and incorporated herein by reference).</w:t>
        </w:r>
      </w:hyperlink>
    </w:p>
    <w:p>
      <w:pPr>
        <w:spacing w:after="0" w:line="200" w:lineRule="exact"/>
        <w:rPr>
          <w:sz w:val="20"/>
          <w:szCs w:val="20"/>
          <w:color w:val="auto"/>
        </w:rPr>
      </w:pPr>
    </w:p>
    <w:p>
      <w:pPr>
        <w:sectPr>
          <w:pgSz w:w="11900" w:h="16838" w:orient="portrait"/>
          <w:cols w:equalWidth="0" w:num="2">
            <w:col w:w="1340" w:space="220"/>
            <w:col w:w="9680"/>
          </w:cols>
          <w:pgMar w:left="320" w:top="88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71" w:name="page72"/>
    <w:bookmarkEnd w:id="71"/>
    <w:tbl>
      <w:tblPr>
        <w:tblLayout w:type="fixed"/>
        <w:tblInd w:w="0" w:type="dxa"/>
        <w:tblCellMar>
          <w:top w:w="0" w:type="dxa"/>
          <w:left w:w="0" w:type="dxa"/>
          <w:bottom w:w="0" w:type="dxa"/>
          <w:right w:w="0" w:type="dxa"/>
        </w:tblCellMar>
      </w:tblPr>
      <w:tr>
        <w:trPr>
          <w:trHeight w:val="190"/>
        </w:trPr>
        <w:tc>
          <w:tcPr>
            <w:tcW w:w="108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80" w:type="dxa"/>
            <w:vAlign w:val="bottom"/>
          </w:tcPr>
          <w:p>
            <w:pPr>
              <w:spacing w:after="0"/>
              <w:rPr>
                <w:sz w:val="16"/>
                <w:szCs w:val="16"/>
                <w:color w:val="auto"/>
              </w:rPr>
            </w:pPr>
          </w:p>
        </w:tc>
        <w:tc>
          <w:tcPr>
            <w:tcW w:w="9720" w:type="dxa"/>
            <w:vAlign w:val="bottom"/>
            <w:gridSpan w:val="26"/>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0" w:type="dxa"/>
            <w:vAlign w:val="bottom"/>
          </w:tcPr>
          <w:p>
            <w:pPr>
              <w:spacing w:after="0"/>
              <w:rPr>
                <w:sz w:val="1"/>
                <w:szCs w:val="1"/>
                <w:color w:val="auto"/>
              </w:rPr>
            </w:pPr>
          </w:p>
        </w:tc>
      </w:tr>
      <w:tr>
        <w:trPr>
          <w:trHeight w:val="23"/>
        </w:trPr>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080" w:type="dxa"/>
            <w:vAlign w:val="bottom"/>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10.15</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720" w:type="dxa"/>
            <w:vAlign w:val="bottom"/>
            <w:gridSpan w:val="26"/>
          </w:tcPr>
          <w:p>
            <w:pPr>
              <w:spacing w:after="0" w:line="182"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LIBOR Transition Amendment, dated November 10, 2022, by and between the Company, as Borrower, certain subsidiaries of the</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6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Company identified therein, as Guarantors, the Lenders party thereto and Bank of America, N.A., as Administrative Agent (filed as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60" w:type="dxa"/>
            <w:vAlign w:val="bottom"/>
            <w:tcBorders>
              <w:top w:val="single" w:sz="8" w:color="0000FF"/>
              <w:bottom w:val="single" w:sz="8" w:color="0000FF"/>
            </w:tcBorders>
            <w:gridSpan w:val="12"/>
          </w:tcPr>
          <w:p>
            <w:pPr>
              <w:spacing w:after="0" w:line="169" w:lineRule="exact"/>
              <w:rPr>
                <w:rFonts w:ascii="Times New Roman" w:cs="Times New Roman" w:eastAsia="Times New Roman" w:hAnsi="Times New Roman"/>
                <w:sz w:val="18"/>
                <w:szCs w:val="18"/>
                <w:color w:val="0000FF"/>
                <w:w w:val="99"/>
              </w:rPr>
            </w:pPr>
            <w:hyperlink r:id="rId114">
              <w:r>
                <w:rPr>
                  <w:rFonts w:ascii="Times New Roman" w:cs="Times New Roman" w:eastAsia="Times New Roman" w:hAnsi="Times New Roman"/>
                  <w:sz w:val="18"/>
                  <w:szCs w:val="18"/>
                  <w:color w:val="0000FF"/>
                  <w:w w:val="99"/>
                </w:rPr>
                <w:t>Exhibit 10.1 to our Form 10-Q filed February 1, 2023 and incorporated herein by reference).</w:t>
              </w:r>
            </w:hyperlink>
          </w:p>
        </w:tc>
        <w:tc>
          <w:tcPr>
            <w:tcW w:w="2960" w:type="dxa"/>
            <w:vAlign w:val="bottom"/>
            <w:tcBorders>
              <w:top w:val="single" w:sz="8" w:color="0000FF"/>
            </w:tcBorders>
            <w:gridSpan w:val="9"/>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10.16</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720" w:type="dxa"/>
            <w:vAlign w:val="bottom"/>
            <w:gridSpan w:val="26"/>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Second Amendment to Credit Agreement, dated March 31, 2023 (filed as Exhibit 10.1 to our Form 8-K filed April 6, 2023 and</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4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incorporated herein by reference).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*10.17</w:t>
            </w:r>
          </w:p>
        </w:tc>
        <w:tc>
          <w:tcPr>
            <w:tcW w:w="580" w:type="dxa"/>
            <w:vAlign w:val="bottom"/>
            <w:vMerge w:val="continue"/>
          </w:tcPr>
          <w:p>
            <w:pPr>
              <w:spacing w:after="0"/>
              <w:rPr>
                <w:sz w:val="24"/>
                <w:szCs w:val="24"/>
                <w:color w:val="auto"/>
              </w:rPr>
            </w:pPr>
          </w:p>
        </w:tc>
        <w:tc>
          <w:tcPr>
            <w:tcW w:w="9720" w:type="dxa"/>
            <w:vAlign w:val="bottom"/>
            <w:gridSpan w:val="26"/>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First Amendment to Powell Industries, Inc. 2014 Non-Employee Director Equity Incentive Plan (filed as Exhibit 10.2 to our Form</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58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S-8 filed February 9, 2023 and incorporated herein by reference).</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*10.18</w:t>
            </w:r>
          </w:p>
        </w:tc>
        <w:tc>
          <w:tcPr>
            <w:tcW w:w="580" w:type="dxa"/>
            <w:vAlign w:val="bottom"/>
            <w:vMerge w:val="continue"/>
          </w:tcPr>
          <w:p>
            <w:pPr>
              <w:spacing w:after="0"/>
              <w:rPr>
                <w:sz w:val="24"/>
                <w:szCs w:val="24"/>
                <w:color w:val="auto"/>
              </w:rPr>
            </w:pPr>
          </w:p>
        </w:tc>
        <w:tc>
          <w:tcPr>
            <w:tcW w:w="9720" w:type="dxa"/>
            <w:vAlign w:val="bottom"/>
            <w:gridSpan w:val="26"/>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First Amendment to Powell Industries, Inc. 2014 Equity Incentive Plan (filed as Exhibit 10.1 to our Form 8-K filed February 16,</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16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2023 and incorporated herein by reference).</w:t>
              </w:r>
            </w:hyperlink>
          </w:p>
        </w:tc>
        <w:tc>
          <w:tcPr>
            <w:tcW w:w="636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10.19</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720" w:type="dxa"/>
            <w:vAlign w:val="bottom"/>
            <w:gridSpan w:val="26"/>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Third Amendment to Credit Agreement, dated October 4, 2023 (filed as Exhibit 10.29 to our Form 10-K filed December 6, 2023</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76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18">
              <w:r>
                <w:rPr>
                  <w:rFonts w:ascii="Times New Roman" w:cs="Times New Roman" w:eastAsia="Times New Roman" w:hAnsi="Times New Roman"/>
                  <w:sz w:val="18"/>
                  <w:szCs w:val="18"/>
                  <w:color w:val="0000FF"/>
                  <w:w w:val="99"/>
                </w:rPr>
                <w:t>and incorporated herein by reference).</w:t>
              </w:r>
            </w:hyperlink>
          </w:p>
        </w:tc>
        <w:tc>
          <w:tcPr>
            <w:tcW w:w="694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10.20</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720" w:type="dxa"/>
            <w:vAlign w:val="bottom"/>
            <w:gridSpan w:val="26"/>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Canadian Benchmark Replacement Conforming Changes Amendment, dated June 26, 2024, by and between the Company, as</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8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Borrower, and Bank of America, N.A., as Administrative Agent (filed as Exhibit 10.1 to our Form 10-Q filed July 31, 2024).</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10.21</w:t>
            </w:r>
          </w:p>
        </w:tc>
        <w:tc>
          <w:tcPr>
            <w:tcW w:w="580" w:type="dxa"/>
            <w:vAlign w:val="bottom"/>
            <w:vMerge w:val="continue"/>
          </w:tcPr>
          <w:p>
            <w:pPr>
              <w:spacing w:after="0"/>
              <w:rPr>
                <w:sz w:val="24"/>
                <w:szCs w:val="24"/>
                <w:color w:val="auto"/>
              </w:rPr>
            </w:pPr>
          </w:p>
        </w:tc>
        <w:tc>
          <w:tcPr>
            <w:tcW w:w="9720" w:type="dxa"/>
            <w:vAlign w:val="bottom"/>
            <w:gridSpan w:val="26"/>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Conforming Changes Amendment, dated September 24, 2024, by and between the Company, as Borrower, and Bank of America,</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14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20">
              <w:r>
                <w:rPr>
                  <w:rFonts w:ascii="Times New Roman" w:cs="Times New Roman" w:eastAsia="Times New Roman" w:hAnsi="Times New Roman"/>
                  <w:sz w:val="18"/>
                  <w:szCs w:val="18"/>
                  <w:color w:val="0000FF"/>
                  <w:w w:val="99"/>
                </w:rPr>
                <w:t>N.A., as Administrative Agent (filed as Exhibit 10.21 to our Form 10-K filed November 20, 2024).</w:t>
              </w:r>
            </w:hyperlink>
          </w:p>
        </w:tc>
        <w:tc>
          <w:tcPr>
            <w:tcW w:w="240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**10.22</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7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Consent and Fourth Amendment to Amended and Restated Credit Agreement, dated September 30, 2025, by and between the</w:t>
            </w: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00" w:type="dxa"/>
            <w:vAlign w:val="bottom"/>
            <w:tcBorders>
              <w:top w:val="single" w:sz="8" w:color="0000FF"/>
            </w:tcBorders>
            <w:gridSpan w:val="20"/>
          </w:tcPr>
          <w:p>
            <w:pPr>
              <w:spacing w:after="0" w:line="156" w:lineRule="exact"/>
              <w:rPr>
                <w:sz w:val="20"/>
                <w:szCs w:val="20"/>
                <w:color w:val="auto"/>
              </w:rPr>
            </w:pPr>
            <w:r>
              <w:rPr>
                <w:rFonts w:ascii="Times New Roman" w:cs="Times New Roman" w:eastAsia="Times New Roman" w:hAnsi="Times New Roman"/>
                <w:sz w:val="18"/>
                <w:szCs w:val="18"/>
                <w:color w:val="0000FF"/>
              </w:rPr>
              <w:t>Company, as Borrower, certain Subsidiaries of Borrower, as Guarantors, the Lenders, and Bank of America, N.A., as</w:t>
            </w: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80" w:type="dxa"/>
            <w:vAlign w:val="bottom"/>
            <w:tcBorders>
              <w:top w:val="single" w:sz="8" w:color="0000FF"/>
            </w:tcBorders>
            <w:gridSpan w:val="24"/>
          </w:tcPr>
          <w:p>
            <w:pPr>
              <w:spacing w:after="0" w:line="169" w:lineRule="exact"/>
              <w:rPr>
                <w:sz w:val="20"/>
                <w:szCs w:val="20"/>
                <w:color w:val="auto"/>
              </w:rPr>
            </w:pPr>
            <w:r>
              <w:rPr>
                <w:rFonts w:ascii="Times New Roman" w:cs="Times New Roman" w:eastAsia="Times New Roman" w:hAnsi="Times New Roman"/>
                <w:sz w:val="18"/>
                <w:szCs w:val="18"/>
                <w:color w:val="0000FF"/>
              </w:rPr>
              <w:t>Administrative Agent.</w:t>
            </w: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c>
          <w:tcPr>
            <w:tcW w:w="580" w:type="dxa"/>
            <w:vAlign w:val="bottom"/>
            <w:vMerge w:val="continue"/>
          </w:tcPr>
          <w:p>
            <w:pPr>
              <w:spacing w:after="0"/>
              <w:rPr>
                <w:sz w:val="24"/>
                <w:szCs w:val="24"/>
                <w:color w:val="auto"/>
              </w:rPr>
            </w:pPr>
          </w:p>
        </w:tc>
        <w:tc>
          <w:tcPr>
            <w:tcW w:w="97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Insider Trading Policy effective June 1, 2025.</w:t>
            </w:r>
          </w:p>
        </w:tc>
        <w:tc>
          <w:tcPr>
            <w:tcW w:w="0" w:type="dxa"/>
            <w:vAlign w:val="bottom"/>
          </w:tcPr>
          <w:p>
            <w:pPr>
              <w:spacing w:after="0"/>
              <w:rPr>
                <w:sz w:val="1"/>
                <w:szCs w:val="1"/>
                <w:color w:val="auto"/>
              </w:rPr>
            </w:pPr>
          </w:p>
        </w:tc>
      </w:tr>
      <w:tr>
        <w:trPr>
          <w:trHeight w:val="304"/>
        </w:trPr>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**21.1</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7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Subsidiaries of Powell Industries, Inc.</w:t>
            </w:r>
          </w:p>
        </w:tc>
        <w:tc>
          <w:tcPr>
            <w:tcW w:w="540" w:type="dxa"/>
            <w:vAlign w:val="bottom"/>
            <w:tcBorders>
              <w:top w:val="single" w:sz="8" w:color="0000FF"/>
            </w:tcBorders>
            <w:gridSpan w:val="4"/>
          </w:tcPr>
          <w:p>
            <w:pPr>
              <w:spacing w:after="0"/>
              <w:rPr>
                <w:sz w:val="24"/>
                <w:szCs w:val="24"/>
                <w:color w:val="auto"/>
              </w:rPr>
            </w:pPr>
          </w:p>
        </w:tc>
        <w:tc>
          <w:tcPr>
            <w:tcW w:w="644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**23.1</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7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Consent of PricewaterhouseCoopers LLP.</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gridSpan w:val="2"/>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**31.1</w:t>
            </w:r>
          </w:p>
        </w:tc>
        <w:tc>
          <w:tcPr>
            <w:tcW w:w="580" w:type="dxa"/>
            <w:vAlign w:val="bottom"/>
            <w:vMerge w:val="continue"/>
          </w:tcPr>
          <w:p>
            <w:pPr>
              <w:spacing w:after="0"/>
              <w:rPr>
                <w:sz w:val="24"/>
                <w:szCs w:val="24"/>
                <w:color w:val="auto"/>
              </w:rPr>
            </w:pPr>
          </w:p>
        </w:tc>
        <w:tc>
          <w:tcPr>
            <w:tcW w:w="56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Rule 13a-14(a)/15d-14(a).</w:t>
            </w:r>
          </w:p>
        </w:tc>
        <w:tc>
          <w:tcPr>
            <w:tcW w:w="406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**31.2</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7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13a-14(a)/15d-14(a).</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gridSpan w:val="2"/>
            <w:shd w:val="clear" w:color="auto" w:fill="0000FF"/>
          </w:tcPr>
          <w:p>
            <w:pPr>
              <w:spacing w:after="0" w:line="20" w:lineRule="exact"/>
              <w:rPr>
                <w:sz w:val="1"/>
                <w:szCs w:val="1"/>
                <w:color w:val="auto"/>
              </w:rPr>
            </w:pPr>
          </w:p>
        </w:tc>
        <w:tc>
          <w:tcPr>
            <w:tcW w:w="3500" w:type="dxa"/>
            <w:vAlign w:val="bottom"/>
            <w:gridSpan w:val="8"/>
            <w:shd w:val="clear" w:color="auto" w:fill="0000FF"/>
          </w:tcPr>
          <w:p>
            <w:pPr>
              <w:spacing w:after="0" w:line="20" w:lineRule="exact"/>
              <w:rPr>
                <w:sz w:val="1"/>
                <w:szCs w:val="1"/>
                <w:color w:val="auto"/>
              </w:rPr>
            </w:pPr>
          </w:p>
        </w:tc>
        <w:tc>
          <w:tcPr>
            <w:tcW w:w="39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***32.1</w:t>
            </w:r>
          </w:p>
        </w:tc>
        <w:tc>
          <w:tcPr>
            <w:tcW w:w="580" w:type="dxa"/>
            <w:vAlign w:val="bottom"/>
            <w:vMerge w:val="continue"/>
          </w:tcPr>
          <w:p>
            <w:pPr>
              <w:spacing w:after="0"/>
              <w:rPr>
                <w:sz w:val="24"/>
                <w:szCs w:val="24"/>
                <w:color w:val="auto"/>
              </w:rPr>
            </w:pPr>
          </w:p>
        </w:tc>
        <w:tc>
          <w:tcPr>
            <w:tcW w:w="97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18 U.S.C. Section 1350, as Adopted Pursuant to Section 906 of the</w:t>
            </w: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10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7400" w:type="dxa"/>
            <w:vAlign w:val="bottom"/>
            <w:tcBorders>
              <w:top w:val="single" w:sz="8" w:color="0000FF"/>
            </w:tcBorders>
            <w:gridSpan w:val="13"/>
          </w:tcPr>
          <w:p>
            <w:pPr>
              <w:spacing w:after="0"/>
              <w:rPr>
                <w:sz w:val="13"/>
                <w:szCs w:val="13"/>
                <w:color w:val="auto"/>
              </w:rPr>
            </w:pPr>
          </w:p>
        </w:tc>
        <w:tc>
          <w:tcPr>
            <w:tcW w:w="60" w:type="dxa"/>
            <w:vAlign w:val="bottom"/>
            <w:gridSpan w:val="3"/>
          </w:tcPr>
          <w:p>
            <w:pPr>
              <w:spacing w:after="0"/>
              <w:rPr>
                <w:sz w:val="13"/>
                <w:szCs w:val="13"/>
                <w:color w:val="auto"/>
              </w:rPr>
            </w:pPr>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***32.2</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7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18 U.S.C. Section 1350, as Adopted Pursuant to Section 906 of the</w:t>
            </w: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10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7480" w:type="dxa"/>
            <w:vAlign w:val="bottom"/>
            <w:tcBorders>
              <w:top w:val="single" w:sz="8" w:color="0000FF"/>
            </w:tcBorders>
            <w:gridSpan w:val="17"/>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97</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720" w:type="dxa"/>
            <w:vAlign w:val="bottom"/>
            <w:gridSpan w:val="26"/>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Executive Recoupment Policy effective September 20, 2023 (filed as Exhibit 97 to our Form 10-K filed December 6, 2023 and</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56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incorporated herein by reference).</w:t>
              </w:r>
            </w:hyperlink>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440" w:type="dxa"/>
            <w:vAlign w:val="bottom"/>
            <w:gridSpan w:val="3"/>
            <w:shd w:val="clear" w:color="auto" w:fill="0000FF"/>
          </w:tcPr>
          <w:p>
            <w:pPr>
              <w:spacing w:after="0" w:line="20" w:lineRule="exact"/>
              <w:rPr>
                <w:sz w:val="1"/>
                <w:szCs w:val="1"/>
                <w:color w:val="auto"/>
              </w:rPr>
            </w:pPr>
          </w:p>
        </w:tc>
        <w:tc>
          <w:tcPr>
            <w:tcW w:w="7280" w:type="dxa"/>
            <w:vAlign w:val="bottom"/>
            <w:gridSpan w:val="2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w:t>
            </w:r>
          </w:p>
        </w:tc>
        <w:tc>
          <w:tcPr>
            <w:tcW w:w="580" w:type="dxa"/>
            <w:vAlign w:val="bottom"/>
            <w:vMerge w:val="continue"/>
          </w:tcPr>
          <w:p>
            <w:pPr>
              <w:spacing w:after="0"/>
              <w:rPr>
                <w:sz w:val="24"/>
                <w:szCs w:val="24"/>
                <w:color w:val="auto"/>
              </w:rPr>
            </w:pPr>
          </w:p>
        </w:tc>
        <w:tc>
          <w:tcPr>
            <w:tcW w:w="972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The following financial statements from the Company’s Annual Report on Form 10-K for the fiscal year ended September 30,</w:t>
            </w:r>
          </w:p>
        </w:tc>
        <w:tc>
          <w:tcPr>
            <w:tcW w:w="0" w:type="dxa"/>
            <w:vAlign w:val="bottom"/>
          </w:tcPr>
          <w:p>
            <w:pPr>
              <w:spacing w:after="0"/>
              <w:rPr>
                <w:sz w:val="1"/>
                <w:szCs w:val="1"/>
                <w:color w:val="auto"/>
              </w:rPr>
            </w:pPr>
          </w:p>
        </w:tc>
      </w:tr>
      <w:tr>
        <w:trPr>
          <w:trHeight w:val="184"/>
        </w:trPr>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720" w:type="dxa"/>
            <w:vAlign w:val="bottom"/>
            <w:gridSpan w:val="26"/>
          </w:tcPr>
          <w:p>
            <w:pPr>
              <w:spacing w:after="0" w:line="184" w:lineRule="exact"/>
              <w:rPr>
                <w:sz w:val="20"/>
                <w:szCs w:val="20"/>
                <w:color w:val="auto"/>
              </w:rPr>
            </w:pPr>
            <w:r>
              <w:rPr>
                <w:rFonts w:ascii="Times New Roman" w:cs="Times New Roman" w:eastAsia="Times New Roman" w:hAnsi="Times New Roman"/>
                <w:sz w:val="18"/>
                <w:szCs w:val="18"/>
                <w:color w:val="auto"/>
              </w:rPr>
              <w:t>2025, formatted in Inline XBRL: (i) Consolidated Balance Sheets; (ii) Consolidated Statements of Operations; (iii) Consolidated</w:t>
            </w:r>
          </w:p>
        </w:tc>
        <w:tc>
          <w:tcPr>
            <w:tcW w:w="0" w:type="dxa"/>
            <w:vAlign w:val="bottom"/>
          </w:tcPr>
          <w:p>
            <w:pPr>
              <w:spacing w:after="0"/>
              <w:rPr>
                <w:sz w:val="1"/>
                <w:szCs w:val="1"/>
                <w:color w:val="auto"/>
              </w:rPr>
            </w:pPr>
          </w:p>
        </w:tc>
      </w:tr>
      <w:tr>
        <w:trPr>
          <w:trHeight w:val="180"/>
        </w:trPr>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720" w:type="dxa"/>
            <w:vAlign w:val="bottom"/>
            <w:gridSpan w:val="26"/>
          </w:tcPr>
          <w:p>
            <w:pPr>
              <w:spacing w:after="0" w:line="181" w:lineRule="exact"/>
              <w:rPr>
                <w:sz w:val="20"/>
                <w:szCs w:val="20"/>
                <w:color w:val="auto"/>
              </w:rPr>
            </w:pPr>
            <w:r>
              <w:rPr>
                <w:rFonts w:ascii="Times New Roman" w:cs="Times New Roman" w:eastAsia="Times New Roman" w:hAnsi="Times New Roman"/>
                <w:sz w:val="18"/>
                <w:szCs w:val="18"/>
                <w:color w:val="auto"/>
              </w:rPr>
              <w:t>Statements of Comprehensive Income; (iv) Consolidated Statements of Stockholders' Equity; (v) Consolidated Statements of Cash</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72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Flows; and (vi) Notes to Consolidated Financial Statements, tagged as blocks of text and including detailed tags.</w:t>
            </w:r>
          </w:p>
        </w:tc>
        <w:tc>
          <w:tcPr>
            <w:tcW w:w="0" w:type="dxa"/>
            <w:vAlign w:val="bottom"/>
          </w:tcPr>
          <w:p>
            <w:pPr>
              <w:spacing w:after="0"/>
              <w:rPr>
                <w:sz w:val="1"/>
                <w:szCs w:val="1"/>
                <w:color w:val="auto"/>
              </w:rPr>
            </w:pPr>
          </w:p>
        </w:tc>
      </w:tr>
      <w:tr>
        <w:trPr>
          <w:trHeight w:val="225"/>
        </w:trPr>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**104</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72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The cover page from the Company’s Annual Report on Form 10-K for the fiscal year ended September 30, 2025, formatted in</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72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Inline XBRL (included as Exhibit 101).</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720" w:hanging="694"/>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contracts and compensatory plans or arrangements.</w:t>
      </w:r>
    </w:p>
    <w:p>
      <w:pPr>
        <w:spacing w:after="0" w:line="27"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Furnished herewith.</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8" w:right="37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POWELL INDUSTRIES, INC.</w:t>
      </w:r>
    </w:p>
    <w:p>
      <w:pPr>
        <w:spacing w:after="0" w:line="27" w:lineRule="exact"/>
        <w:rPr>
          <w:sz w:val="20"/>
          <w:szCs w:val="20"/>
          <w:color w:val="auto"/>
        </w:rPr>
      </w:pPr>
    </w:p>
    <w:p>
      <w:pPr>
        <w:ind w:left="7080"/>
        <w:spacing w:after="0"/>
        <w:tabs>
          <w:tab w:leader="none" w:pos="7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Brett A. Cope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14605</wp:posOffset>
            </wp:positionV>
            <wp:extent cx="21685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3">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11"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Brett A. Cope</w:t>
      </w:r>
    </w:p>
    <w:p>
      <w:pPr>
        <w:spacing w:after="0" w:line="11"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ind w:left="78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21" w:lineRule="exact"/>
        <w:rPr>
          <w:sz w:val="20"/>
          <w:szCs w:val="20"/>
          <w:color w:val="auto"/>
        </w:rPr>
      </w:pPr>
    </w:p>
    <w:p>
      <w:pPr>
        <w:ind w:right="20" w:firstLine="486"/>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and on the date indicated:</w:t>
      </w:r>
    </w:p>
    <w:p>
      <w:pPr>
        <w:spacing w:after="0" w:line="20" w:lineRule="exact"/>
        <w:rPr>
          <w:sz w:val="20"/>
          <w:szCs w:val="20"/>
          <w:color w:val="auto"/>
        </w:rPr>
      </w:pPr>
    </w:p>
    <w:p>
      <w:pPr>
        <w:ind w:left="2020"/>
        <w:spacing w:after="0"/>
        <w:tabs>
          <w:tab w:leader="none" w:pos="798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1517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p>
      <w:pPr>
        <w:spacing w:after="0" w:line="318"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/s/Brett A. Cope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4005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5">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16"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Brett A. Cope</w:t>
      </w:r>
    </w:p>
    <w:p>
      <w:pPr>
        <w:spacing w:after="0" w:line="200" w:lineRule="exact"/>
        <w:rPr>
          <w:sz w:val="20"/>
          <w:szCs w:val="20"/>
          <w:color w:val="auto"/>
        </w:rPr>
      </w:pPr>
    </w:p>
    <w:p>
      <w:pPr>
        <w:spacing w:after="0" w:line="214"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/s/Michael W. Metcalf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400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6">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16"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Michael W. Metcalf</w:t>
      </w:r>
    </w:p>
    <w:p>
      <w:pPr>
        <w:spacing w:after="0" w:line="34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/s/Alaina K. Brooks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4005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7">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16"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Alaina K. Brooks</w:t>
      </w:r>
    </w:p>
    <w:p>
      <w:pPr>
        <w:spacing w:after="0" w:line="22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/s/ Christopher E. Cragg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4005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8">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30"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Christopher E. Cragg</w:t>
      </w:r>
    </w:p>
    <w:p>
      <w:pPr>
        <w:spacing w:after="0" w:line="212"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/s/ Katheryn B. Curtis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4005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9">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30"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Katheryn B. Curtis</w:t>
      </w:r>
    </w:p>
    <w:p>
      <w:pPr>
        <w:spacing w:after="0" w:line="212"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/s/ James W. McGill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4005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0">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30"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James W. McGill</w:t>
      </w:r>
    </w:p>
    <w:p>
      <w:pPr>
        <w:spacing w:after="0" w:line="212"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/s/ Mohit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4005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1">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30"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Mohit Singh</w:t>
      </w:r>
    </w:p>
    <w:p>
      <w:pPr>
        <w:spacing w:after="0" w:line="212"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/s/ Mark W.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4005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2">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30"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Mark W. Smith</w:t>
      </w:r>
    </w:p>
    <w:p>
      <w:pPr>
        <w:spacing w:after="0" w:line="212"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/s/ John G. Stacey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4005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3">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30"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John G. Stacey</w:t>
      </w:r>
    </w:p>
    <w:p>
      <w:pPr>
        <w:spacing w:after="0" w:line="212"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/s/ Richard E.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4005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4">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30"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Richard E. Williams</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Chairman of the Board</w:t>
      </w:r>
    </w:p>
    <w:p>
      <w:pPr>
        <w:ind w:left="580"/>
        <w:spacing w:after="0" w:line="205" w:lineRule="auto"/>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2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Executive Vice President</w:t>
      </w:r>
    </w:p>
    <w:p>
      <w:pPr>
        <w:ind w:left="180"/>
        <w:spacing w:after="0" w:line="205" w:lineRule="auto"/>
        <w:rPr>
          <w:sz w:val="20"/>
          <w:szCs w:val="20"/>
          <w:color w:val="auto"/>
        </w:rPr>
      </w:pPr>
      <w:r>
        <w:rPr>
          <w:rFonts w:ascii="Times New Roman" w:cs="Times New Roman" w:eastAsia="Times New Roman" w:hAnsi="Times New Roman"/>
          <w:sz w:val="18"/>
          <w:szCs w:val="18"/>
          <w:color w:val="auto"/>
        </w:rPr>
        <w:t>Chief Financial and Principal Accounting Officer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Financial and Principal Accounting Officer)</w:t>
      </w:r>
    </w:p>
    <w:p>
      <w:pPr>
        <w:spacing w:after="0" w:line="31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Director</w:t>
      </w:r>
    </w:p>
    <w:p>
      <w:pPr>
        <w:spacing w:after="0" w:line="348" w:lineRule="exact"/>
        <w:rPr>
          <w:sz w:val="20"/>
          <w:szCs w:val="20"/>
          <w:color w:val="auto"/>
        </w:rPr>
      </w:pPr>
    </w:p>
    <w:p>
      <w:pPr>
        <w:sectPr>
          <w:pgSz w:w="11900" w:h="16838" w:orient="portrait"/>
          <w:cols w:equalWidth="0" w:num="2">
            <w:col w:w="5460" w:space="720"/>
            <w:col w:w="5060"/>
          </w:cols>
          <w:pgMar w:left="320" w:top="887" w:right="339" w:bottom="1440" w:gutter="0" w:footer="0" w:header="0"/>
          <w:type w:val="continuous"/>
        </w:sectPr>
      </w:pP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19,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887" w:right="339" w:bottom="1440" w:gutter="0" w:footer="0" w:header="0"/>
          <w:type w:val="continuous"/>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Powell Industries, Inc.’s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under Section 12 of the Securities Exchange Act of 1934</w:t>
      </w:r>
    </w:p>
    <w:p>
      <w:pPr>
        <w:spacing w:after="0" w:line="23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have one class of securities, our common stock, registered under Section 12 of the Securities Exchange Act of 1934, as amended (the “Exchange Act”). Our common stock is listed for trading on the Nasdaq Global Market under the symbol “POWL.” Our authorized capital stock consists of 30,000,000 shares of common stock, par value $0.01 per share, and 5,000,000 shares of preferred stock, par value $0.01 per share. The following description of our capital stock is a summary and does not purport to be complete. It is subject to and qualified in its entirety by our certificate of incorporation (as may be amended or restated from time to time, “Certificate of Incorporation”) and amended and restated bylaws, as amended (as may be further amended or restated from time to time, “Bylaws”), each of which is filed as an exhibit to our Annual Report on Form 10-K. We encourage you to read the complete text of our Certificate of Incorporation and Bylaws. Unless otherwise indicated, all references to “we,” “us,” “our,” or “the Company” are to Powell Industries, Inc.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of record on all matters submitted to a vote of stockholders, may not cumulate votes in the election of directors and have no preemptive rights. Our Bylaws provide that: in all matters other than the election of directors, the affirmative vote of the holders of a majority in voting power of shares present in person or represented by proxy and entitled to vote on the subject matter at a meeting at which a quorum is present shall be the act of the stockholders, unless a different or minimum vote is required by the Certificate of Incorporation, the Bylaws, or any rule, law, or regulation applicable to the Company, its securities or the matter to be voted upon, in which case such different or minimum vote shall be the required vote for such matter; and directors shall be elected by a plurality of the votes of the shares present or represented by proxy at a meeting at which a quorum is present and entitled to vote on the election of directors.</w:t>
      </w:r>
    </w:p>
    <w:p>
      <w:pPr>
        <w:spacing w:after="0" w:line="18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neither redeemable nor convertible into other securities; and there are no sinking fund provisions or subscription rights in respect thereof.</w:t>
      </w:r>
    </w:p>
    <w:p>
      <w:pPr>
        <w:spacing w:after="0" w:line="16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Subject to all rights of the holders of our preferred stock or any series thereof, the holders of our common stock are entitled to receive, when, as and if declared by our board of directors (the “Board”), out of funds legally available therefor, dividends payable in cash, stock or otherwise.</w:t>
      </w:r>
    </w:p>
    <w:p>
      <w:pPr>
        <w:spacing w:after="0" w:line="162"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Upon any liquidation of the Company, and after holders of our preferred stock of each series have been paid in full the amounts to which they respectively are entitled or a sum sufficient for such payment in full has been set aside, the remaining net assets of the Company shall be distributed pro rata to the holders of our common stock, to the exclusion of holders of our preferred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Board is authorized to issue up to 5,000,000 shares of preferred stock in one or more series and to fix by resolution or resolutions providing for the issuance of each such series the voting powers, designations, preferences and relative, participating, optional or other special rights, and qualifications, limitations or restrictions thereof, of such series. No holders of any series of our preferred stock will be entitled to receive any dividends thereon other than those specifically provided for by our Certificate of Incorporation or the resolution or resolutions of the Board providing for the issuance of such series of our preferred stock. Upon any liquidation of the Company, whether voluntary or involuntary, the holders of our preferred stock of each series will be entitled to receive only such amount or amounts as will have been fixed by or Certificate of Incorporation or by the resolution or resolutions of the Board providing for the issuance of such series. The issuance of preferred stock may have the effect of delaying, deferring or preventing a change in control of the Company without any vote or action by stockholders and may adversely affect the voting and other rights of the holders of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17" w:right="339" w:bottom="1440" w:gutter="0" w:footer="0" w:header="0"/>
        </w:sectPr>
      </w:pPr>
    </w:p>
    <w:bookmarkStart w:id="74" w:name="page75"/>
    <w:bookmarkEnd w:id="7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of Directors and Officers; Indemnification of Officers and Directors</w:t>
      </w:r>
    </w:p>
    <w:p>
      <w:pPr>
        <w:spacing w:after="0" w:line="229" w:lineRule="exact"/>
        <w:rPr>
          <w:sz w:val="20"/>
          <w:szCs w:val="20"/>
          <w:color w:val="auto"/>
        </w:rPr>
      </w:pPr>
    </w:p>
    <w:p>
      <w:pPr>
        <w:ind w:right="20" w:firstLine="180"/>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provides that no director of the Company shall be liable to the Company or its stockholders for monetary damages for breach of fiduciary duty as a director, which such limitation shall not eliminate or limit the liability of a director (a) for any breach of the director’s duty of loyalty to the Company or its stockholders, (b) for acts or omissions not in good faith or which involve intentional misconduct or a knowing violation of law, (c) under Section 174 of the General Corporation Law of the State of Delaware (the “DGCL”) or (d) for any transaction from which the director derived an improper personal benefit. Our Certificate of Incorporation provides that no officer of the Company shall be liable to the Company or its stockholders for monetary damages for breach of fiduciary duty as an officer, which such limitation shall not eliminate the liability of an officer (w) for any breach of the officer’s duty of loyalty to the Company or its stockholders, (x) for acts or omissions not in good faith or which involve intentional misconduct or a knowing violation of law, (y) for any transaction from which the officer derived an improper personal benefit or (z) for any action by or in the right of the Company. This limitation may have the effect of reducing the likelihood of derivative litigation against directors and officers and may discourage or deter stockholders or management from bringing a lawsuit against directors and officers for breach of their duty of care, even though such an action, if successful, might otherwise have benefited our stockholders.</w:t>
      </w:r>
    </w:p>
    <w:p>
      <w:pPr>
        <w:spacing w:after="0" w:line="192"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Our Bylaws provide for indemnification of our officers and directors and other specified persons with respect to their conduct in various capacities. In addition, we maintain directors’ and officers’ liability insurance.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Certain Provisions of Our Certificate of Incorporation and Bylaws and Delaware Law</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Certain provisions of our Certificate of Incorporation and Bylaws and Delaware law could have the effect of delaying, deferring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preventing a change in control or the removal of existing management, of deterring potential acquirors from making an offer to stockholders and of limiting any opportunity to realize premiums over prevailing market prices for our common stock in connection therewith. This could be the case notwithstanding that a majority of stockholders might benefit from such a change in control or offer.</w:t>
      </w:r>
    </w:p>
    <w:p>
      <w:pPr>
        <w:spacing w:after="0" w:line="18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Board of Directors. </w:t>
      </w:r>
      <w:r>
        <w:rPr>
          <w:rFonts w:ascii="Times New Roman" w:cs="Times New Roman" w:eastAsia="Times New Roman" w:hAnsi="Times New Roman"/>
          <w:sz w:val="18"/>
          <w:szCs w:val="18"/>
          <w:color w:val="auto"/>
        </w:rPr>
        <w:t>Our Bylaws divide the members of the Board into three classes, serving three-year staggered terms. No decrease in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shall shorten the term of any incumbent director. The classification of directors makes it more difficult for stockholders to change the composition of the Board: at least two annual meetings of stockholders may be required for stockholders to change a majority of the directors, whether or not a plurality of stockholders favors such a change.</w:t>
      </w:r>
    </w:p>
    <w:p>
      <w:pPr>
        <w:spacing w:after="0" w:line="18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Stockholders may remove directors from office only for cause by the affirmative vote of stockholders holding a majority in voting power of the shares entitled to vote at an election of directors. Vacancies on the Board or newly created directorships resulting from an increase in the number of directors on the Board may be filled only by the vote of a majority of the remaining directors, although less than a quorum, or by a sole remaining director. The number of directors may be fixed by resolution of the Board but must be no less than three nor more than eleven.</w:t>
      </w:r>
    </w:p>
    <w:p>
      <w:pPr>
        <w:spacing w:after="0" w:line="17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Advance Notice of Stockholder Proposals and Director Nominations. </w:t>
      </w:r>
      <w:r>
        <w:rPr>
          <w:rFonts w:ascii="Times New Roman" w:cs="Times New Roman" w:eastAsia="Times New Roman" w:hAnsi="Times New Roman"/>
          <w:sz w:val="18"/>
          <w:szCs w:val="18"/>
          <w:color w:val="auto"/>
        </w:rPr>
        <w:t>Our Bylaws contain provisions requiring that advance notice be delivered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of any business to be brought by a stockholder before an annual meeting of stockholders and providing for certain procedures to be followed by stockholders in nominating persons for election to the Board. Generally, the advance notice provisions provide that the stockholder must give written notice to our Secretary, (i) if such meeting is to be held on a date that is not more than 30 days in advance of the anniversary of the previous year’s annual meeting and not later than 60 days after the anniversary of the previous year’s annual meeting, not less than 90 days nor more than 150 days prior to the anniversary date of the immediately preceding annual meeting of stockholders or (ii) for any other annual meeting of stockholders, including in the event that no annual meeting was held in the immediately preceding year, not earlier than the close of business on the 120th day prior to the annual meeting and not later than the close of business on the later of the 90th day prior to the annual meeting and the 10th day following the earlier of the day on which the notice of such meeting was mailed to</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20"/>
          </w:cols>
          <w:pgMar w:left="320" w:top="1440" w:right="359" w:bottom="1440" w:gutter="0" w:footer="0" w:header="0"/>
        </w:sectPr>
      </w:pPr>
    </w:p>
    <w:bookmarkStart w:id="75" w:name="page76"/>
    <w:bookmarkEnd w:id="75"/>
    <w:p>
      <w:pPr>
        <w:ind w:right="120"/>
        <w:spacing w:after="0" w:line="282" w:lineRule="auto"/>
        <w:rPr>
          <w:sz w:val="20"/>
          <w:szCs w:val="20"/>
          <w:color w:val="auto"/>
        </w:rPr>
      </w:pPr>
      <w:r>
        <w:rPr>
          <w:rFonts w:ascii="Times New Roman" w:cs="Times New Roman" w:eastAsia="Times New Roman" w:hAnsi="Times New Roman"/>
          <w:sz w:val="18"/>
          <w:szCs w:val="18"/>
          <w:color w:val="auto"/>
        </w:rPr>
        <w:t>our stockholders or the day on which such public announcement was made). The notice must set forth specific information regarding that stockholder and that business or director nominee, as described in our Bylaws.</w:t>
      </w:r>
    </w:p>
    <w:p>
      <w:pPr>
        <w:spacing w:after="0" w:line="160" w:lineRule="exact"/>
        <w:rPr>
          <w:sz w:val="20"/>
          <w:szCs w:val="20"/>
          <w:color w:val="auto"/>
        </w:rPr>
      </w:pPr>
    </w:p>
    <w:p>
      <w:pPr>
        <w:ind w:right="2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Special Meetings of Stockholders. </w:t>
      </w:r>
      <w:r>
        <w:rPr>
          <w:rFonts w:ascii="Times New Roman" w:cs="Times New Roman" w:eastAsia="Times New Roman" w:hAnsi="Times New Roman"/>
          <w:sz w:val="18"/>
          <w:szCs w:val="18"/>
          <w:color w:val="auto"/>
        </w:rPr>
        <w:t>Our Bylaws allow only the chair of the Board, the chief executive officer, the president or a majority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to call a special meeting of the stockholders. Only business within the purpose or purposes described in the notice of the special meeting of the stockholders may be conducted at the meeting.</w:t>
      </w:r>
    </w:p>
    <w:p>
      <w:pPr>
        <w:spacing w:after="0" w:line="173" w:lineRule="exact"/>
        <w:rPr>
          <w:sz w:val="20"/>
          <w:szCs w:val="20"/>
          <w:color w:val="auto"/>
        </w:rPr>
      </w:pPr>
    </w:p>
    <w:p>
      <w:pPr>
        <w:ind w:right="1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Amendment of Bylaws. </w:t>
      </w:r>
      <w:r>
        <w:rPr>
          <w:rFonts w:ascii="Times New Roman" w:cs="Times New Roman" w:eastAsia="Times New Roman" w:hAnsi="Times New Roman"/>
          <w:sz w:val="18"/>
          <w:szCs w:val="18"/>
          <w:color w:val="auto"/>
        </w:rPr>
        <w:t>Our Bylaws may be adopted, amended or repealed if approved by at least seventy-five percent (75%) of the Board.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Bylaws may also be adopted, amended or repealed by stockholders entitled to vote; provided that any proposal by a stockholder to amend the Bylaws will be subject to the provisions of Article 2 of the Bylaws except as otherwise required by law.</w:t>
      </w:r>
    </w:p>
    <w:p>
      <w:pPr>
        <w:spacing w:after="0" w:line="173"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Delaware Anti-Takeover Statute. </w:t>
      </w:r>
      <w:r>
        <w:rPr>
          <w:rFonts w:ascii="Times New Roman" w:cs="Times New Roman" w:eastAsia="Times New Roman" w:hAnsi="Times New Roman"/>
          <w:sz w:val="18"/>
          <w:szCs w:val="18"/>
          <w:color w:val="auto"/>
        </w:rPr>
        <w:t>As a Delaware corporation, we are subject to Section 203 of the DGCL. In general, Section 203 prevents us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engaging in a business combination with an “interested stockholder” (generally, a person owning 15% or more of our outstanding voting stock) for three years following the time that person becomes a 15% stockholder unless either:</w:t>
      </w:r>
    </w:p>
    <w:p>
      <w:pPr>
        <w:spacing w:after="0" w:line="175" w:lineRule="exact"/>
        <w:rPr>
          <w:sz w:val="20"/>
          <w:szCs w:val="20"/>
          <w:color w:val="auto"/>
        </w:rPr>
      </w:pPr>
    </w:p>
    <w:p>
      <w:pPr>
        <w:ind w:left="1300" w:right="40" w:hanging="320"/>
        <w:spacing w:after="0" w:line="282"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that person became a 15% stockholder, the Board approved the transaction in which the stockholder became a 15% stockholder or approved the business combination;</w:t>
      </w:r>
    </w:p>
    <w:p>
      <w:pPr>
        <w:spacing w:after="0" w:line="188" w:lineRule="exact"/>
        <w:rPr>
          <w:rFonts w:ascii="Times New Roman" w:cs="Times New Roman" w:eastAsia="Times New Roman" w:hAnsi="Times New Roman"/>
          <w:sz w:val="18"/>
          <w:szCs w:val="18"/>
          <w:color w:val="auto"/>
        </w:rPr>
      </w:pPr>
    </w:p>
    <w:p>
      <w:pPr>
        <w:ind w:left="1300" w:right="140" w:hanging="320"/>
        <w:spacing w:after="0" w:line="261"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stockholder’s becoming a 15% stockholder, the stockholder owns at least 85% of our voting stock outstanding at the time the transaction began (excluding stock held by directors who are also officers and by employee stock plans that do not provide employees with the right to determine confidentially whether shares held subject to the plan will be tendered in a tender or exchange offer); or</w:t>
      </w:r>
    </w:p>
    <w:p>
      <w:pPr>
        <w:spacing w:after="0" w:line="206" w:lineRule="exact"/>
        <w:rPr>
          <w:rFonts w:ascii="Times New Roman" w:cs="Times New Roman" w:eastAsia="Times New Roman" w:hAnsi="Times New Roman"/>
          <w:sz w:val="18"/>
          <w:szCs w:val="18"/>
          <w:color w:val="auto"/>
        </w:rPr>
      </w:pPr>
    </w:p>
    <w:p>
      <w:pPr>
        <w:ind w:left="1300" w:right="120" w:hanging="320"/>
        <w:spacing w:after="0" w:line="282"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transaction in which that person became a 15% stockholder, the business combination is approved by the Board and authorized at a stockholder meeting by at least two-thirds of the outstanding voting stock not owned by the 15% stockholder.</w:t>
      </w:r>
    </w:p>
    <w:p>
      <w:pPr>
        <w:spacing w:after="0" w:line="16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Under Section 203, these restrictions also do not apply to certain business combinations proposed by a 15% stockholder following the disclosure of an extraordinary transaction with a person who was not a 15% stockholder during the previous three years or who became a 15% stockholder with the approval of a majority of our directors. This exception applies only if the extraordinary transaction is approved or not opposed by a majority of our directors who were directors before any person became a 15% stockholder in the previous three years, or the successors of these directors.</w:t>
      </w:r>
    </w:p>
    <w:p>
      <w:pPr>
        <w:spacing w:after="0" w:line="17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Exclusive Forum for Adjudication of Disputes</w:t>
      </w:r>
      <w:r>
        <w:rPr>
          <w:rFonts w:ascii="Times New Roman" w:cs="Times New Roman" w:eastAsia="Times New Roman" w:hAnsi="Times New Roman"/>
          <w:sz w:val="18"/>
          <w:szCs w:val="18"/>
          <w:color w:val="auto"/>
        </w:rPr>
        <w:t>. Our Bylaws provide that unless we consent in writing to the selection of an alternative forum,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Court of Chancery of the State of Delaware shall, to the fullest extent permitted by applicable law, be the sole and exclusive forum for (a) any derivative action or proceeding brought on our behalf, (b) any action asserting a claim of breach of a fiduciary duty owed by any director, officer, employee or stockholder of the Company, (c) any action asserting a claim arising pursuant to any provision of the DGCL, the Certificate of Incorporation, or the Bylaws (as either may be amended from time to time), or as to which the DGCL confers jurisdiction on the Court of Chancery of the State of Delaware, or (d) any action asserting a claim governed by the internal affairs doctrine or asserting an “internal corporate claim” (as that term is defined in Section 115 of the DGCL). In addition, unless we consent in writing to the selection of an alternative forum, the Federal District Courts of the United States of America shall be the sole and exclusive forum for the resolution of any complaint asserting a cause of action arising under the Securities Act of 1933, as amended (the “Securities Act”).</w:t>
      </w:r>
    </w:p>
    <w:p>
      <w:pPr>
        <w:spacing w:after="0" w:line="21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Under the Securities Act, federal and state courts have concurrent jurisdiction over all suits brought to enforce any duty or liability created by the Securities Act, and stockholders cannot waive compliance with the federal securities laws and the rules and regulations thereunder. The exclusive forum provision would not apply to suits brought to enforce any liability or duty created by the Exchange Act, or any other claim for which the federal</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00"/>
          </w:cols>
          <w:pgMar w:left="320" w:top="1417" w:right="379" w:bottom="1440" w:gutter="0" w:footer="0" w:header="0"/>
        </w:sectPr>
      </w:pPr>
    </w:p>
    <w:bookmarkStart w:id="76" w:name="page77"/>
    <w:bookmarkEnd w:id="76"/>
    <w:p>
      <w:pPr>
        <w:spacing w:after="0" w:line="254" w:lineRule="auto"/>
        <w:rPr>
          <w:sz w:val="20"/>
          <w:szCs w:val="20"/>
          <w:color w:val="auto"/>
        </w:rPr>
      </w:pPr>
      <w:r>
        <w:rPr>
          <w:rFonts w:ascii="Times New Roman" w:cs="Times New Roman" w:eastAsia="Times New Roman" w:hAnsi="Times New Roman"/>
          <w:sz w:val="18"/>
          <w:szCs w:val="18"/>
          <w:color w:val="auto"/>
        </w:rPr>
        <w:t>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Although we believe these provisions are beneficial by providing increased consistency in the application of Delaware law or U.S. securities laws in the types of lawsuits to which they apply, the provisions may have the effect of discouraging lawsuits against our directors and officers or against us. Any person or entity purchasing or otherwise acquiring any interest in shares of our capital stock will be deemed to have notice of and have consented to the provisions of our Bylaws related to choice of forum. The enforceability of similar exclusive forum provisions in other companies’ organizational documents has been challenged in legal proceedings, and it is possible that, in connection with one or more actions or proceedings described above, a court could rule that this provision in our Bylaws is inapplicable or unenforceable.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Equiniti Trust Company,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180"/>
          </w:cols>
          <w:pgMar w:left="320" w:top="1417" w:right="39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AND FOURTH AMENDMENT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 AMENDED AND RESTATED CREDIT AGREEMENT</w:t>
      </w:r>
    </w:p>
    <w:p>
      <w:pPr>
        <w:spacing w:after="0" w:line="19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THIS CONSENT AND FOURTH AMENDMENT TO AMENDED AND RESTATED CREDIT AGREEMENT (this “</w:t>
      </w:r>
      <w:r>
        <w:rPr>
          <w:rFonts w:ascii="Times New Roman" w:cs="Times New Roman" w:eastAsia="Times New Roman" w:hAnsi="Times New Roman"/>
          <w:sz w:val="20"/>
          <w:szCs w:val="20"/>
          <w:b w:val="1"/>
          <w:bCs w:val="1"/>
          <w:i w:val="1"/>
          <w:iCs w:val="1"/>
          <w:color w:val="auto"/>
        </w:rPr>
        <w:t>Consent</w:t>
      </w:r>
      <w:r>
        <w:rPr>
          <w:rFonts w:ascii="Times New Roman" w:cs="Times New Roman" w:eastAsia="Times New Roman" w:hAnsi="Times New Roman"/>
          <w:sz w:val="20"/>
          <w:szCs w:val="20"/>
          <w:color w:val="auto"/>
        </w:rPr>
        <w:t>”) is entered into as of September 30, 2025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among Powell Industries, Inc., a Delaware corporation (“</w:t>
      </w:r>
      <w:r>
        <w:rPr>
          <w:rFonts w:ascii="Times New Roman" w:cs="Times New Roman" w:eastAsia="Times New Roman" w:hAnsi="Times New Roman"/>
          <w:sz w:val="20"/>
          <w:szCs w:val="20"/>
          <w:b w:val="1"/>
          <w:bCs w:val="1"/>
          <w:i w:val="1"/>
          <w:iCs w:val="1"/>
          <w:color w:val="auto"/>
        </w:rPr>
        <w:t>Borrower</w:t>
      </w:r>
      <w:r>
        <w:rPr>
          <w:rFonts w:ascii="Times New Roman" w:cs="Times New Roman" w:eastAsia="Times New Roman" w:hAnsi="Times New Roman"/>
          <w:sz w:val="20"/>
          <w:szCs w:val="20"/>
          <w:color w:val="auto"/>
        </w:rPr>
        <w:t>”), certain Subsidiaries of Borrower party hereto, as guarantors (the “</w:t>
      </w:r>
      <w:r>
        <w:rPr>
          <w:rFonts w:ascii="Times New Roman" w:cs="Times New Roman" w:eastAsia="Times New Roman" w:hAnsi="Times New Roman"/>
          <w:sz w:val="20"/>
          <w:szCs w:val="20"/>
          <w:b w:val="1"/>
          <w:bCs w:val="1"/>
          <w:i w:val="1"/>
          <w:iCs w:val="1"/>
          <w:color w:val="auto"/>
        </w:rPr>
        <w:t>Guarantors</w:t>
      </w:r>
      <w:r>
        <w:rPr>
          <w:rFonts w:ascii="Times New Roman" w:cs="Times New Roman" w:eastAsia="Times New Roman" w:hAnsi="Times New Roman"/>
          <w:sz w:val="20"/>
          <w:szCs w:val="20"/>
          <w:color w:val="auto"/>
        </w:rPr>
        <w:t>”), the lenders party hereto (the “</w:t>
      </w:r>
      <w:r>
        <w:rPr>
          <w:rFonts w:ascii="Times New Roman" w:cs="Times New Roman" w:eastAsia="Times New Roman" w:hAnsi="Times New Roman"/>
          <w:sz w:val="20"/>
          <w:szCs w:val="20"/>
          <w:b w:val="1"/>
          <w:bCs w:val="1"/>
          <w:i w:val="1"/>
          <w:iCs w:val="1"/>
          <w:color w:val="auto"/>
        </w:rPr>
        <w:t>Lenders</w:t>
      </w:r>
      <w:r>
        <w:rPr>
          <w:rFonts w:ascii="Times New Roman" w:cs="Times New Roman" w:eastAsia="Times New Roman" w:hAnsi="Times New Roman"/>
          <w:sz w:val="20"/>
          <w:szCs w:val="20"/>
          <w:color w:val="auto"/>
        </w:rPr>
        <w:t>”), and Bank of America, N.A. (“</w:t>
      </w:r>
      <w:r>
        <w:rPr>
          <w:rFonts w:ascii="Times New Roman" w:cs="Times New Roman" w:eastAsia="Times New Roman" w:hAnsi="Times New Roman"/>
          <w:sz w:val="20"/>
          <w:szCs w:val="20"/>
          <w:b w:val="1"/>
          <w:bCs w:val="1"/>
          <w:i w:val="1"/>
          <w:iCs w:val="1"/>
          <w:color w:val="auto"/>
        </w:rPr>
        <w:t>Bank of America</w:t>
      </w:r>
      <w:r>
        <w:rPr>
          <w:rFonts w:ascii="Times New Roman" w:cs="Times New Roman" w:eastAsia="Times New Roman" w:hAnsi="Times New Roman"/>
          <w:sz w:val="20"/>
          <w:szCs w:val="20"/>
          <w:color w:val="auto"/>
        </w:rPr>
        <w:t>”), as Administrative Agent for the Lenders (in such capacity, the “</w:t>
      </w:r>
      <w:r>
        <w:rPr>
          <w:rFonts w:ascii="Times New Roman" w:cs="Times New Roman" w:eastAsia="Times New Roman" w:hAnsi="Times New Roman"/>
          <w:sz w:val="20"/>
          <w:szCs w:val="20"/>
          <w:b w:val="1"/>
          <w:bCs w:val="1"/>
          <w:i w:val="1"/>
          <w:iCs w:val="1"/>
          <w:color w:val="auto"/>
        </w:rPr>
        <w:t>Administrative Agent</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20" w:lineRule="exact"/>
        <w:rPr>
          <w:sz w:val="20"/>
          <w:szCs w:val="20"/>
          <w:color w:val="auto"/>
        </w:rPr>
      </w:pPr>
    </w:p>
    <w:p>
      <w:pPr>
        <w:jc w:val="both"/>
        <w:ind w:firstLine="656"/>
        <w:spacing w:after="0" w:line="251" w:lineRule="auto"/>
        <w:tabs>
          <w:tab w:leader="none" w:pos="1061"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the Subsidiaries of Borrower from time to time party thereto as Guarantors, the Administrative Agent, the Swingline Lender, the L/C Issuer and the Lenders from time to time party thereto are parties to that certain Amended and Restated Credit Agreement, dated as of September 27, 2019 (as amended by that certain First Amendment to Credit Agreement, dated as of March 12, 2021, as further modified by that certain Consent to Credit Agreement, dated as of July 28, 2022, that certain LIBOR Transition Amendment, dated as of November 10, 2022, that certain Second Amendment to Credit Agreement, dated as of March 31, 2023, that certain Third Amendment to Credit Agreement dated as of October 4, 2023, that certain Conforming Changes Amendment dated as of September 24, 2024, and as may be further amended, restated, amended and restated, supplemented, increased, extended, refinanced, renewed, replaced, and/or otherwise modified in writing from time to time prior to the Effective Date, the “</w:t>
      </w:r>
      <w:r>
        <w:rPr>
          <w:rFonts w:ascii="Times New Roman" w:cs="Times New Roman" w:eastAsia="Times New Roman" w:hAnsi="Times New Roman"/>
          <w:sz w:val="20"/>
          <w:szCs w:val="20"/>
          <w:b w:val="1"/>
          <w:bCs w:val="1"/>
          <w:i w:val="1"/>
          <w:iCs w:val="1"/>
          <w:color w:val="auto"/>
        </w:rPr>
        <w:t>Credit Agreement</w:t>
      </w:r>
      <w:r>
        <w:rPr>
          <w:rFonts w:ascii="Times New Roman" w:cs="Times New Roman" w:eastAsia="Times New Roman" w:hAnsi="Times New Roman"/>
          <w:sz w:val="20"/>
          <w:szCs w:val="20"/>
          <w:color w:val="auto"/>
        </w:rPr>
        <w:t>”).</w:t>
      </w:r>
    </w:p>
    <w:p>
      <w:pPr>
        <w:spacing w:after="0" w:line="195" w:lineRule="exact"/>
        <w:rPr>
          <w:rFonts w:ascii="Times New Roman" w:cs="Times New Roman" w:eastAsia="Times New Roman" w:hAnsi="Times New Roman"/>
          <w:sz w:val="20"/>
          <w:szCs w:val="20"/>
          <w:color w:val="auto"/>
        </w:rPr>
      </w:pPr>
    </w:p>
    <w:p>
      <w:pPr>
        <w:jc w:val="both"/>
        <w:ind w:firstLine="656"/>
        <w:spacing w:after="0" w:line="253" w:lineRule="auto"/>
        <w:tabs>
          <w:tab w:leader="none" w:pos="1085"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Among other collateral security securing the Obligations under the Credit Agreement, Powell Industries International, Inc., a Delaware corporation (which is a Guarantor and is a 100% wholly-owned Subsidiary of Borrower, herein “</w:t>
      </w:r>
      <w:r>
        <w:rPr>
          <w:rFonts w:ascii="Times New Roman" w:cs="Times New Roman" w:eastAsia="Times New Roman" w:hAnsi="Times New Roman"/>
          <w:sz w:val="20"/>
          <w:szCs w:val="20"/>
          <w:b w:val="1"/>
          <w:bCs w:val="1"/>
          <w:i w:val="1"/>
          <w:iCs w:val="1"/>
          <w:color w:val="auto"/>
        </w:rPr>
        <w:t>PII</w:t>
      </w:r>
      <w:r>
        <w:rPr>
          <w:rFonts w:ascii="Times New Roman" w:cs="Times New Roman" w:eastAsia="Times New Roman" w:hAnsi="Times New Roman"/>
          <w:sz w:val="20"/>
          <w:szCs w:val="20"/>
          <w:color w:val="auto"/>
        </w:rPr>
        <w:t>”) entered into a deed of pledge on May 31, 2010 on sixty-five percent (65%) of the Equity Interests of its 100% wholly-owned Subsidiary, Powell Industries International, B.V., a private company with limited liability organized and existing under the laws of the Netherlands (“</w:t>
      </w:r>
      <w:r>
        <w:rPr>
          <w:rFonts w:ascii="Times New Roman" w:cs="Times New Roman" w:eastAsia="Times New Roman" w:hAnsi="Times New Roman"/>
          <w:sz w:val="20"/>
          <w:szCs w:val="20"/>
          <w:b w:val="1"/>
          <w:bCs w:val="1"/>
          <w:i w:val="1"/>
          <w:iCs w:val="1"/>
          <w:color w:val="auto"/>
        </w:rPr>
        <w:t>PIIBV</w:t>
      </w:r>
      <w:r>
        <w:rPr>
          <w:rFonts w:ascii="Times New Roman" w:cs="Times New Roman" w:eastAsia="Times New Roman" w:hAnsi="Times New Roman"/>
          <w:sz w:val="20"/>
          <w:szCs w:val="20"/>
          <w:color w:val="auto"/>
        </w:rPr>
        <w:t>”), as confirmed by that certain Confirmation Agreement dated as of December 6, 2019, and as may have been or may in the future be, amended or restated, the “</w:t>
      </w:r>
      <w:r>
        <w:rPr>
          <w:rFonts w:ascii="Times New Roman" w:cs="Times New Roman" w:eastAsia="Times New Roman" w:hAnsi="Times New Roman"/>
          <w:sz w:val="20"/>
          <w:szCs w:val="20"/>
          <w:b w:val="1"/>
          <w:bCs w:val="1"/>
          <w:i w:val="1"/>
          <w:iCs w:val="1"/>
          <w:color w:val="auto"/>
        </w:rPr>
        <w:t>Prior Share Pledge</w:t>
      </w:r>
      <w:r>
        <w:rPr>
          <w:rFonts w:ascii="Times New Roman" w:cs="Times New Roman" w:eastAsia="Times New Roman" w:hAnsi="Times New Roman"/>
          <w:sz w:val="20"/>
          <w:szCs w:val="20"/>
          <w:color w:val="auto"/>
        </w:rPr>
        <w:t>”.</w:t>
      </w:r>
    </w:p>
    <w:p>
      <w:pPr>
        <w:spacing w:after="0" w:line="178" w:lineRule="exact"/>
        <w:rPr>
          <w:rFonts w:ascii="Times New Roman" w:cs="Times New Roman" w:eastAsia="Times New Roman" w:hAnsi="Times New Roman"/>
          <w:sz w:val="20"/>
          <w:szCs w:val="20"/>
          <w:color w:val="auto"/>
        </w:rPr>
      </w:pPr>
    </w:p>
    <w:p>
      <w:pPr>
        <w:jc w:val="both"/>
        <w:ind w:firstLine="656"/>
        <w:spacing w:after="0" w:line="253" w:lineRule="auto"/>
        <w:tabs>
          <w:tab w:leader="none" w:pos="1162"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Borrower proposes to undertake, in a series of sequentially related transactions, a corporate reorganization of its Foreign Subsidiaries such that, after giving effect to such transactions, PII will own 100% of the Equity Interests of a newly formed 100% wholly-owned Subsidiary, Powell Industries International Limited, a company formed under the laws of the United Kingdom and Wales </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HoldCo</w:t>
      </w:r>
      <w:r>
        <w:rPr>
          <w:rFonts w:ascii="Times New Roman" w:cs="Times New Roman" w:eastAsia="Times New Roman" w:hAnsi="Times New Roman"/>
          <w:sz w:val="20"/>
          <w:szCs w:val="20"/>
          <w:color w:val="auto"/>
        </w:rPr>
        <w:t>”), which in turn will own, directly or indirectly, 100% of the Equity Interests of all other Foreign Subsidiaries of Borrower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(collectively, the “</w:t>
      </w:r>
      <w:r>
        <w:rPr>
          <w:rFonts w:ascii="Times New Roman" w:cs="Times New Roman" w:eastAsia="Times New Roman" w:hAnsi="Times New Roman"/>
          <w:sz w:val="20"/>
          <w:szCs w:val="20"/>
          <w:b w:val="1"/>
          <w:bCs w:val="1"/>
          <w:i w:val="1"/>
          <w:iCs w:val="1"/>
          <w:color w:val="auto"/>
        </w:rPr>
        <w:t>Corporate Reorganization Transaction</w:t>
      </w:r>
      <w:r>
        <w:rPr>
          <w:rFonts w:ascii="Times New Roman" w:cs="Times New Roman" w:eastAsia="Times New Roman" w:hAnsi="Times New Roman"/>
          <w:sz w:val="20"/>
          <w:szCs w:val="20"/>
          <w:color w:val="auto"/>
        </w:rPr>
        <w:t>”). The Corporate Reorganization Transaction will require at least the Required Lenders’ written consent to consummate all of the steps and sequentially related transactions required to consummate the Corporate Reorganization Transaction.</w:t>
      </w:r>
    </w:p>
    <w:p>
      <w:pPr>
        <w:spacing w:after="0" w:line="192" w:lineRule="exact"/>
        <w:rPr>
          <w:rFonts w:ascii="Times New Roman" w:cs="Times New Roman" w:eastAsia="Times New Roman" w:hAnsi="Times New Roman"/>
          <w:sz w:val="20"/>
          <w:szCs w:val="20"/>
          <w:color w:val="auto"/>
        </w:rPr>
      </w:pPr>
    </w:p>
    <w:p>
      <w:pPr>
        <w:jc w:val="both"/>
        <w:ind w:firstLine="656"/>
        <w:spacing w:after="0" w:line="254" w:lineRule="auto"/>
        <w:tabs>
          <w:tab w:leader="none" w:pos="1064"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While the Lenders were evaluating and seeking internal approvals for the totality of the Corporate Reorganization Transaction, Borrower, the Administrative Agent and Lenders entered into that certain Consent to Amended and Restated Credit Agreement dated as of July 25, 2025 (the “</w:t>
      </w:r>
      <w:r>
        <w:rPr>
          <w:rFonts w:ascii="Times New Roman" w:cs="Times New Roman" w:eastAsia="Times New Roman" w:hAnsi="Times New Roman"/>
          <w:sz w:val="20"/>
          <w:szCs w:val="20"/>
          <w:b w:val="1"/>
          <w:bCs w:val="1"/>
          <w:i w:val="1"/>
          <w:iCs w:val="1"/>
          <w:color w:val="auto"/>
        </w:rPr>
        <w:t>Preliminary Consent</w:t>
      </w:r>
      <w:r>
        <w:rPr>
          <w:rFonts w:ascii="Times New Roman" w:cs="Times New Roman" w:eastAsia="Times New Roman" w:hAnsi="Times New Roman"/>
          <w:sz w:val="20"/>
          <w:szCs w:val="20"/>
          <w:color w:val="auto"/>
        </w:rPr>
        <w:t>”), under which Lenders consented to the implementation of, and permitted Borrower to take, the Preliminary Corporate Reorganization Transactions (as defined in the Preliminary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4921-8900-6438 v.3</w:t>
      </w:r>
    </w:p>
    <w:p>
      <w:pPr>
        <w:sectPr>
          <w:pgSz w:w="11900" w:h="16838" w:orient="portrait"/>
          <w:cols w:equalWidth="0" w:num="1">
            <w:col w:w="11240"/>
          </w:cols>
          <w:pgMar w:left="320" w:top="117" w:right="339" w:bottom="1440" w:gutter="0" w:footer="0" w:header="0"/>
        </w:sectPr>
      </w:pPr>
    </w:p>
    <w:bookmarkStart w:id="78" w:name="page79"/>
    <w:bookmarkEnd w:id="78"/>
    <w:p>
      <w:pPr>
        <w:spacing w:after="0" w:line="189" w:lineRule="exact"/>
        <w:rPr>
          <w:sz w:val="20"/>
          <w:szCs w:val="20"/>
          <w:color w:val="auto"/>
        </w:rPr>
      </w:pPr>
    </w:p>
    <w:p>
      <w:pPr>
        <w:jc w:val="both"/>
        <w:ind w:firstLine="656"/>
        <w:spacing w:after="0" w:line="261" w:lineRule="auto"/>
        <w:tabs>
          <w:tab w:leader="none" w:pos="1039"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has completed the Preliminary Corporate Reorganization Transactions and has now requested that Lenders consent to the Corporate Reorganization Transactions and to make certain conforming or corresponding amendments to the Credit Agreement. The Lenders have agreed to provide such consent and to amend the Credit Agreement, subject to the terms and conditions of this Consent.</w:t>
      </w:r>
    </w:p>
    <w:p>
      <w:pPr>
        <w:spacing w:after="0" w:line="181"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agreements contained herein, and for other good and valuable consideration, the receipt and sufficiency of which are hereby acknowledged, each of the undersigned hereby agree as follows: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AGREEMENTS</w:t>
      </w:r>
    </w:p>
    <w:p>
      <w:pPr>
        <w:spacing w:after="0" w:line="220" w:lineRule="exact"/>
        <w:rPr>
          <w:sz w:val="20"/>
          <w:szCs w:val="20"/>
          <w:color w:val="auto"/>
        </w:rPr>
      </w:pPr>
    </w:p>
    <w:p>
      <w:pPr>
        <w:jc w:val="both"/>
        <w:ind w:firstLine="656"/>
        <w:spacing w:after="0" w:line="222" w:lineRule="auto"/>
        <w:tabs>
          <w:tab w:leader="none" w:pos="1296"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Introductory Paragraph and Recitals; Definitions</w:t>
      </w:r>
      <w:r>
        <w:rPr>
          <w:rFonts w:ascii="Times New Roman" w:cs="Times New Roman" w:eastAsia="Times New Roman" w:hAnsi="Times New Roman"/>
          <w:sz w:val="20"/>
          <w:szCs w:val="20"/>
          <w:color w:val="auto"/>
        </w:rPr>
        <w:t>. The above introductory paragraph and recitals (including any terms defined therein) of this Consent are incorporated herein by reference as if fully set forth in the body of this Consent. Unless otherwise defined in this Consent, each capitalized term used herein but not otherwise defined herein has the meaning given to such term in the Credit Agreement.</w:t>
      </w:r>
    </w:p>
    <w:p>
      <w:pPr>
        <w:spacing w:after="0" w:line="14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Consent to Corporate Reorganization Transactions; Release and Termination of Prior Share Pledge</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firstLine="656"/>
        <w:spacing w:after="0" w:line="222" w:lineRule="auto"/>
        <w:tabs>
          <w:tab w:leader="none" w:pos="1286" w:val="left"/>
        </w:tabs>
        <w:numPr>
          <w:ilvl w:val="1"/>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the satisfaction of conditions precedent set forth in </w:t>
      </w:r>
      <w:r>
        <w:rPr>
          <w:rFonts w:ascii="Times New Roman" w:cs="Times New Roman" w:eastAsia="Times New Roman" w:hAnsi="Times New Roman"/>
          <w:sz w:val="19"/>
          <w:szCs w:val="19"/>
          <w:b w:val="1"/>
          <w:bCs w:val="1"/>
          <w:i w:val="1"/>
          <w:iCs w:val="1"/>
          <w:color w:val="auto"/>
        </w:rPr>
        <w:t>Section 4</w:t>
      </w:r>
      <w:r>
        <w:rPr>
          <w:rFonts w:ascii="Times New Roman" w:cs="Times New Roman" w:eastAsia="Times New Roman" w:hAnsi="Times New Roman"/>
          <w:sz w:val="19"/>
          <w:szCs w:val="19"/>
          <w:color w:val="auto"/>
        </w:rPr>
        <w:t xml:space="preserve"> below and the other terms and conditions of this Consent, notwithstanding </w:t>
      </w:r>
      <w:r>
        <w:rPr>
          <w:rFonts w:ascii="Times New Roman" w:cs="Times New Roman" w:eastAsia="Times New Roman" w:hAnsi="Times New Roman"/>
          <w:sz w:val="19"/>
          <w:szCs w:val="19"/>
          <w:b w:val="1"/>
          <w:bCs w:val="1"/>
          <w:i w:val="1"/>
          <w:iCs w:val="1"/>
          <w:color w:val="auto"/>
        </w:rPr>
        <w:t>Sections 7.03</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7.05</w:t>
      </w:r>
      <w:r>
        <w:rPr>
          <w:rFonts w:ascii="Times New Roman" w:cs="Times New Roman" w:eastAsia="Times New Roman" w:hAnsi="Times New Roman"/>
          <w:sz w:val="19"/>
          <w:szCs w:val="19"/>
          <w:color w:val="auto"/>
        </w:rPr>
        <w:t xml:space="preserve"> of the Credit Agreement or any other restriction in the Credit Agreement or the other Loan Documents to the contrary, Administrative Agent and Lenders hereby consent to the Corporate Reorganization Transactions. The consent set out in this </w:t>
      </w:r>
      <w:r>
        <w:rPr>
          <w:rFonts w:ascii="Times New Roman" w:cs="Times New Roman" w:eastAsia="Times New Roman" w:hAnsi="Times New Roman"/>
          <w:sz w:val="19"/>
          <w:szCs w:val="19"/>
          <w:b w:val="1"/>
          <w:bCs w:val="1"/>
          <w:i w:val="1"/>
          <w:iCs w:val="1"/>
          <w:color w:val="auto"/>
        </w:rPr>
        <w:t>Section 2</w:t>
      </w:r>
      <w:r>
        <w:rPr>
          <w:rFonts w:ascii="Times New Roman" w:cs="Times New Roman" w:eastAsia="Times New Roman" w:hAnsi="Times New Roman"/>
          <w:sz w:val="19"/>
          <w:szCs w:val="19"/>
          <w:color w:val="auto"/>
        </w:rPr>
        <w:t>, (i) is limited to the extent specifically set out in this Agreement and except as expressly set out in this Agreement, no other terms, covenants or provisions of the Credit Agreement or any other Loan Document are intended to be affected by this Consent, and</w:t>
      </w:r>
    </w:p>
    <w:p>
      <w:pPr>
        <w:spacing w:after="0" w:line="1" w:lineRule="exact"/>
        <w:rPr>
          <w:rFonts w:ascii="Times New Roman" w:cs="Times New Roman" w:eastAsia="Times New Roman" w:hAnsi="Times New Roman"/>
          <w:sz w:val="19"/>
          <w:szCs w:val="19"/>
          <w:color w:val="auto"/>
        </w:rPr>
      </w:pPr>
    </w:p>
    <w:p>
      <w:pPr>
        <w:ind w:firstLine="8"/>
        <w:spacing w:after="0" w:line="228" w:lineRule="auto"/>
        <w:tabs>
          <w:tab w:leader="none" w:pos="3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constitute, and shall not be deemed to constitute, a waiver of future compliance by Borrower or any other Loan Party with any provision of the Credit Agreement or any other Loan Document.</w:t>
      </w:r>
    </w:p>
    <w:p>
      <w:pPr>
        <w:spacing w:after="0" w:line="148" w:lineRule="exact"/>
        <w:rPr>
          <w:rFonts w:ascii="Times New Roman" w:cs="Times New Roman" w:eastAsia="Times New Roman" w:hAnsi="Times New Roman"/>
          <w:sz w:val="20"/>
          <w:szCs w:val="20"/>
          <w:color w:val="auto"/>
        </w:rPr>
      </w:pPr>
    </w:p>
    <w:p>
      <w:pPr>
        <w:jc w:val="both"/>
        <w:ind w:firstLine="656"/>
        <w:spacing w:after="0" w:line="215" w:lineRule="auto"/>
        <w:tabs>
          <w:tab w:leader="none" w:pos="1284"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Administrative Agent hereby terminates the Prior Share Pledge and releases its Liens on on sixty-five percent (65%) of the Equity Interests of Powell Industries International, B.V., a private company with limited liability organized and existing under the laws of the Netherlands (the “</w:t>
      </w:r>
      <w:r>
        <w:rPr>
          <w:rFonts w:ascii="Times New Roman" w:cs="Times New Roman" w:eastAsia="Times New Roman" w:hAnsi="Times New Roman"/>
          <w:sz w:val="20"/>
          <w:szCs w:val="20"/>
          <w:b w:val="1"/>
          <w:bCs w:val="1"/>
          <w:i w:val="1"/>
          <w:iCs w:val="1"/>
          <w:color w:val="auto"/>
        </w:rPr>
        <w:t>Pledged Equity Release</w:t>
      </w:r>
      <w:r>
        <w:rPr>
          <w:rFonts w:ascii="Times New Roman" w:cs="Times New Roman" w:eastAsia="Times New Roman" w:hAnsi="Times New Roman"/>
          <w:sz w:val="20"/>
          <w:szCs w:val="20"/>
          <w:color w:val="auto"/>
        </w:rPr>
        <w:t>”). Administrative Agent hereby agrees that it will, at Borrower’s sole costs and expense, execute and deliver such other documents as Borrower may reasonably request to evidence any of the foregoing termination and release. The foregoing termination and release in no way reduces, limits, or otherwise alters the terms of the Credit Agreement and the other Loan Documents, All Loan Documents (</w:t>
      </w:r>
      <w:r>
        <w:rPr>
          <w:rFonts w:ascii="Times New Roman" w:cs="Times New Roman" w:eastAsia="Times New Roman" w:hAnsi="Times New Roman"/>
          <w:sz w:val="20"/>
          <w:szCs w:val="20"/>
          <w:i w:val="1"/>
          <w:iCs w:val="1"/>
          <w:color w:val="auto"/>
        </w:rPr>
        <w:t>other than</w:t>
      </w:r>
      <w:r>
        <w:rPr>
          <w:rFonts w:ascii="Times New Roman" w:cs="Times New Roman" w:eastAsia="Times New Roman" w:hAnsi="Times New Roman"/>
          <w:sz w:val="20"/>
          <w:szCs w:val="20"/>
          <w:color w:val="auto"/>
        </w:rPr>
        <w:t xml:space="preserve"> the Prior Share Charge) shall remain in full force and effect (except for the Pledged Equity Release expressly set forth herein) and shall remain enforceable and binding in accordance with their respective terms with respect to the obligations of each Loan Party.</w:t>
      </w:r>
    </w:p>
    <w:p>
      <w:pPr>
        <w:spacing w:after="0" w:line="161" w:lineRule="exact"/>
        <w:rPr>
          <w:sz w:val="20"/>
          <w:szCs w:val="20"/>
          <w:color w:val="auto"/>
        </w:rPr>
      </w:pPr>
    </w:p>
    <w:p>
      <w:pPr>
        <w:ind w:left="1300" w:hanging="644"/>
        <w:spacing w:after="0"/>
        <w:tabs>
          <w:tab w:leader="none" w:pos="130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to Credit Agreement</w:t>
      </w:r>
      <w:r>
        <w:rPr>
          <w:rFonts w:ascii="Times New Roman" w:cs="Times New Roman" w:eastAsia="Times New Roman" w:hAnsi="Times New Roman"/>
          <w:sz w:val="20"/>
          <w:szCs w:val="20"/>
          <w:color w:val="auto"/>
        </w:rPr>
        <w:t>. The Credit Agreement is hereby amended as follows:</w:t>
      </w:r>
    </w:p>
    <w:p>
      <w:pPr>
        <w:spacing w:after="0" w:line="171" w:lineRule="exact"/>
        <w:rPr>
          <w:sz w:val="20"/>
          <w:szCs w:val="20"/>
          <w:color w:val="auto"/>
        </w:rPr>
      </w:pPr>
    </w:p>
    <w:p>
      <w:pPr>
        <w:ind w:left="1300" w:hanging="644"/>
        <w:spacing w:after="0"/>
        <w:tabs>
          <w:tab w:leader="none" w:pos="130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Section 11.01(a)(vi) </w:t>
      </w:r>
      <w:r>
        <w:rPr>
          <w:rFonts w:ascii="Times New Roman" w:cs="Times New Roman" w:eastAsia="Times New Roman" w:hAnsi="Times New Roman"/>
          <w:sz w:val="20"/>
          <w:szCs w:val="20"/>
          <w:color w:val="auto"/>
        </w:rPr>
        <w:t>of the Credit Agreement is hereby deleted in its entirety and replaced as follows:</w:t>
      </w:r>
    </w:p>
    <w:p>
      <w:pPr>
        <w:spacing w:after="0" w:line="202"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20"/>
          <w:szCs w:val="20"/>
          <w:color w:val="auto"/>
        </w:rPr>
        <w:t xml:space="preserve">“(vi) (A) change </w:t>
      </w:r>
      <w:r>
        <w:rPr>
          <w:rFonts w:ascii="Times New Roman" w:cs="Times New Roman" w:eastAsia="Times New Roman" w:hAnsi="Times New Roman"/>
          <w:sz w:val="20"/>
          <w:szCs w:val="20"/>
          <w:b w:val="1"/>
          <w:bCs w:val="1"/>
          <w:i w:val="1"/>
          <w:iCs w:val="1"/>
          <w:color w:val="auto"/>
        </w:rPr>
        <w:t>Section 8.03</w:t>
      </w:r>
      <w:r>
        <w:rPr>
          <w:rFonts w:ascii="Times New Roman" w:cs="Times New Roman" w:eastAsia="Times New Roman" w:hAnsi="Times New Roman"/>
          <w:sz w:val="20"/>
          <w:szCs w:val="20"/>
          <w:color w:val="auto"/>
        </w:rPr>
        <w:t xml:space="preserve"> in a manner that would alter the pro rata sharing of payments required thereby without the written consent of each Lender; or (B) </w:t>
      </w:r>
      <w:r>
        <w:rPr>
          <w:rFonts w:ascii="Times New Roman" w:cs="Times New Roman" w:eastAsia="Times New Roman" w:hAnsi="Times New Roman"/>
          <w:sz w:val="20"/>
          <w:szCs w:val="20"/>
          <w:b w:val="1"/>
          <w:bCs w:val="1"/>
          <w:i w:val="1"/>
          <w:iCs w:val="1"/>
          <w:color w:val="auto"/>
        </w:rPr>
        <w:t>Section 2.12(f)</w:t>
      </w:r>
      <w:r>
        <w:rPr>
          <w:rFonts w:ascii="Times New Roman" w:cs="Times New Roman" w:eastAsia="Times New Roman" w:hAnsi="Times New Roman"/>
          <w:sz w:val="20"/>
          <w:szCs w:val="20"/>
          <w:color w:val="auto"/>
        </w:rPr>
        <w:t xml:space="preserve"> in a manner that would alter the pro rata application required thereby without the written consent of each Lender directly affected thereby; or (C) subordinate, or have the effect of subordinating, the Obligations hereunder to any other Indebtedness or other obligation, without the written consent of each Lender; or (D) subordinate, or have the effect of subordinating, the Liens securing the Obligations hereunder to Liens securing any other Indebtedness or other obligation, without the written consent of each Lender; or (E)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4921-8900-6438 v.3</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89" w:lineRule="exact"/>
        <w:rPr>
          <w:sz w:val="20"/>
          <w:szCs w:val="20"/>
          <w:color w:val="auto"/>
        </w:rPr>
      </w:pPr>
    </w:p>
    <w:p>
      <w:pPr>
        <w:ind w:left="1280"/>
        <w:spacing w:after="0" w:line="283" w:lineRule="auto"/>
        <w:rPr>
          <w:sz w:val="20"/>
          <w:szCs w:val="20"/>
          <w:color w:val="auto"/>
        </w:rPr>
      </w:pPr>
      <w:r>
        <w:rPr>
          <w:rFonts w:ascii="Times New Roman" w:cs="Times New Roman" w:eastAsia="Times New Roman" w:hAnsi="Times New Roman"/>
          <w:sz w:val="20"/>
          <w:szCs w:val="20"/>
          <w:color w:val="auto"/>
        </w:rPr>
        <w:t>release, or have the effect of releasing, all or substantially all of the value of the Guarantees of the Obligations, without the written consent of each Lender;”</w:t>
      </w:r>
    </w:p>
    <w:p>
      <w:pPr>
        <w:spacing w:after="0" w:line="129" w:lineRule="exact"/>
        <w:rPr>
          <w:sz w:val="20"/>
          <w:szCs w:val="20"/>
          <w:color w:val="auto"/>
        </w:rPr>
      </w:pPr>
    </w:p>
    <w:p>
      <w:pPr>
        <w:ind w:left="-20" w:firstLine="656"/>
        <w:spacing w:after="0" w:line="245" w:lineRule="auto"/>
        <w:tabs>
          <w:tab w:leader="none" w:pos="1264"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Schedules 5.20(a)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i w:val="1"/>
          <w:iCs w:val="1"/>
          <w:color w:val="auto"/>
        </w:rPr>
        <w:t xml:space="preserve"> 5.21(b) </w:t>
      </w:r>
      <w:r>
        <w:rPr>
          <w:rFonts w:ascii="Times New Roman" w:cs="Times New Roman" w:eastAsia="Times New Roman" w:hAnsi="Times New Roman"/>
          <w:sz w:val="20"/>
          <w:szCs w:val="20"/>
          <w:color w:val="auto"/>
        </w:rPr>
        <w:t>of the Credit Agreement are hereby deleted in their entirety and replaced with</w:t>
      </w:r>
      <w:r>
        <w:rPr>
          <w:rFonts w:ascii="Times New Roman" w:cs="Times New Roman" w:eastAsia="Times New Roman" w:hAnsi="Times New Roman"/>
          <w:sz w:val="20"/>
          <w:szCs w:val="20"/>
          <w:b w:val="1"/>
          <w:bCs w:val="1"/>
          <w:i w:val="1"/>
          <w:iCs w:val="1"/>
          <w:color w:val="auto"/>
        </w:rPr>
        <w:t xml:space="preserve"> Schedules 5.20(a)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i w:val="1"/>
          <w:iCs w:val="1"/>
          <w:color w:val="auto"/>
        </w:rPr>
        <w:t xml:space="preserve"> 5.21 (b) </w:t>
      </w:r>
      <w:r>
        <w:rPr>
          <w:rFonts w:ascii="Times New Roman" w:cs="Times New Roman" w:eastAsia="Times New Roman" w:hAnsi="Times New Roman"/>
          <w:sz w:val="20"/>
          <w:szCs w:val="20"/>
          <w:color w:val="auto"/>
        </w:rPr>
        <w:t>attached to this Consent.</w:t>
      </w:r>
    </w:p>
    <w:p>
      <w:pPr>
        <w:spacing w:after="0" w:line="155" w:lineRule="exact"/>
        <w:rPr>
          <w:sz w:val="20"/>
          <w:szCs w:val="20"/>
          <w:color w:val="auto"/>
        </w:rPr>
      </w:pPr>
    </w:p>
    <w:p>
      <w:pPr>
        <w:ind w:left="-20" w:right="20" w:firstLine="656"/>
        <w:spacing w:after="0" w:line="233" w:lineRule="auto"/>
        <w:tabs>
          <w:tab w:leader="none" w:pos="1276"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Effectiveness; Conditions Precedent</w:t>
      </w:r>
      <w:r>
        <w:rPr>
          <w:rFonts w:ascii="Times New Roman" w:cs="Times New Roman" w:eastAsia="Times New Roman" w:hAnsi="Times New Roman"/>
          <w:sz w:val="20"/>
          <w:szCs w:val="20"/>
          <w:color w:val="auto"/>
        </w:rPr>
        <w:t>. This Consent shall become effective as of the Effective Date upon the satisfaction of each of the following conditions precedent (in each case, in form and substance satisfactory to the Administrative Agent):</w:t>
      </w:r>
    </w:p>
    <w:p>
      <w:pPr>
        <w:spacing w:after="0" w:line="161" w:lineRule="exact"/>
        <w:rPr>
          <w:sz w:val="20"/>
          <w:szCs w:val="20"/>
          <w:color w:val="auto"/>
        </w:rPr>
      </w:pPr>
    </w:p>
    <w:p>
      <w:pPr>
        <w:ind w:left="-20" w:firstLine="656"/>
        <w:spacing w:after="0" w:line="233" w:lineRule="auto"/>
        <w:tabs>
          <w:tab w:leader="none" w:pos="1266"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Consent</w:t>
      </w:r>
      <w:r>
        <w:rPr>
          <w:rFonts w:ascii="Times New Roman" w:cs="Times New Roman" w:eastAsia="Times New Roman" w:hAnsi="Times New Roman"/>
          <w:sz w:val="20"/>
          <w:szCs w:val="20"/>
          <w:color w:val="auto"/>
        </w:rPr>
        <w:t>. The Administrative Agent’s receipt of a counterpart of this Consent duly executed by each of the Loan Parties, the Administrative Agent and at least the Required Lenders.</w:t>
      </w:r>
    </w:p>
    <w:p>
      <w:pPr>
        <w:spacing w:after="0" w:line="160" w:lineRule="exact"/>
        <w:rPr>
          <w:rFonts w:ascii="Times New Roman" w:cs="Times New Roman" w:eastAsia="Times New Roman" w:hAnsi="Times New Roman"/>
          <w:sz w:val="20"/>
          <w:szCs w:val="20"/>
          <w:color w:val="auto"/>
        </w:rPr>
      </w:pPr>
    </w:p>
    <w:p>
      <w:pPr>
        <w:jc w:val="both"/>
        <w:ind w:left="-20" w:firstLine="656"/>
        <w:spacing w:after="0" w:line="216" w:lineRule="auto"/>
        <w:tabs>
          <w:tab w:leader="none" w:pos="1264"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Share Charge; Share Certificate with Stock Transfer Form; UCC-1 Financing Statement</w:t>
      </w:r>
      <w:r>
        <w:rPr>
          <w:rFonts w:ascii="Times New Roman" w:cs="Times New Roman" w:eastAsia="Times New Roman" w:hAnsi="Times New Roman"/>
          <w:sz w:val="20"/>
          <w:szCs w:val="20"/>
          <w:color w:val="auto"/>
        </w:rPr>
        <w:t>. The Administrative Agent’s receipt of a Share Charge (the “</w:t>
      </w:r>
      <w:r>
        <w:rPr>
          <w:rFonts w:ascii="Times New Roman" w:cs="Times New Roman" w:eastAsia="Times New Roman" w:hAnsi="Times New Roman"/>
          <w:sz w:val="20"/>
          <w:szCs w:val="20"/>
          <w:b w:val="1"/>
          <w:bCs w:val="1"/>
          <w:i w:val="1"/>
          <w:iCs w:val="1"/>
          <w:color w:val="auto"/>
        </w:rPr>
        <w:t>Share Charge</w:t>
      </w:r>
      <w:r>
        <w:rPr>
          <w:rFonts w:ascii="Times New Roman" w:cs="Times New Roman" w:eastAsia="Times New Roman" w:hAnsi="Times New Roman"/>
          <w:sz w:val="20"/>
          <w:szCs w:val="20"/>
          <w:color w:val="auto"/>
        </w:rPr>
        <w:t>”) duly executed by PII in favor of the Administrative Agent for the ratable benefit of Lenders and acknowledged by UK HoldCo pledging 65% of the Equity Interests of UK HoldCo, together with the original of the share certificate evidencing such Equity Interests accompanied by an undated stock transfer form executed in blank by PII and a Uniform Commercial Code UCC-1 Financing Statement naming PII as “Debtor” and Administrative Agent as “Secured Party” as to the foregoing pledged Equity Interests and dividends, distributions, products and proceeds thereof, to be filed with the Secretary of State of the State of Delaware.</w:t>
      </w:r>
    </w:p>
    <w:p>
      <w:pPr>
        <w:spacing w:after="0" w:line="162" w:lineRule="exact"/>
        <w:rPr>
          <w:rFonts w:ascii="Times New Roman" w:cs="Times New Roman" w:eastAsia="Times New Roman" w:hAnsi="Times New Roman"/>
          <w:sz w:val="20"/>
          <w:szCs w:val="20"/>
          <w:color w:val="auto"/>
        </w:rPr>
      </w:pPr>
    </w:p>
    <w:p>
      <w:pPr>
        <w:ind w:left="-20" w:right="20" w:firstLine="656"/>
        <w:spacing w:after="0"/>
        <w:tabs>
          <w:tab w:leader="none" w:pos="1266"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Legal Opinion Letter</w:t>
      </w:r>
      <w:r>
        <w:rPr>
          <w:rFonts w:ascii="Times New Roman" w:cs="Times New Roman" w:eastAsia="Times New Roman" w:hAnsi="Times New Roman"/>
          <w:sz w:val="20"/>
          <w:szCs w:val="20"/>
          <w:color w:val="auto"/>
        </w:rPr>
        <w:t>. The Administrative Agent’s receipt of an opinion letter from Haynes and Boone, LLP, counsel to the Administrative Agent as to the Share Charge and such other usual and customary matters reasonably required by Administrative Agent.</w:t>
      </w:r>
    </w:p>
    <w:p>
      <w:pPr>
        <w:spacing w:after="0" w:line="147" w:lineRule="exact"/>
        <w:rPr>
          <w:rFonts w:ascii="Times New Roman" w:cs="Times New Roman" w:eastAsia="Times New Roman" w:hAnsi="Times New Roman"/>
          <w:sz w:val="20"/>
          <w:szCs w:val="20"/>
          <w:color w:val="auto"/>
        </w:rPr>
      </w:pPr>
    </w:p>
    <w:p>
      <w:pPr>
        <w:jc w:val="both"/>
        <w:ind w:left="-20" w:firstLine="656"/>
        <w:spacing w:after="0" w:line="212" w:lineRule="auto"/>
        <w:tabs>
          <w:tab w:leader="none" w:pos="1264"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Officer’s Certificate – PII</w:t>
      </w:r>
      <w:r>
        <w:rPr>
          <w:rFonts w:ascii="Times New Roman" w:cs="Times New Roman" w:eastAsia="Times New Roman" w:hAnsi="Times New Roman"/>
          <w:sz w:val="20"/>
          <w:szCs w:val="20"/>
          <w:color w:val="auto"/>
        </w:rPr>
        <w:t>. The Administrative Agent’s receipt of a Certificate from a Responsible Officer of PII attaching true, correct and complete copies of: (i) certifying that there has been no change to the Organization Documents of PII since the Closing Date (except as may be detailed in such certificate, and, in the event of any such change(s), such certificate shall attach a copy of such changed Organization Document(s) that is certified, as of a recent date, by the applicable Governmental Authority of PII’s jurisdiction of incorporation or formation (as the case may be)); (ii) attaching and certifying a copy of resolutions (or unanimous written consents) of the board of directors or managers (or equivalent governing body) of PII, authorizing the execution and delivery of the Share Charge and the performance by PII of its obligations thereunder; (iii) certifying as to incumbency with respect to each Responsible Officer of PII executing and delivering the Share Charge and such other and further documents, agreements, stock transfer forms, or certificates and/or instruments executed, or required to be executed, in connection therewith; and (iii) attaching copies of certificates of good standing and existence of PII, certified, as of a recent date, by the applicable Governmental Authority of PII’s jurisdiction of incorporation or formation (as the case may be).</w:t>
      </w:r>
    </w:p>
    <w:p>
      <w:pPr>
        <w:spacing w:after="0" w:line="168" w:lineRule="exact"/>
        <w:rPr>
          <w:rFonts w:ascii="Times New Roman" w:cs="Times New Roman" w:eastAsia="Times New Roman" w:hAnsi="Times New Roman"/>
          <w:sz w:val="20"/>
          <w:szCs w:val="20"/>
          <w:color w:val="auto"/>
        </w:rPr>
      </w:pPr>
    </w:p>
    <w:p>
      <w:pPr>
        <w:jc w:val="both"/>
        <w:ind w:left="-20" w:firstLine="656"/>
        <w:spacing w:after="0" w:line="222" w:lineRule="auto"/>
        <w:tabs>
          <w:tab w:leader="none" w:pos="1266"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Certificate Regarding Corporate Reorganization Transactions</w:t>
      </w:r>
      <w:r>
        <w:rPr>
          <w:rFonts w:ascii="Times New Roman" w:cs="Times New Roman" w:eastAsia="Times New Roman" w:hAnsi="Times New Roman"/>
          <w:sz w:val="20"/>
          <w:szCs w:val="20"/>
          <w:color w:val="auto"/>
        </w:rPr>
        <w:t>. The Administrative Agent’s receipt of a Certificate from a Responsible Officer of Borrower attaching true, correct and complete copies of the final or near-final drafts of the primary and material documents to evidence and memorialize the Corporate Reorganization Transactions (each in form and substance reasonably acceptable to the Administrative Agent).</w:t>
      </w:r>
    </w:p>
    <w:p>
      <w:pPr>
        <w:spacing w:after="0" w:line="148" w:lineRule="exact"/>
        <w:rPr>
          <w:rFonts w:ascii="Times New Roman" w:cs="Times New Roman" w:eastAsia="Times New Roman" w:hAnsi="Times New Roman"/>
          <w:sz w:val="20"/>
          <w:szCs w:val="20"/>
          <w:color w:val="auto"/>
        </w:rPr>
      </w:pPr>
    </w:p>
    <w:p>
      <w:pPr>
        <w:ind w:left="-20" w:firstLine="656"/>
        <w:spacing w:after="0"/>
        <w:tabs>
          <w:tab w:leader="none" w:pos="1271"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Information and Documents</w:t>
      </w:r>
      <w:r>
        <w:rPr>
          <w:rFonts w:ascii="Times New Roman" w:cs="Times New Roman" w:eastAsia="Times New Roman" w:hAnsi="Times New Roman"/>
          <w:sz w:val="20"/>
          <w:szCs w:val="20"/>
          <w:color w:val="auto"/>
        </w:rPr>
        <w:t>. Delivery to the Administrative Agent of such other information and/or documents as the Administrative Agent and/or any Lender may reasonably request or require in connection with this Consent.</w:t>
      </w:r>
    </w:p>
    <w:p>
      <w:pPr>
        <w:spacing w:after="0" w:line="157" w:lineRule="exact"/>
        <w:rPr>
          <w:sz w:val="20"/>
          <w:szCs w:val="20"/>
          <w:color w:val="auto"/>
        </w:rPr>
      </w:pPr>
    </w:p>
    <w:p>
      <w:pPr>
        <w:jc w:val="both"/>
        <w:ind w:left="-20" w:firstLine="656"/>
        <w:spacing w:after="0" w:line="218" w:lineRule="auto"/>
        <w:tabs>
          <w:tab w:leader="none" w:pos="1276"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Post-Closing Covenant</w:t>
      </w:r>
      <w:r>
        <w:rPr>
          <w:rFonts w:ascii="Times New Roman" w:cs="Times New Roman" w:eastAsia="Times New Roman" w:hAnsi="Times New Roman"/>
          <w:sz w:val="20"/>
          <w:szCs w:val="20"/>
          <w:color w:val="auto"/>
        </w:rPr>
        <w:t xml:space="preserve">. Borrower hereby covenants and agrees that by no later than the </w:t>
      </w:r>
      <w:r>
        <w:rPr>
          <w:rFonts w:ascii="Times New Roman" w:cs="Times New Roman" w:eastAsia="Times New Roman" w:hAnsi="Times New Roman"/>
          <w:sz w:val="20"/>
          <w:szCs w:val="20"/>
          <w:i w:val="1"/>
          <w:iCs w:val="1"/>
          <w:color w:val="auto"/>
        </w:rPr>
        <w:t>earlier</w:t>
      </w:r>
      <w:r>
        <w:rPr>
          <w:rFonts w:ascii="Times New Roman" w:cs="Times New Roman" w:eastAsia="Times New Roman" w:hAnsi="Times New Roman"/>
          <w:sz w:val="20"/>
          <w:szCs w:val="20"/>
          <w:color w:val="auto"/>
        </w:rPr>
        <w:t xml:space="preserve"> to occur of (a) ten (10) days after the liquidation and wind down of certain existing Foreign Subsidiaries that Borrower has informed Administrative Agent that in connection with the consummation of the Corporate Reorganization Transactions, Borrower will liquidate or wind down, or cause to be liquidated or wound down on or before December 31, 2025), and (b) December 31, 2025 (or under this </w:t>
      </w:r>
      <w:r>
        <w:rPr>
          <w:rFonts w:ascii="Times New Roman" w:cs="Times New Roman" w:eastAsia="Times New Roman" w:hAnsi="Times New Roman"/>
          <w:sz w:val="20"/>
          <w:szCs w:val="20"/>
          <w:i w:val="1"/>
          <w:iCs w:val="1"/>
          <w:color w:val="auto"/>
        </w:rPr>
        <w:t>clause (b)</w:t>
      </w:r>
      <w:r>
        <w:rPr>
          <w:rFonts w:ascii="Times New Roman" w:cs="Times New Roman" w:eastAsia="Times New Roman" w:hAnsi="Times New Roman"/>
          <w:sz w:val="20"/>
          <w:szCs w:val="20"/>
          <w:color w:val="auto"/>
        </w:rPr>
        <w:t xml:space="preserve"> such other later date as may be agreed to in writing by Administrative Agent), Borrower shall deliver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4921-8900-6438 v.3</w:t>
      </w:r>
    </w:p>
    <w:p>
      <w:pPr>
        <w:sectPr>
          <w:pgSz w:w="11900" w:h="16838" w:orient="portrait"/>
          <w:cols w:equalWidth="0" w:num="1">
            <w:col w:w="11220"/>
          </w:cols>
          <w:pgMar w:left="340" w:top="1440" w:right="339" w:bottom="1440" w:gutter="0" w:footer="0" w:header="0"/>
        </w:sectPr>
      </w:pPr>
    </w:p>
    <w:bookmarkStart w:id="80" w:name="page81"/>
    <w:bookmarkEnd w:id="80"/>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Administrative Agent and Lenders, a Certificate of a Responsible Officer of Borrower attaching true, correct and complete copies of all documents, instruments and filings evidencing and effecting such liquidation and wind down.</w:t>
      </w:r>
    </w:p>
    <w:p>
      <w:pPr>
        <w:spacing w:after="0" w:line="148" w:lineRule="exact"/>
        <w:rPr>
          <w:sz w:val="20"/>
          <w:szCs w:val="20"/>
          <w:color w:val="auto"/>
        </w:rPr>
      </w:pPr>
    </w:p>
    <w:p>
      <w:pPr>
        <w:jc w:val="both"/>
        <w:ind w:firstLine="656"/>
        <w:spacing w:after="0" w:line="210" w:lineRule="auto"/>
        <w:tabs>
          <w:tab w:leader="none" w:pos="1296"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xml:space="preserve">. Borrower and each Guarantor hereby represent and warrant to the Administrative Agent and the Lenders on, and as of, the Effective Date that: (a) it possesses the requisite power and authority to execute and deliver this Consent and to perform its respective obligations under this Consent and the Credit Agreement; (b) this Consent has been duly authorized and approved by the requisite corporate action on the part of Borrower or such Guarantor; (c) no other consent of any Person (other than the Administrative Agent, the L/C Issuer and the Lenders) that has </w:t>
      </w:r>
      <w:r>
        <w:rPr>
          <w:rFonts w:ascii="Times New Roman" w:cs="Times New Roman" w:eastAsia="Times New Roman" w:hAnsi="Times New Roman"/>
          <w:sz w:val="20"/>
          <w:szCs w:val="20"/>
          <w:i w:val="1"/>
          <w:iCs w:val="1"/>
          <w:color w:val="auto"/>
        </w:rPr>
        <w:t>not</w:t>
      </w:r>
      <w:r>
        <w:rPr>
          <w:rFonts w:ascii="Times New Roman" w:cs="Times New Roman" w:eastAsia="Times New Roman" w:hAnsi="Times New Roman"/>
          <w:sz w:val="20"/>
          <w:szCs w:val="20"/>
          <w:color w:val="auto"/>
        </w:rPr>
        <w:t xml:space="preserve"> been obtained is required for this Consent to be effective on the Effective Date in accordance with the terms hereof; (d) the execution and delivery of this Consent does </w:t>
      </w:r>
      <w:r>
        <w:rPr>
          <w:rFonts w:ascii="Times New Roman" w:cs="Times New Roman" w:eastAsia="Times New Roman" w:hAnsi="Times New Roman"/>
          <w:sz w:val="20"/>
          <w:szCs w:val="20"/>
          <w:i w:val="1"/>
          <w:iCs w:val="1"/>
          <w:color w:val="auto"/>
        </w:rPr>
        <w:t>not</w:t>
      </w:r>
      <w:r>
        <w:rPr>
          <w:rFonts w:ascii="Times New Roman" w:cs="Times New Roman" w:eastAsia="Times New Roman" w:hAnsi="Times New Roman"/>
          <w:sz w:val="20"/>
          <w:szCs w:val="20"/>
          <w:color w:val="auto"/>
        </w:rPr>
        <w:t xml:space="preserve"> violate its Organization Documents; (e) the representations and warranties in each Loan Document to which it is a party are true and correct in all material respects on and as of the Effective Date as though made on the Effective Date (except to the extent that such representations and warranties speak to a specific date, in which case such representation or warranty shall be true and correct in all material respects as of such specific date); (f) it is in compliance with all covenants and agreements contained in each Loan Document to which it is a party; (g) no Default or Event of Default has occurred and is continuing or would result from either its execution and delivery of this Consent on the Effective Date or the performance of its respective obligations under this Consent and/or the Credit Agreement; (h) each Loan Document to which it is a party remains in full force and effect and is the legal, valid, and binding obligation of Borrower or such Guarantor, enforceable against Borrower or such Guarantor in accordance with its respective terms, subject to applicable bankruptcy, insolvency or similar laws affecting creditors’ rights generally and to general principles of equity and principles of good faith and fair dealing; and (i) as of the Effective Date, the information included in any Beneficial Ownership Certification, if applicable, is true and correct in all respects.</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Full Force and Effect; Reaffirmation</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656"/>
        <w:spacing w:after="0" w:line="222" w:lineRule="auto"/>
        <w:tabs>
          <w:tab w:leader="none" w:pos="1286"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of the terms, provisions and conditions of the Loan Documents (including in any Schedules and/or Exhibits thereto) are unchanged and shall remain and continue in full force and effect according to their respective terms. However, in the event of any inconsistency between the terms of the Credit Agreement and the terms of any other Loan Document, the terms of the Credit Agreement shall control and the terms of such other Loan Document shall be deemed to be amended to conform to the terms of the Credit Agreement.</w:t>
      </w:r>
    </w:p>
    <w:p>
      <w:pPr>
        <w:spacing w:after="0" w:line="161" w:lineRule="exact"/>
        <w:rPr>
          <w:rFonts w:ascii="Times New Roman" w:cs="Times New Roman" w:eastAsia="Times New Roman" w:hAnsi="Times New Roman"/>
          <w:sz w:val="20"/>
          <w:szCs w:val="20"/>
          <w:color w:val="auto"/>
        </w:rPr>
      </w:pPr>
    </w:p>
    <w:p>
      <w:pPr>
        <w:jc w:val="both"/>
        <w:ind w:firstLine="656"/>
        <w:spacing w:after="0" w:line="215" w:lineRule="auto"/>
        <w:tabs>
          <w:tab w:leader="none" w:pos="1284"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Loan Party: (i) (A) acknowledges and consents to all of the terms and conditions of this Consent, (B) affirms all of its respective obligations under each of the Loan Documents, and (C) agrees that this Consent, and all documents, agreements, letters, certificates and/or instruments executed in connection with this Consent, do </w:t>
      </w:r>
      <w:r>
        <w:rPr>
          <w:rFonts w:ascii="Times New Roman" w:cs="Times New Roman" w:eastAsia="Times New Roman" w:hAnsi="Times New Roman"/>
          <w:sz w:val="20"/>
          <w:szCs w:val="20"/>
          <w:i w:val="1"/>
          <w:iCs w:val="1"/>
          <w:color w:val="auto"/>
        </w:rPr>
        <w:t>not</w:t>
      </w:r>
      <w:r>
        <w:rPr>
          <w:rFonts w:ascii="Times New Roman" w:cs="Times New Roman" w:eastAsia="Times New Roman" w:hAnsi="Times New Roman"/>
          <w:sz w:val="20"/>
          <w:szCs w:val="20"/>
          <w:color w:val="auto"/>
        </w:rPr>
        <w:t xml:space="preserve"> operate to reduce or discharge any Loan Party’s obligations under any of the Loan Documents to which it is a party; and (ii) (A) affirms that each of the Liens granted in, or pursuant to, the Loan Documents is valid and subsisting, and (B) agrees that this Consent, and all documents, agreements, certificates and/or instruments executed in connection with this Consent, do </w:t>
      </w:r>
      <w:r>
        <w:rPr>
          <w:rFonts w:ascii="Times New Roman" w:cs="Times New Roman" w:eastAsia="Times New Roman" w:hAnsi="Times New Roman"/>
          <w:sz w:val="20"/>
          <w:szCs w:val="20"/>
          <w:i w:val="1"/>
          <w:iCs w:val="1"/>
          <w:color w:val="auto"/>
        </w:rPr>
        <w:t>not</w:t>
      </w:r>
      <w:r>
        <w:rPr>
          <w:rFonts w:ascii="Times New Roman" w:cs="Times New Roman" w:eastAsia="Times New Roman" w:hAnsi="Times New Roman"/>
          <w:sz w:val="20"/>
          <w:szCs w:val="20"/>
          <w:color w:val="auto"/>
        </w:rPr>
        <w:t>, in any manner, impair, or otherwise adversely affect, any of the Liens granted in, or pursuant to, any of the Loan Documents.</w:t>
      </w:r>
    </w:p>
    <w:p>
      <w:pPr>
        <w:spacing w:after="0" w:line="164" w:lineRule="exact"/>
        <w:rPr>
          <w:sz w:val="20"/>
          <w:szCs w:val="20"/>
          <w:color w:val="auto"/>
        </w:rPr>
      </w:pPr>
    </w:p>
    <w:p>
      <w:pPr>
        <w:ind w:left="1300" w:hanging="644"/>
        <w:spacing w:after="0"/>
        <w:tabs>
          <w:tab w:leader="none" w:pos="13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656"/>
        <w:spacing w:after="0" w:line="220" w:lineRule="auto"/>
        <w:tabs>
          <w:tab w:leader="none" w:pos="1286"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Loan Document; Reference of Terms</w:t>
      </w:r>
      <w:r>
        <w:rPr>
          <w:rFonts w:ascii="Times New Roman" w:cs="Times New Roman" w:eastAsia="Times New Roman" w:hAnsi="Times New Roman"/>
          <w:sz w:val="20"/>
          <w:szCs w:val="20"/>
          <w:color w:val="auto"/>
        </w:rPr>
        <w:t>. This Consent is hereby deemed to be, and shall be, a Loan Document, and all references to a “</w:t>
      </w:r>
      <w:r>
        <w:rPr>
          <w:rFonts w:ascii="Times New Roman" w:cs="Times New Roman" w:eastAsia="Times New Roman" w:hAnsi="Times New Roman"/>
          <w:sz w:val="20"/>
          <w:szCs w:val="20"/>
          <w:i w:val="1"/>
          <w:iCs w:val="1"/>
          <w:color w:val="auto"/>
        </w:rPr>
        <w:t>Loan Document</w:t>
      </w:r>
      <w:r>
        <w:rPr>
          <w:rFonts w:ascii="Times New Roman" w:cs="Times New Roman" w:eastAsia="Times New Roman" w:hAnsi="Times New Roman"/>
          <w:sz w:val="20"/>
          <w:szCs w:val="20"/>
          <w:color w:val="auto"/>
        </w:rPr>
        <w:t>” or the “</w:t>
      </w:r>
      <w:r>
        <w:rPr>
          <w:rFonts w:ascii="Times New Roman" w:cs="Times New Roman" w:eastAsia="Times New Roman" w:hAnsi="Times New Roman"/>
          <w:sz w:val="20"/>
          <w:szCs w:val="20"/>
          <w:i w:val="1"/>
          <w:iCs w:val="1"/>
          <w:color w:val="auto"/>
        </w:rPr>
        <w:t>Loan Documents</w:t>
      </w:r>
      <w:r>
        <w:rPr>
          <w:rFonts w:ascii="Times New Roman" w:cs="Times New Roman" w:eastAsia="Times New Roman" w:hAnsi="Times New Roman"/>
          <w:sz w:val="20"/>
          <w:szCs w:val="20"/>
          <w:color w:val="auto"/>
        </w:rPr>
        <w:t>” in the Credit Agreement, in any other Loan Document, or in any other document, agreement, letter, certificate and/or instrument executed and delivered pursuant to the terms hereof or thereof, whether executed on, prior to or after the Effective Date (including, without limitation, all such references in the representations and warranties of the Loan Parties set forth in the Credit Agreement and the other Loan Documents), shall be deemed to include, and shall include, this Consent.</w:t>
      </w:r>
    </w:p>
    <w:p>
      <w:pPr>
        <w:spacing w:after="0" w:line="160" w:lineRule="exact"/>
        <w:rPr>
          <w:rFonts w:ascii="Times New Roman" w:cs="Times New Roman" w:eastAsia="Times New Roman" w:hAnsi="Times New Roman"/>
          <w:sz w:val="20"/>
          <w:szCs w:val="20"/>
          <w:color w:val="auto"/>
        </w:rPr>
      </w:pPr>
    </w:p>
    <w:p>
      <w:pPr>
        <w:ind w:firstLine="656"/>
        <w:spacing w:after="0" w:line="233" w:lineRule="auto"/>
        <w:tabs>
          <w:tab w:leader="none" w:pos="1284"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Binding Effect</w:t>
      </w:r>
      <w:r>
        <w:rPr>
          <w:rFonts w:ascii="Times New Roman" w:cs="Times New Roman" w:eastAsia="Times New Roman" w:hAnsi="Times New Roman"/>
          <w:sz w:val="20"/>
          <w:szCs w:val="20"/>
          <w:color w:val="auto"/>
        </w:rPr>
        <w:t>. This Consent shall be binding upon, and inure to the benefit of, each of the undersigned and their respective successors and permitted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4921-8900-6438 v.3</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72" w:lineRule="exact"/>
        <w:rPr>
          <w:sz w:val="20"/>
          <w:szCs w:val="20"/>
          <w:color w:val="auto"/>
        </w:rPr>
      </w:pPr>
    </w:p>
    <w:p>
      <w:pPr>
        <w:jc w:val="both"/>
        <w:ind w:firstLine="656"/>
        <w:spacing w:after="0" w:line="223" w:lineRule="auto"/>
        <w:tabs>
          <w:tab w:leader="none" w:pos="1286"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Waiver of Defaults</w:t>
      </w:r>
      <w:r>
        <w:rPr>
          <w:rFonts w:ascii="Times New Roman" w:cs="Times New Roman" w:eastAsia="Times New Roman" w:hAnsi="Times New Roman"/>
          <w:sz w:val="20"/>
          <w:szCs w:val="20"/>
          <w:color w:val="auto"/>
        </w:rPr>
        <w:t xml:space="preserve">. Except as expressly set out in </w:t>
      </w:r>
      <w:r>
        <w:rPr>
          <w:rFonts w:ascii="Times New Roman" w:cs="Times New Roman" w:eastAsia="Times New Roman" w:hAnsi="Times New Roman"/>
          <w:sz w:val="20"/>
          <w:szCs w:val="20"/>
          <w:b w:val="1"/>
          <w:bCs w:val="1"/>
          <w:i w:val="1"/>
          <w:iCs w:val="1"/>
          <w:color w:val="auto"/>
        </w:rPr>
        <w:t>Section 2</w:t>
      </w:r>
      <w:r>
        <w:rPr>
          <w:rFonts w:ascii="Times New Roman" w:cs="Times New Roman" w:eastAsia="Times New Roman" w:hAnsi="Times New Roman"/>
          <w:sz w:val="20"/>
          <w:szCs w:val="20"/>
          <w:color w:val="auto"/>
        </w:rPr>
        <w:t xml:space="preserve"> above, this Consent does </w:t>
      </w:r>
      <w:r>
        <w:rPr>
          <w:rFonts w:ascii="Times New Roman" w:cs="Times New Roman" w:eastAsia="Times New Roman" w:hAnsi="Times New Roman"/>
          <w:sz w:val="20"/>
          <w:szCs w:val="20"/>
          <w:i w:val="1"/>
          <w:iCs w:val="1"/>
          <w:color w:val="auto"/>
        </w:rPr>
        <w:t>not</w:t>
      </w:r>
      <w:r>
        <w:rPr>
          <w:rFonts w:ascii="Times New Roman" w:cs="Times New Roman" w:eastAsia="Times New Roman" w:hAnsi="Times New Roman"/>
          <w:sz w:val="20"/>
          <w:szCs w:val="20"/>
          <w:color w:val="auto"/>
        </w:rPr>
        <w:t xml:space="preserve"> constitute a waiver of, or a consent to, any present or future violation of, or default under, any provision of any of the Loan Documents, or a waiver of the Administrative Agent’s, the L/C Issuer’s or any Lender’s right to insist upon future compliance with each and every term, covenant, condition and provision of each of the Loan Documents.</w:t>
      </w:r>
    </w:p>
    <w:p>
      <w:pPr>
        <w:spacing w:after="0" w:line="161" w:lineRule="exact"/>
        <w:rPr>
          <w:rFonts w:ascii="Times New Roman" w:cs="Times New Roman" w:eastAsia="Times New Roman" w:hAnsi="Times New Roman"/>
          <w:sz w:val="20"/>
          <w:szCs w:val="20"/>
          <w:color w:val="auto"/>
        </w:rPr>
      </w:pPr>
    </w:p>
    <w:p>
      <w:pPr>
        <w:ind w:firstLine="656"/>
        <w:spacing w:after="0" w:line="233" w:lineRule="auto"/>
        <w:tabs>
          <w:tab w:leader="none" w:pos="1284"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Form</w:t>
      </w:r>
      <w:r>
        <w:rPr>
          <w:rFonts w:ascii="Times New Roman" w:cs="Times New Roman" w:eastAsia="Times New Roman" w:hAnsi="Times New Roman"/>
          <w:sz w:val="20"/>
          <w:szCs w:val="20"/>
          <w:color w:val="auto"/>
        </w:rPr>
        <w:t>. Each agreement, document, certificate, instrument or other writing to be furnished to the Administrative Agent or any Lender under any provision of this Consent must be in form and substance reasonably satisfactory to the Administrative Agent.</w:t>
      </w:r>
    </w:p>
    <w:p>
      <w:pPr>
        <w:spacing w:after="0" w:line="156" w:lineRule="exact"/>
        <w:rPr>
          <w:rFonts w:ascii="Times New Roman" w:cs="Times New Roman" w:eastAsia="Times New Roman" w:hAnsi="Times New Roman"/>
          <w:sz w:val="20"/>
          <w:szCs w:val="20"/>
          <w:color w:val="auto"/>
        </w:rPr>
      </w:pPr>
    </w:p>
    <w:p>
      <w:pPr>
        <w:ind w:firstLine="656"/>
        <w:spacing w:after="0" w:line="245" w:lineRule="auto"/>
        <w:tabs>
          <w:tab w:leader="none" w:pos="1286"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xml:space="preserve">. The headings and captions used in this Consent are for convenience only and will </w:t>
      </w:r>
      <w:r>
        <w:rPr>
          <w:rFonts w:ascii="Times New Roman" w:cs="Times New Roman" w:eastAsia="Times New Roman" w:hAnsi="Times New Roman"/>
          <w:sz w:val="20"/>
          <w:szCs w:val="20"/>
          <w:i w:val="1"/>
          <w:iCs w:val="1"/>
          <w:color w:val="auto"/>
        </w:rPr>
        <w:t>not</w:t>
      </w:r>
      <w:r>
        <w:rPr>
          <w:rFonts w:ascii="Times New Roman" w:cs="Times New Roman" w:eastAsia="Times New Roman" w:hAnsi="Times New Roman"/>
          <w:sz w:val="20"/>
          <w:szCs w:val="20"/>
          <w:color w:val="auto"/>
        </w:rPr>
        <w:t xml:space="preserve"> be deemed to limit, amplify or modify the terms of this Consent, the Credit Agreement or any of the other Loan Documents.</w:t>
      </w:r>
    </w:p>
    <w:p>
      <w:pPr>
        <w:spacing w:after="0" w:line="141" w:lineRule="exact"/>
        <w:rPr>
          <w:rFonts w:ascii="Times New Roman" w:cs="Times New Roman" w:eastAsia="Times New Roman" w:hAnsi="Times New Roman"/>
          <w:sz w:val="20"/>
          <w:szCs w:val="20"/>
          <w:color w:val="auto"/>
        </w:rPr>
      </w:pPr>
    </w:p>
    <w:p>
      <w:pPr>
        <w:jc w:val="both"/>
        <w:ind w:firstLine="656"/>
        <w:spacing w:after="0" w:line="230" w:lineRule="auto"/>
        <w:tabs>
          <w:tab w:leader="none" w:pos="1291"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Costs, Expenses and Attorneys’ Fees</w:t>
      </w:r>
      <w:r>
        <w:rPr>
          <w:rFonts w:ascii="Times New Roman" w:cs="Times New Roman" w:eastAsia="Times New Roman" w:hAnsi="Times New Roman"/>
          <w:sz w:val="20"/>
          <w:szCs w:val="20"/>
          <w:color w:val="auto"/>
        </w:rPr>
        <w:t>. Borrower agrees to pay or reimburse the Administrative Agent on demand for all its reasonable out-of-pocket costs and expenses incurred in connection with the preparation, negotiation, and execution of this Consent, including, without limitation, the reasonable fees and disbursements of the Administrative Agent’s counsel.</w:t>
      </w:r>
    </w:p>
    <w:p>
      <w:pPr>
        <w:spacing w:after="0" w:line="148" w:lineRule="exact"/>
        <w:rPr>
          <w:rFonts w:ascii="Times New Roman" w:cs="Times New Roman" w:eastAsia="Times New Roman" w:hAnsi="Times New Roman"/>
          <w:sz w:val="20"/>
          <w:szCs w:val="20"/>
          <w:color w:val="auto"/>
        </w:rPr>
      </w:pPr>
    </w:p>
    <w:p>
      <w:pPr>
        <w:jc w:val="both"/>
        <w:ind w:firstLine="656"/>
        <w:spacing w:after="0" w:line="212" w:lineRule="auto"/>
        <w:tabs>
          <w:tab w:leader="none" w:pos="1284"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Multiple Counterparts; Electronic Signatures</w:t>
      </w:r>
      <w:r>
        <w:rPr>
          <w:rFonts w:ascii="Times New Roman" w:cs="Times New Roman" w:eastAsia="Times New Roman" w:hAnsi="Times New Roman"/>
          <w:sz w:val="20"/>
          <w:szCs w:val="20"/>
          <w:color w:val="auto"/>
        </w:rPr>
        <w:t>. This Consent and any document, amendment, approval, consent, information, notice, certificate, request, statement, disclosure or authorization related to this Consent (each, a “</w:t>
      </w:r>
      <w:r>
        <w:rPr>
          <w:rFonts w:ascii="Times New Roman" w:cs="Times New Roman" w:eastAsia="Times New Roman" w:hAnsi="Times New Roman"/>
          <w:sz w:val="20"/>
          <w:szCs w:val="20"/>
          <w:b w:val="1"/>
          <w:bCs w:val="1"/>
          <w:i w:val="1"/>
          <w:iCs w:val="1"/>
          <w:color w:val="auto"/>
        </w:rPr>
        <w:t>Communication</w:t>
      </w:r>
      <w:r>
        <w:rPr>
          <w:rFonts w:ascii="Times New Roman" w:cs="Times New Roman" w:eastAsia="Times New Roman" w:hAnsi="Times New Roman"/>
          <w:sz w:val="20"/>
          <w:szCs w:val="20"/>
          <w:color w:val="auto"/>
        </w:rPr>
        <w:t>”), including Communications required to be in writing, may be in the form of an Electronic Record and may be executed using Electronic Signatures (including, without limitation, facsimile and in “.pdf” format) and shall be considered an original, and shall have the same legal effect, validity and enforceability as a paper record. This Consent may be executed in as many counterparts as necessary or convenient, including both paper and electronic counterparts, but all such counterparts are one and the same instrument. For the avoidance of doubt, the authorization under this paragraph may include, without limitation, use or acceptance by the Administrative Agent of a manually signed paper Communication that has been converted into electronic form (such as scanned into “.pdf” format), or an electronically signed Communication converted into another format, for transmission, delivery and/or retention. For purposes hereof, “</w:t>
      </w:r>
      <w:r>
        <w:rPr>
          <w:rFonts w:ascii="Times New Roman" w:cs="Times New Roman" w:eastAsia="Times New Roman" w:hAnsi="Times New Roman"/>
          <w:sz w:val="20"/>
          <w:szCs w:val="20"/>
          <w:b w:val="1"/>
          <w:bCs w:val="1"/>
          <w:i w:val="1"/>
          <w:iCs w:val="1"/>
          <w:color w:val="auto"/>
        </w:rPr>
        <w:t>Electronic Record</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Electronic Signature</w:t>
      </w:r>
      <w:r>
        <w:rPr>
          <w:rFonts w:ascii="Times New Roman" w:cs="Times New Roman" w:eastAsia="Times New Roman" w:hAnsi="Times New Roman"/>
          <w:sz w:val="20"/>
          <w:szCs w:val="20"/>
          <w:color w:val="auto"/>
        </w:rPr>
        <w:t>” shall have the meanings assigned to them, respectively, by 15 USC §7006, as it may be amended from time to time.</w:t>
      </w:r>
    </w:p>
    <w:p>
      <w:pPr>
        <w:spacing w:after="0" w:line="169"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4"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CONSENT AND ANY CLAIMS, CONTROVERSY, DISPUTE OR CAUSE OF ACTION (WHETHER IN CONTRACT OR TORT OR OTHERWISE) BASED UPON, ARISING OUT OF OR RELATING TO THIS CONSENT, AND THE TRANSACTIONS CONTEMPLATED HEREBY, SHALL BE GOVERNED BY, AND CONSTRUED IN ACCORDANCE WITH, THE LAW OF THE STATE OF TEXAS.</w:t>
      </w:r>
    </w:p>
    <w:p>
      <w:pPr>
        <w:spacing w:after="0" w:line="144" w:lineRule="exact"/>
        <w:rPr>
          <w:sz w:val="20"/>
          <w:szCs w:val="20"/>
          <w:color w:val="auto"/>
        </w:rPr>
      </w:pPr>
    </w:p>
    <w:p>
      <w:pPr>
        <w:jc w:val="both"/>
        <w:ind w:firstLine="656"/>
        <w:spacing w:after="0" w:line="232" w:lineRule="auto"/>
        <w:tabs>
          <w:tab w:leader="none" w:pos="1296"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This Consent and the other Loan Documents represent the final agreement among Borrower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Guarantors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the Lenders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the L</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C Issuer and the Administrative Agent and may </w:t>
      </w:r>
      <w:r>
        <w:rPr>
          <w:rFonts w:ascii="Times New Roman" w:cs="Times New Roman" w:eastAsia="Times New Roman" w:hAnsi="Times New Roman"/>
          <w:sz w:val="20"/>
          <w:szCs w:val="20"/>
          <w:b w:val="1"/>
          <w:bCs w:val="1"/>
          <w:i w:val="1"/>
          <w:iCs w:val="1"/>
          <w:color w:val="auto"/>
        </w:rPr>
        <w:t>not</w:t>
      </w:r>
      <w:r>
        <w:rPr>
          <w:rFonts w:ascii="Times New Roman" w:cs="Times New Roman" w:eastAsia="Times New Roman" w:hAnsi="Times New Roman"/>
          <w:sz w:val="20"/>
          <w:szCs w:val="20"/>
          <w:b w:val="1"/>
          <w:bCs w:val="1"/>
          <w:color w:val="auto"/>
        </w:rPr>
        <w:t xml:space="preserve"> be contradicted by evidence of prior</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contemporaneous or subsequent oral agreements by the parties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there are no unwritten oral agreements among the parties</w:t>
      </w:r>
      <w:r>
        <w:rPr>
          <w:rFonts w:ascii="Times New Roman" w:cs="Times New Roman" w:eastAsia="Times New Roman" w:hAnsi="Times New Roman"/>
          <w:sz w:val="20"/>
          <w:szCs w:val="20"/>
          <w:color w:val="auto"/>
        </w:rPr>
        <w: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Left Blank; Signature Pages Follow</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4921-8900-6438 v.3</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89"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each of the parties hereto have caused a counterpart of this Consent to be duly executed and delivered by its below respective duly authorized officer as of the Effective Date.</w:t>
      </w:r>
    </w:p>
    <w:p>
      <w:pPr>
        <w:spacing w:after="0" w:line="142"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0"/>
          <w:szCs w:val="20"/>
          <w:color w:val="auto"/>
        </w:rPr>
        <w:t>BORROWER:</w:t>
      </w:r>
      <w:r>
        <w:rPr>
          <w:sz w:val="20"/>
          <w:szCs w:val="20"/>
          <w:color w:val="auto"/>
        </w:rPr>
        <w:tab/>
      </w:r>
      <w:r>
        <w:rPr>
          <w:rFonts w:ascii="Times New Roman" w:cs="Times New Roman" w:eastAsia="Times New Roman" w:hAnsi="Times New Roman"/>
          <w:sz w:val="19"/>
          <w:szCs w:val="19"/>
          <w:b w:val="1"/>
          <w:bCs w:val="1"/>
          <w:color w:val="auto"/>
        </w:rPr>
        <w:t>POWELL INDUSTRIES, INC.</w:t>
      </w:r>
      <w:r>
        <w:rPr>
          <w:rFonts w:ascii="Times New Roman" w:cs="Times New Roman" w:eastAsia="Times New Roman" w:hAnsi="Times New Roman"/>
          <w:sz w:val="19"/>
          <w:szCs w:val="19"/>
          <w:color w:val="auto"/>
        </w:rPr>
        <w:t>,</w:t>
      </w:r>
    </w:p>
    <w:p>
      <w:pPr>
        <w:spacing w:after="0" w:line="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200" w:lineRule="exact"/>
        <w:rPr>
          <w:sz w:val="20"/>
          <w:szCs w:val="20"/>
          <w:color w:val="auto"/>
        </w:rPr>
      </w:pPr>
    </w:p>
    <w:p>
      <w:pPr>
        <w:spacing w:after="0" w:line="2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Michael W. Metcalf</w:t>
      </w:r>
    </w:p>
    <w:p>
      <w:pPr>
        <w:spacing w:after="0" w:line="28" w:lineRule="exact"/>
        <w:rPr>
          <w:sz w:val="20"/>
          <w:szCs w:val="20"/>
          <w:color w:val="auto"/>
        </w:rPr>
      </w:pPr>
    </w:p>
    <w:p>
      <w:pPr>
        <w:ind w:left="200"/>
        <w:spacing w:after="0"/>
        <w:tabs>
          <w:tab w:leader="none" w:pos="9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Michael W. Metcalf</w:t>
      </w:r>
    </w:p>
    <w:p>
      <w:pPr>
        <w:spacing w:after="0" w:line="13" w:lineRule="exact"/>
        <w:rPr>
          <w:sz w:val="20"/>
          <w:szCs w:val="20"/>
          <w:color w:val="auto"/>
        </w:rPr>
      </w:pPr>
    </w:p>
    <w:p>
      <w:pPr>
        <w:ind w:left="200"/>
        <w:spacing w:after="0"/>
        <w:tabs>
          <w:tab w:leader="none" w:pos="8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Executive Vice President</w:t>
      </w:r>
    </w:p>
    <w:p>
      <w:pPr>
        <w:spacing w:after="0" w:line="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and Chief Financial Officer</w:t>
      </w:r>
    </w:p>
    <w:p>
      <w:pPr>
        <w:spacing w:after="0" w:line="203"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20"/>
          <w:szCs w:val="20"/>
          <w:color w:val="auto"/>
        </w:rPr>
        <w:t>GUARANTORS:</w:t>
      </w:r>
      <w:r>
        <w:rPr>
          <w:sz w:val="20"/>
          <w:szCs w:val="20"/>
          <w:color w:val="auto"/>
        </w:rPr>
        <w:tab/>
      </w:r>
      <w:r>
        <w:rPr>
          <w:rFonts w:ascii="Times New Roman" w:cs="Times New Roman" w:eastAsia="Times New Roman" w:hAnsi="Times New Roman"/>
          <w:sz w:val="19"/>
          <w:szCs w:val="19"/>
          <w:b w:val="1"/>
          <w:bCs w:val="1"/>
          <w:color w:val="auto"/>
        </w:rPr>
        <w:t>POWELL ELECTRICAL SYSTEMS, INC.</w:t>
      </w:r>
      <w:r>
        <w:rPr>
          <w:rFonts w:ascii="Times New Roman" w:cs="Times New Roman" w:eastAsia="Times New Roman" w:hAnsi="Times New Roman"/>
          <w:sz w:val="19"/>
          <w:szCs w:val="19"/>
          <w:color w:val="auto"/>
        </w:rPr>
        <w:t>,</w:t>
      </w:r>
    </w:p>
    <w:p>
      <w:pPr>
        <w:spacing w:after="0" w:line="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200" w:lineRule="exact"/>
        <w:rPr>
          <w:sz w:val="20"/>
          <w:szCs w:val="20"/>
          <w:color w:val="auto"/>
        </w:rPr>
      </w:pPr>
    </w:p>
    <w:p>
      <w:pPr>
        <w:spacing w:after="0" w:line="2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Michael W. Metcalf</w:t>
      </w:r>
    </w:p>
    <w:p>
      <w:pPr>
        <w:spacing w:after="0" w:line="28" w:lineRule="exact"/>
        <w:rPr>
          <w:sz w:val="20"/>
          <w:szCs w:val="20"/>
          <w:color w:val="auto"/>
        </w:rPr>
      </w:pPr>
    </w:p>
    <w:p>
      <w:pPr>
        <w:ind w:left="200"/>
        <w:spacing w:after="0"/>
        <w:tabs>
          <w:tab w:leader="none" w:pos="9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Michael W. Metcalf</w:t>
      </w:r>
    </w:p>
    <w:p>
      <w:pPr>
        <w:spacing w:after="0" w:line="6" w:lineRule="exact"/>
        <w:rPr>
          <w:sz w:val="20"/>
          <w:szCs w:val="20"/>
          <w:color w:val="auto"/>
        </w:rPr>
      </w:pPr>
    </w:p>
    <w:p>
      <w:pPr>
        <w:ind w:left="200"/>
        <w:spacing w:after="0"/>
        <w:tabs>
          <w:tab w:leader="none" w:pos="8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Executive Vice President</w:t>
      </w:r>
    </w:p>
    <w:p>
      <w:pPr>
        <w:spacing w:after="0" w:line="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and Chief Financial Officer</w:t>
      </w:r>
    </w:p>
    <w:p>
      <w:pPr>
        <w:spacing w:after="0" w:line="1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POWELL INDUSTRIES INTERNATIONAL, INC.</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200" w:lineRule="exact"/>
        <w:rPr>
          <w:sz w:val="20"/>
          <w:szCs w:val="20"/>
          <w:color w:val="auto"/>
        </w:rPr>
      </w:pPr>
    </w:p>
    <w:p>
      <w:pPr>
        <w:spacing w:after="0" w:line="2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Michael W. Metcalf</w:t>
      </w:r>
    </w:p>
    <w:p>
      <w:pPr>
        <w:spacing w:after="0" w:line="22" w:lineRule="exact"/>
        <w:rPr>
          <w:sz w:val="20"/>
          <w:szCs w:val="20"/>
          <w:color w:val="auto"/>
        </w:rPr>
      </w:pPr>
    </w:p>
    <w:p>
      <w:pPr>
        <w:ind w:left="200"/>
        <w:spacing w:after="0"/>
        <w:tabs>
          <w:tab w:leader="none" w:pos="9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Michael W. Metcalf</w:t>
      </w:r>
    </w:p>
    <w:p>
      <w:pPr>
        <w:spacing w:after="0" w:line="6" w:lineRule="exact"/>
        <w:rPr>
          <w:sz w:val="20"/>
          <w:szCs w:val="20"/>
          <w:color w:val="auto"/>
        </w:rPr>
      </w:pPr>
    </w:p>
    <w:p>
      <w:pPr>
        <w:ind w:left="200"/>
        <w:spacing w:after="0"/>
        <w:tabs>
          <w:tab w:leader="none" w:pos="8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Executive Vice President</w:t>
      </w:r>
    </w:p>
    <w:p>
      <w:pPr>
        <w:spacing w:after="0" w:line="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and Chief Financial Officer</w:t>
      </w:r>
    </w:p>
    <w:p>
      <w:pPr>
        <w:spacing w:after="0" w:line="203"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Pages Continue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4921-8900-6438 v.3</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85" w:lineRule="exact"/>
        <w:rPr>
          <w:sz w:val="20"/>
          <w:szCs w:val="20"/>
          <w:color w:val="auto"/>
        </w:rPr>
      </w:pPr>
    </w:p>
    <w:p>
      <w:pPr>
        <w:ind w:left="200" w:right="5059" w:hanging="197"/>
        <w:spacing w:after="0" w:line="263" w:lineRule="auto"/>
        <w:rPr>
          <w:sz w:val="20"/>
          <w:szCs w:val="20"/>
          <w:color w:val="auto"/>
        </w:rPr>
      </w:pPr>
      <w:r>
        <w:rPr>
          <w:rFonts w:ascii="Times New Roman" w:cs="Times New Roman" w:eastAsia="Times New Roman" w:hAnsi="Times New Roman"/>
          <w:sz w:val="20"/>
          <w:szCs w:val="20"/>
          <w:color w:val="auto"/>
        </w:rPr>
        <w:t>ADMINISTRATIVE AGENT:</w:t>
      </w:r>
      <w:r>
        <w:rPr>
          <w:sz w:val="20"/>
          <w:szCs w:val="20"/>
          <w:color w:val="auto"/>
        </w:rPr>
        <w:t xml:space="preserve"> </w:t>
      </w:r>
      <w:r>
        <w:rPr>
          <w:rFonts w:ascii="Times New Roman" w:cs="Times New Roman" w:eastAsia="Times New Roman" w:hAnsi="Times New Roman"/>
          <w:sz w:val="20"/>
          <w:szCs w:val="20"/>
          <w:b w:val="1"/>
          <w:bCs w:val="1"/>
          <w:color w:val="auto"/>
        </w:rPr>
        <w:t>BANK OF AMERICA, N.A.</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Melanie Brichant</w:t>
      </w:r>
    </w:p>
    <w:p>
      <w:pPr>
        <w:spacing w:after="0" w:line="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Melanie Brichant</w:t>
      </w:r>
    </w:p>
    <w:p>
      <w:pPr>
        <w:spacing w:after="0" w:line="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Assistant Vice President</w:t>
      </w:r>
    </w:p>
    <w:p>
      <w:pPr>
        <w:spacing w:after="0" w:line="200" w:lineRule="exact"/>
        <w:rPr>
          <w:sz w:val="20"/>
          <w:szCs w:val="20"/>
          <w:color w:val="auto"/>
        </w:rPr>
      </w:pPr>
    </w:p>
    <w:p>
      <w:pPr>
        <w:spacing w:after="0" w:line="246" w:lineRule="exact"/>
        <w:rPr>
          <w:sz w:val="20"/>
          <w:szCs w:val="20"/>
          <w:color w:val="auto"/>
        </w:rPr>
      </w:pPr>
    </w:p>
    <w:p>
      <w:pPr>
        <w:jc w:val="right"/>
        <w:ind w:right="503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Pages Continue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4921-8900-6438 v.3</w:t>
      </w:r>
    </w:p>
    <w:p>
      <w:pPr>
        <w:sectPr>
          <w:pgSz w:w="11900" w:h="16838" w:orient="portrait"/>
          <w:cols w:equalWidth="0" w:num="1">
            <w:col w:w="10139"/>
          </w:cols>
          <w:pgMar w:left="320" w:top="1440" w:right="1440" w:bottom="1440" w:gutter="0" w:footer="0" w:header="0"/>
        </w:sectPr>
      </w:pPr>
    </w:p>
    <w:bookmarkStart w:id="84" w:name="page85"/>
    <w:bookmarkEnd w:id="84"/>
    <w:p>
      <w:pPr>
        <w:spacing w:after="0" w:line="18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color w:val="auto"/>
        </w:rPr>
        <w:t>LENDER:</w:t>
      </w:r>
      <w:r>
        <w:rPr>
          <w:sz w:val="20"/>
          <w:szCs w:val="20"/>
          <w:color w:val="auto"/>
        </w:rPr>
        <w:tab/>
      </w:r>
      <w:r>
        <w:rPr>
          <w:rFonts w:ascii="Times New Roman" w:cs="Times New Roman" w:eastAsia="Times New Roman" w:hAnsi="Times New Roman"/>
          <w:sz w:val="19"/>
          <w:szCs w:val="19"/>
          <w:b w:val="1"/>
          <w:bCs w:val="1"/>
          <w:color w:val="auto"/>
        </w:rPr>
        <w:t>BANK OF AMERICA, N.A.</w:t>
      </w:r>
      <w:r>
        <w:rPr>
          <w:rFonts w:ascii="Times New Roman" w:cs="Times New Roman" w:eastAsia="Times New Roman" w:hAnsi="Times New Roman"/>
          <w:sz w:val="19"/>
          <w:szCs w:val="19"/>
          <w:color w:val="auto"/>
        </w:rPr>
        <w:t>,</w:t>
      </w:r>
    </w:p>
    <w:p>
      <w:pPr>
        <w:spacing w:after="0" w:line="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Katherine Osele</w:t>
      </w:r>
    </w:p>
    <w:p>
      <w:pPr>
        <w:spacing w:after="0" w:line="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Katherine Osele</w:t>
      </w:r>
    </w:p>
    <w:p>
      <w:pPr>
        <w:spacing w:after="0" w:line="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Senor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4921-8900-6438 v.3</w:t>
      </w:r>
    </w:p>
    <w:p>
      <w:pPr>
        <w:sectPr>
          <w:pgSz w:w="11900" w:h="16838" w:orient="portrait"/>
          <w:cols w:equalWidth="0" w:num="1">
            <w:col w:w="10139"/>
          </w:cols>
          <w:pgMar w:left="320" w:top="1440" w:right="1440" w:bottom="1440" w:gutter="0" w:footer="0" w:header="0"/>
        </w:sectPr>
      </w:pPr>
    </w:p>
    <w:bookmarkStart w:id="85" w:name="page86"/>
    <w:bookmarkEnd w:id="85"/>
    <w:p>
      <w:pPr>
        <w:spacing w:after="0" w:line="18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color w:val="auto"/>
        </w:rPr>
        <w:t>LENDER:</w:t>
      </w:r>
      <w:r>
        <w:rPr>
          <w:sz w:val="20"/>
          <w:szCs w:val="20"/>
          <w:color w:val="auto"/>
        </w:rPr>
        <w:tab/>
      </w:r>
      <w:r>
        <w:rPr>
          <w:rFonts w:ascii="Times New Roman" w:cs="Times New Roman" w:eastAsia="Times New Roman" w:hAnsi="Times New Roman"/>
          <w:sz w:val="19"/>
          <w:szCs w:val="19"/>
          <w:b w:val="1"/>
          <w:bCs w:val="1"/>
          <w:color w:val="auto"/>
        </w:rPr>
        <w:t>TEXAS CAPITAL BANK</w:t>
      </w:r>
      <w:r>
        <w:rPr>
          <w:rFonts w:ascii="Times New Roman" w:cs="Times New Roman" w:eastAsia="Times New Roman" w:hAnsi="Times New Roman"/>
          <w:sz w:val="19"/>
          <w:szCs w:val="19"/>
          <w:color w:val="auto"/>
        </w:rPr>
        <w:t>,</w:t>
      </w:r>
    </w:p>
    <w:p>
      <w:pPr>
        <w:spacing w:after="0" w:line="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Andrew Tanner</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Name: Andrew Tanner</w:t>
      </w:r>
    </w:p>
    <w:p>
      <w:pPr>
        <w:spacing w:after="0" w:line="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3" w:lineRule="exact"/>
        <w:rPr>
          <w:sz w:val="20"/>
          <w:szCs w:val="20"/>
          <w:color w:val="auto"/>
        </w:rPr>
      </w:pPr>
    </w:p>
    <w:p>
      <w:pPr>
        <w:jc w:val="right"/>
        <w:ind w:right="36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Pages End</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4921-8900-6438 v.3</w:t>
      </w:r>
    </w:p>
    <w:p>
      <w:pPr>
        <w:sectPr>
          <w:pgSz w:w="11900" w:h="16838" w:orient="portrait"/>
          <w:cols w:equalWidth="0" w:num="1">
            <w:col w:w="10139"/>
          </w:cols>
          <w:pgMar w:left="320" w:top="1440" w:right="1440" w:bottom="1440" w:gutter="0" w:footer="0" w:header="0"/>
        </w:sectPr>
      </w:pPr>
    </w:p>
    <w:bookmarkStart w:id="86" w:name="page87"/>
    <w:bookmarkEnd w:id="86"/>
    <w:p>
      <w:pPr>
        <w:spacing w:after="0" w:line="1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SCHEDULE 5.20(A)</w:t>
      </w:r>
    </w:p>
    <w:p>
      <w:pPr>
        <w:spacing w:after="0" w:line="200" w:lineRule="exact"/>
        <w:rPr>
          <w:sz w:val="20"/>
          <w:szCs w:val="20"/>
          <w:color w:val="auto"/>
        </w:rPr>
      </w:pPr>
    </w:p>
    <w:p>
      <w:pPr>
        <w:spacing w:after="0" w:line="2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SUBSIDIARIES, JOINT VENTURES, PARTNERSHIPS AND OTHER EQUITY INVESTMENTS</w:t>
      </w:r>
    </w:p>
    <w:p>
      <w:pPr>
        <w:spacing w:after="0" w:line="200" w:lineRule="exact"/>
        <w:rPr>
          <w:sz w:val="20"/>
          <w:szCs w:val="20"/>
          <w:color w:val="auto"/>
        </w:rPr>
      </w:pPr>
    </w:p>
    <w:p>
      <w:pPr>
        <w:spacing w:after="0" w:line="321"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As of September 30, 2025</w:t>
            </w:r>
          </w:p>
        </w:tc>
        <w:tc>
          <w:tcPr>
            <w:tcW w:w="16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40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5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2040" w:type="dxa"/>
            <w:vAlign w:val="bottom"/>
          </w:tcPr>
          <w:p>
            <w:pPr>
              <w:spacing w:after="0"/>
              <w:rPr>
                <w:sz w:val="23"/>
                <w:szCs w:val="23"/>
                <w:color w:val="auto"/>
              </w:rPr>
            </w:pP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Percent Held</w:t>
            </w:r>
          </w:p>
        </w:tc>
        <w:tc>
          <w:tcPr>
            <w:tcW w:w="0" w:type="dxa"/>
            <w:vAlign w:val="bottom"/>
          </w:tcPr>
          <w:p>
            <w:pPr>
              <w:spacing w:after="0"/>
              <w:rPr>
                <w:sz w:val="1"/>
                <w:szCs w:val="1"/>
                <w:color w:val="auto"/>
              </w:rPr>
            </w:pPr>
          </w:p>
        </w:tc>
      </w:tr>
      <w:tr>
        <w:trPr>
          <w:trHeight w:val="230"/>
        </w:trPr>
        <w:tc>
          <w:tcPr>
            <w:tcW w:w="4080" w:type="dxa"/>
            <w:vAlign w:val="bottom"/>
            <w:vMerge w:val="restart"/>
          </w:tcPr>
          <w:p>
            <w:pPr>
              <w:ind w:left="1160"/>
              <w:spacing w:after="0"/>
              <w:rPr>
                <w:sz w:val="20"/>
                <w:szCs w:val="20"/>
                <w:color w:val="auto"/>
              </w:rPr>
            </w:pPr>
            <w:r>
              <w:rPr>
                <w:rFonts w:ascii="Times New Roman" w:cs="Times New Roman" w:eastAsia="Times New Roman" w:hAnsi="Times New Roman"/>
                <w:sz w:val="18"/>
                <w:szCs w:val="18"/>
                <w:b w:val="1"/>
                <w:bCs w:val="1"/>
                <w:color w:val="auto"/>
              </w:rPr>
              <w:t>Name of Legal Entity</w:t>
            </w:r>
          </w:p>
        </w:tc>
        <w:tc>
          <w:tcPr>
            <w:tcW w:w="16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Incorporated</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Authorized # of</w:t>
            </w:r>
          </w:p>
        </w:tc>
        <w:tc>
          <w:tcPr>
            <w:tcW w:w="20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7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98"/>
              </w:rPr>
              <w:t>Directly/Indirectly by</w:t>
            </w:r>
          </w:p>
        </w:tc>
        <w:tc>
          <w:tcPr>
            <w:tcW w:w="0" w:type="dxa"/>
            <w:vAlign w:val="bottom"/>
          </w:tcPr>
          <w:p>
            <w:pPr>
              <w:spacing w:after="0"/>
              <w:rPr>
                <w:sz w:val="1"/>
                <w:szCs w:val="1"/>
                <w:color w:val="auto"/>
              </w:rPr>
            </w:pPr>
          </w:p>
        </w:tc>
      </w:tr>
      <w:tr>
        <w:trPr>
          <w:trHeight w:val="238"/>
        </w:trPr>
        <w:tc>
          <w:tcPr>
            <w:tcW w:w="4080" w:type="dxa"/>
            <w:vAlign w:val="bottom"/>
            <w:vMerge w:val="continue"/>
          </w:tcPr>
          <w:p>
            <w:pPr>
              <w:spacing w:after="0"/>
              <w:rPr>
                <w:sz w:val="20"/>
                <w:szCs w:val="20"/>
                <w:color w:val="auto"/>
              </w:rPr>
            </w:pPr>
          </w:p>
        </w:tc>
        <w:tc>
          <w:tcPr>
            <w:tcW w:w="1660" w:type="dxa"/>
            <w:vAlign w:val="bottom"/>
            <w:vMerge w:val="continue"/>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Outstanding # of Shares</w:t>
            </w:r>
          </w:p>
        </w:tc>
        <w:tc>
          <w:tcPr>
            <w:tcW w:w="174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POWL</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Powell Industries, Inc.</w:t>
            </w:r>
          </w:p>
        </w:tc>
        <w:tc>
          <w:tcPr>
            <w:tcW w:w="1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Delaware</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30,000,000</w:t>
            </w:r>
          </w:p>
        </w:tc>
        <w:tc>
          <w:tcPr>
            <w:tcW w:w="2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12,070,178</w:t>
            </w:r>
          </w:p>
        </w:tc>
        <w:tc>
          <w:tcPr>
            <w:tcW w:w="1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Powell Electrical Systems, Inc.</w:t>
            </w:r>
          </w:p>
        </w:tc>
        <w:tc>
          <w:tcPr>
            <w:tcW w:w="1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Delaware</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2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100</w:t>
            </w:r>
          </w:p>
        </w:tc>
        <w:tc>
          <w:tcPr>
            <w:tcW w:w="17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84"/>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Powell Industries International, Inc.</w:t>
            </w:r>
          </w:p>
        </w:tc>
        <w:tc>
          <w:tcPr>
            <w:tcW w:w="1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Delaware</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2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1,000</w:t>
            </w:r>
          </w:p>
        </w:tc>
        <w:tc>
          <w:tcPr>
            <w:tcW w:w="17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83"/>
        </w:trPr>
        <w:tc>
          <w:tcPr>
            <w:tcW w:w="40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Powell Industries International Limited</w:t>
            </w:r>
          </w:p>
        </w:tc>
        <w:tc>
          <w:tcPr>
            <w:tcW w:w="1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United Kingdom</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2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100</w:t>
            </w:r>
          </w:p>
        </w:tc>
        <w:tc>
          <w:tcPr>
            <w:tcW w:w="17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83"/>
        </w:trPr>
        <w:tc>
          <w:tcPr>
            <w:tcW w:w="40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Powell (UK) Ltd.</w:t>
            </w:r>
          </w:p>
        </w:tc>
        <w:tc>
          <w:tcPr>
            <w:tcW w:w="1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United Kingdom</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201</w:t>
            </w:r>
          </w:p>
        </w:tc>
        <w:tc>
          <w:tcPr>
            <w:tcW w:w="2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201</w:t>
            </w:r>
          </w:p>
        </w:tc>
        <w:tc>
          <w:tcPr>
            <w:tcW w:w="17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83"/>
        </w:trPr>
        <w:tc>
          <w:tcPr>
            <w:tcW w:w="40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Remsdaq Holding Ltd.</w:t>
            </w:r>
          </w:p>
        </w:tc>
        <w:tc>
          <w:tcPr>
            <w:tcW w:w="1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United Kingdom</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11,499,999</w:t>
            </w:r>
          </w:p>
        </w:tc>
        <w:tc>
          <w:tcPr>
            <w:tcW w:w="2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11,499,999</w:t>
            </w:r>
          </w:p>
        </w:tc>
        <w:tc>
          <w:tcPr>
            <w:tcW w:w="17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83"/>
        </w:trPr>
        <w:tc>
          <w:tcPr>
            <w:tcW w:w="40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Remsdaq Ltd.</w:t>
            </w:r>
          </w:p>
        </w:tc>
        <w:tc>
          <w:tcPr>
            <w:tcW w:w="1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United Kingdom</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112,500</w:t>
            </w:r>
          </w:p>
        </w:tc>
        <w:tc>
          <w:tcPr>
            <w:tcW w:w="2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112,500</w:t>
            </w:r>
          </w:p>
        </w:tc>
        <w:tc>
          <w:tcPr>
            <w:tcW w:w="17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83"/>
        </w:trPr>
        <w:tc>
          <w:tcPr>
            <w:tcW w:w="40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Powell Industries Asia Pte Ltd.</w:t>
            </w:r>
          </w:p>
        </w:tc>
        <w:tc>
          <w:tcPr>
            <w:tcW w:w="1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Singapore</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400,000</w:t>
            </w:r>
          </w:p>
        </w:tc>
        <w:tc>
          <w:tcPr>
            <w:tcW w:w="2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400,000</w:t>
            </w:r>
          </w:p>
        </w:tc>
        <w:tc>
          <w:tcPr>
            <w:tcW w:w="17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84"/>
        </w:trPr>
        <w:tc>
          <w:tcPr>
            <w:tcW w:w="40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Powell Canada, Inc.</w:t>
            </w:r>
          </w:p>
        </w:tc>
        <w:tc>
          <w:tcPr>
            <w:tcW w:w="1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Canada</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2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100</w:t>
            </w:r>
          </w:p>
        </w:tc>
        <w:tc>
          <w:tcPr>
            <w:tcW w:w="17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83"/>
        </w:trPr>
        <w:tc>
          <w:tcPr>
            <w:tcW w:w="40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Powell Industries International B.V.</w:t>
            </w:r>
          </w:p>
        </w:tc>
        <w:tc>
          <w:tcPr>
            <w:tcW w:w="1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Netherlands</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90,000</w:t>
            </w:r>
          </w:p>
        </w:tc>
        <w:tc>
          <w:tcPr>
            <w:tcW w:w="2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18,002</w:t>
            </w:r>
          </w:p>
        </w:tc>
        <w:tc>
          <w:tcPr>
            <w:tcW w:w="17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84"/>
        </w:trPr>
        <w:tc>
          <w:tcPr>
            <w:tcW w:w="40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Powell International B.V.</w:t>
            </w:r>
          </w:p>
        </w:tc>
        <w:tc>
          <w:tcPr>
            <w:tcW w:w="1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Netherlands</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90,000</w:t>
            </w:r>
          </w:p>
        </w:tc>
        <w:tc>
          <w:tcPr>
            <w:tcW w:w="2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18,000</w:t>
            </w:r>
          </w:p>
        </w:tc>
        <w:tc>
          <w:tcPr>
            <w:tcW w:w="17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83"/>
        </w:trPr>
        <w:tc>
          <w:tcPr>
            <w:tcW w:w="40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Powell B.V.</w:t>
            </w:r>
          </w:p>
        </w:tc>
        <w:tc>
          <w:tcPr>
            <w:tcW w:w="1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Netherlands</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90,000</w:t>
            </w:r>
          </w:p>
        </w:tc>
        <w:tc>
          <w:tcPr>
            <w:tcW w:w="2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18,000</w:t>
            </w:r>
          </w:p>
        </w:tc>
        <w:tc>
          <w:tcPr>
            <w:tcW w:w="17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9"/>
        </w:trPr>
        <w:tc>
          <w:tcPr>
            <w:tcW w:w="40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Powell Equipment Mexico</w:t>
            </w:r>
          </w:p>
        </w:tc>
        <w:tc>
          <w:tcPr>
            <w:tcW w:w="1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Mexico</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50,000</w:t>
            </w:r>
          </w:p>
        </w:tc>
        <w:tc>
          <w:tcPr>
            <w:tcW w:w="2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50,000</w:t>
            </w:r>
          </w:p>
        </w:tc>
        <w:tc>
          <w:tcPr>
            <w:tcW w:w="17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4"/>
        </w:trPr>
        <w:tc>
          <w:tcPr>
            <w:tcW w:w="40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SA DE CV</w:t>
            </w:r>
          </w:p>
        </w:tc>
        <w:tc>
          <w:tcPr>
            <w:tcW w:w="16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40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Powell Trading Mexico SA</w:t>
            </w:r>
          </w:p>
        </w:tc>
        <w:tc>
          <w:tcPr>
            <w:tcW w:w="1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Mexico</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50,000</w:t>
            </w:r>
          </w:p>
        </w:tc>
        <w:tc>
          <w:tcPr>
            <w:tcW w:w="2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50,000</w:t>
            </w:r>
          </w:p>
        </w:tc>
        <w:tc>
          <w:tcPr>
            <w:tcW w:w="17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4"/>
        </w:trPr>
        <w:tc>
          <w:tcPr>
            <w:tcW w:w="40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DE CV</w:t>
            </w:r>
          </w:p>
        </w:tc>
        <w:tc>
          <w:tcPr>
            <w:tcW w:w="16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Powell (Middle East) B.V.</w:t>
            </w:r>
          </w:p>
        </w:tc>
        <w:tc>
          <w:tcPr>
            <w:tcW w:w="1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Netherlands</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w:t>
            </w:r>
          </w:p>
        </w:tc>
        <w:tc>
          <w:tcPr>
            <w:tcW w:w="17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83"/>
        </w:trPr>
        <w:tc>
          <w:tcPr>
            <w:tcW w:w="40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Powell Canada B.V.</w:t>
            </w:r>
          </w:p>
        </w:tc>
        <w:tc>
          <w:tcPr>
            <w:tcW w:w="1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Netherlands</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90,000</w:t>
            </w:r>
          </w:p>
        </w:tc>
        <w:tc>
          <w:tcPr>
            <w:tcW w:w="2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18,000</w:t>
            </w:r>
          </w:p>
        </w:tc>
        <w:tc>
          <w:tcPr>
            <w:tcW w:w="17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4921-8900-6438 v.3</w:t>
      </w:r>
    </w:p>
    <w:p>
      <w:pPr>
        <w:sectPr>
          <w:pgSz w:w="11900" w:h="16838" w:orient="portrait"/>
          <w:cols w:equalWidth="0" w:num="1">
            <w:col w:w="11100"/>
          </w:cols>
          <w:pgMar w:left="340" w:top="1440" w:right="459" w:bottom="1440" w:gutter="0" w:footer="0" w:header="0"/>
        </w:sectPr>
      </w:pPr>
    </w:p>
    <w:bookmarkStart w:id="87" w:name="page88"/>
    <w:bookmarkEnd w:id="87"/>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SCHEDULE 5.21(B)</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PLEDGED EQUITY INTERESTS</w:t>
      </w:r>
    </w:p>
    <w:p>
      <w:pPr>
        <w:spacing w:after="0" w:line="249"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25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Issuer</w:t>
            </w:r>
          </w:p>
        </w:tc>
        <w:tc>
          <w:tcPr>
            <w:tcW w:w="2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Owner</w:t>
            </w:r>
          </w:p>
        </w:tc>
        <w:tc>
          <w:tcPr>
            <w:tcW w:w="1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Cert No.</w:t>
            </w:r>
          </w:p>
        </w:tc>
        <w:tc>
          <w:tcPr>
            <w:tcW w:w="1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Issuer’s State of</w:t>
            </w:r>
          </w:p>
        </w:tc>
        <w:tc>
          <w:tcPr>
            <w:tcW w:w="148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0"/>
                <w:szCs w:val="20"/>
                <w:b w:val="1"/>
                <w:bCs w:val="1"/>
                <w:color w:val="auto"/>
              </w:rPr>
              <w:t>No. of Shares</w:t>
            </w:r>
          </w:p>
        </w:tc>
        <w:tc>
          <w:tcPr>
            <w:tcW w:w="184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b w:val="1"/>
                <w:bCs w:val="1"/>
                <w:color w:val="auto"/>
              </w:rPr>
              <w:t>% of Voting Stock</w:t>
            </w:r>
          </w:p>
        </w:tc>
        <w:tc>
          <w:tcPr>
            <w:tcW w:w="0" w:type="dxa"/>
            <w:vAlign w:val="bottom"/>
          </w:tcPr>
          <w:p>
            <w:pPr>
              <w:spacing w:after="0"/>
              <w:rPr>
                <w:sz w:val="1"/>
                <w:szCs w:val="1"/>
                <w:color w:val="auto"/>
              </w:rPr>
            </w:pPr>
          </w:p>
        </w:tc>
      </w:tr>
      <w:tr>
        <w:trPr>
          <w:trHeight w:val="262"/>
        </w:trPr>
        <w:tc>
          <w:tcPr>
            <w:tcW w:w="2560" w:type="dxa"/>
            <w:vAlign w:val="bottom"/>
            <w:tcBorders>
              <w:left w:val="single" w:sz="8" w:color="auto"/>
              <w:right w:val="single" w:sz="8" w:color="auto"/>
            </w:tcBorders>
          </w:tcPr>
          <w:p>
            <w:pPr>
              <w:spacing w:after="0"/>
              <w:rPr>
                <w:sz w:val="22"/>
                <w:szCs w:val="22"/>
                <w:color w:val="auto"/>
              </w:rPr>
            </w:pPr>
          </w:p>
        </w:tc>
        <w:tc>
          <w:tcPr>
            <w:tcW w:w="2000" w:type="dxa"/>
            <w:vAlign w:val="bottom"/>
            <w:tcBorders>
              <w:right w:val="single" w:sz="8" w:color="auto"/>
            </w:tcBorders>
          </w:tcPr>
          <w:p>
            <w:pPr>
              <w:spacing w:after="0"/>
              <w:rPr>
                <w:sz w:val="22"/>
                <w:szCs w:val="22"/>
                <w:color w:val="auto"/>
              </w:rPr>
            </w:pPr>
          </w:p>
        </w:tc>
        <w:tc>
          <w:tcPr>
            <w:tcW w:w="1480" w:type="dxa"/>
            <w:vAlign w:val="bottom"/>
            <w:tcBorders>
              <w:right w:val="single" w:sz="8" w:color="auto"/>
            </w:tcBorders>
          </w:tcPr>
          <w:p>
            <w:pPr>
              <w:spacing w:after="0"/>
              <w:rPr>
                <w:sz w:val="22"/>
                <w:szCs w:val="22"/>
                <w:color w:val="auto"/>
              </w:rPr>
            </w:pP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Formation</w:t>
            </w:r>
          </w:p>
        </w:tc>
        <w:tc>
          <w:tcPr>
            <w:tcW w:w="1480" w:type="dxa"/>
            <w:vAlign w:val="bottom"/>
            <w:tcBorders>
              <w:right w:val="single" w:sz="8" w:color="auto"/>
            </w:tcBorders>
          </w:tcPr>
          <w:p>
            <w:pPr>
              <w:spacing w:after="0"/>
              <w:rPr>
                <w:sz w:val="22"/>
                <w:szCs w:val="22"/>
                <w:color w:val="auto"/>
              </w:rPr>
            </w:pPr>
          </w:p>
        </w:tc>
        <w:tc>
          <w:tcPr>
            <w:tcW w:w="18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5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90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8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2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Powell Electrical Systems,</w:t>
            </w:r>
          </w:p>
        </w:tc>
        <w:tc>
          <w:tcPr>
            <w:tcW w:w="2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Powell Industries, Inc.</w:t>
            </w: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1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100</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0" w:type="dxa"/>
            <w:vAlign w:val="bottom"/>
          </w:tcPr>
          <w:p>
            <w:pPr>
              <w:spacing w:after="0"/>
              <w:rPr>
                <w:sz w:val="1"/>
                <w:szCs w:val="1"/>
                <w:color w:val="auto"/>
              </w:rPr>
            </w:pPr>
          </w:p>
        </w:tc>
      </w:tr>
      <w:tr>
        <w:trPr>
          <w:trHeight w:val="123"/>
        </w:trPr>
        <w:tc>
          <w:tcPr>
            <w:tcW w:w="25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Inc.</w:t>
            </w:r>
          </w:p>
        </w:tc>
        <w:tc>
          <w:tcPr>
            <w:tcW w:w="2000" w:type="dxa"/>
            <w:vAlign w:val="bottom"/>
            <w:tcBorders>
              <w:right w:val="single" w:sz="8" w:color="auto"/>
            </w:tcBorders>
            <w:vMerge w:val="continue"/>
          </w:tcPr>
          <w:p>
            <w:pPr>
              <w:spacing w:after="0"/>
              <w:rPr>
                <w:sz w:val="10"/>
                <w:szCs w:val="10"/>
                <w:color w:val="auto"/>
              </w:rPr>
            </w:pPr>
          </w:p>
        </w:tc>
        <w:tc>
          <w:tcPr>
            <w:tcW w:w="1480" w:type="dxa"/>
            <w:vAlign w:val="bottom"/>
            <w:tcBorders>
              <w:right w:val="single" w:sz="8" w:color="auto"/>
            </w:tcBorders>
            <w:vMerge w:val="continue"/>
          </w:tcPr>
          <w:p>
            <w:pPr>
              <w:spacing w:after="0"/>
              <w:rPr>
                <w:sz w:val="10"/>
                <w:szCs w:val="10"/>
                <w:color w:val="auto"/>
              </w:rPr>
            </w:pPr>
          </w:p>
        </w:tc>
        <w:tc>
          <w:tcPr>
            <w:tcW w:w="1900" w:type="dxa"/>
            <w:vAlign w:val="bottom"/>
            <w:tcBorders>
              <w:right w:val="single" w:sz="8" w:color="auto"/>
            </w:tcBorders>
            <w:vMerge w:val="continue"/>
          </w:tcPr>
          <w:p>
            <w:pPr>
              <w:spacing w:after="0"/>
              <w:rPr>
                <w:sz w:val="10"/>
                <w:szCs w:val="10"/>
                <w:color w:val="auto"/>
              </w:rPr>
            </w:pPr>
          </w:p>
        </w:tc>
        <w:tc>
          <w:tcPr>
            <w:tcW w:w="1480" w:type="dxa"/>
            <w:vAlign w:val="bottom"/>
            <w:tcBorders>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60" w:type="dxa"/>
            <w:vAlign w:val="bottom"/>
            <w:tcBorders>
              <w:left w:val="single" w:sz="8" w:color="auto"/>
              <w:right w:val="single" w:sz="8" w:color="auto"/>
            </w:tcBorders>
            <w:vMerge w:val="continue"/>
          </w:tcPr>
          <w:p>
            <w:pPr>
              <w:spacing w:after="0"/>
              <w:rPr>
                <w:sz w:val="11"/>
                <w:szCs w:val="11"/>
                <w:color w:val="auto"/>
              </w:rPr>
            </w:pPr>
          </w:p>
        </w:tc>
        <w:tc>
          <w:tcPr>
            <w:tcW w:w="2000" w:type="dxa"/>
            <w:vAlign w:val="bottom"/>
            <w:tcBorders>
              <w:right w:val="single" w:sz="8" w:color="auto"/>
            </w:tcBorders>
          </w:tcPr>
          <w:p>
            <w:pPr>
              <w:spacing w:after="0"/>
              <w:rPr>
                <w:sz w:val="11"/>
                <w:szCs w:val="11"/>
                <w:color w:val="auto"/>
              </w:rPr>
            </w:pPr>
          </w:p>
        </w:tc>
        <w:tc>
          <w:tcPr>
            <w:tcW w:w="1480" w:type="dxa"/>
            <w:vAlign w:val="bottom"/>
            <w:tcBorders>
              <w:right w:val="single" w:sz="8" w:color="auto"/>
            </w:tcBorders>
          </w:tcPr>
          <w:p>
            <w:pPr>
              <w:spacing w:after="0"/>
              <w:rPr>
                <w:sz w:val="11"/>
                <w:szCs w:val="11"/>
                <w:color w:val="auto"/>
              </w:rPr>
            </w:pPr>
          </w:p>
        </w:tc>
        <w:tc>
          <w:tcPr>
            <w:tcW w:w="1900" w:type="dxa"/>
            <w:vAlign w:val="bottom"/>
            <w:tcBorders>
              <w:right w:val="single" w:sz="8" w:color="auto"/>
            </w:tcBorders>
          </w:tcPr>
          <w:p>
            <w:pPr>
              <w:spacing w:after="0"/>
              <w:rPr>
                <w:sz w:val="11"/>
                <w:szCs w:val="11"/>
                <w:color w:val="auto"/>
              </w:rPr>
            </w:pPr>
          </w:p>
        </w:tc>
        <w:tc>
          <w:tcPr>
            <w:tcW w:w="1480" w:type="dxa"/>
            <w:vAlign w:val="bottom"/>
            <w:tcBorders>
              <w:right w:val="single" w:sz="8" w:color="auto"/>
            </w:tcBorders>
          </w:tcPr>
          <w:p>
            <w:pPr>
              <w:spacing w:after="0"/>
              <w:rPr>
                <w:sz w:val="11"/>
                <w:szCs w:val="11"/>
                <w:color w:val="auto"/>
              </w:rPr>
            </w:pPr>
          </w:p>
        </w:tc>
        <w:tc>
          <w:tcPr>
            <w:tcW w:w="1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5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90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8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2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Powell Industries</w:t>
            </w:r>
          </w:p>
        </w:tc>
        <w:tc>
          <w:tcPr>
            <w:tcW w:w="2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Powell Industries, Inc.</w:t>
            </w: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1</w:t>
            </w:r>
          </w:p>
        </w:tc>
        <w:tc>
          <w:tcPr>
            <w:tcW w:w="1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1,000</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0" w:type="dxa"/>
            <w:vAlign w:val="bottom"/>
          </w:tcPr>
          <w:p>
            <w:pPr>
              <w:spacing w:after="0"/>
              <w:rPr>
                <w:sz w:val="1"/>
                <w:szCs w:val="1"/>
                <w:color w:val="auto"/>
              </w:rPr>
            </w:pPr>
          </w:p>
        </w:tc>
      </w:tr>
      <w:tr>
        <w:trPr>
          <w:trHeight w:val="123"/>
        </w:trPr>
        <w:tc>
          <w:tcPr>
            <w:tcW w:w="25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International, Inc.</w:t>
            </w:r>
          </w:p>
        </w:tc>
        <w:tc>
          <w:tcPr>
            <w:tcW w:w="2000" w:type="dxa"/>
            <w:vAlign w:val="bottom"/>
            <w:tcBorders>
              <w:right w:val="single" w:sz="8" w:color="auto"/>
            </w:tcBorders>
            <w:vMerge w:val="continue"/>
          </w:tcPr>
          <w:p>
            <w:pPr>
              <w:spacing w:after="0"/>
              <w:rPr>
                <w:sz w:val="10"/>
                <w:szCs w:val="10"/>
                <w:color w:val="auto"/>
              </w:rPr>
            </w:pPr>
          </w:p>
        </w:tc>
        <w:tc>
          <w:tcPr>
            <w:tcW w:w="1480" w:type="dxa"/>
            <w:vAlign w:val="bottom"/>
            <w:tcBorders>
              <w:right w:val="single" w:sz="8" w:color="auto"/>
            </w:tcBorders>
            <w:vMerge w:val="continue"/>
          </w:tcPr>
          <w:p>
            <w:pPr>
              <w:spacing w:after="0"/>
              <w:rPr>
                <w:sz w:val="10"/>
                <w:szCs w:val="10"/>
                <w:color w:val="auto"/>
              </w:rPr>
            </w:pPr>
          </w:p>
        </w:tc>
        <w:tc>
          <w:tcPr>
            <w:tcW w:w="1900" w:type="dxa"/>
            <w:vAlign w:val="bottom"/>
            <w:tcBorders>
              <w:right w:val="single" w:sz="8" w:color="auto"/>
            </w:tcBorders>
            <w:vMerge w:val="continue"/>
          </w:tcPr>
          <w:p>
            <w:pPr>
              <w:spacing w:after="0"/>
              <w:rPr>
                <w:sz w:val="10"/>
                <w:szCs w:val="10"/>
                <w:color w:val="auto"/>
              </w:rPr>
            </w:pPr>
          </w:p>
        </w:tc>
        <w:tc>
          <w:tcPr>
            <w:tcW w:w="1480" w:type="dxa"/>
            <w:vAlign w:val="bottom"/>
            <w:tcBorders>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60" w:type="dxa"/>
            <w:vAlign w:val="bottom"/>
            <w:tcBorders>
              <w:left w:val="single" w:sz="8" w:color="auto"/>
              <w:right w:val="single" w:sz="8" w:color="auto"/>
            </w:tcBorders>
            <w:vMerge w:val="continue"/>
          </w:tcPr>
          <w:p>
            <w:pPr>
              <w:spacing w:after="0"/>
              <w:rPr>
                <w:sz w:val="11"/>
                <w:szCs w:val="11"/>
                <w:color w:val="auto"/>
              </w:rPr>
            </w:pPr>
          </w:p>
        </w:tc>
        <w:tc>
          <w:tcPr>
            <w:tcW w:w="2000" w:type="dxa"/>
            <w:vAlign w:val="bottom"/>
            <w:tcBorders>
              <w:right w:val="single" w:sz="8" w:color="auto"/>
            </w:tcBorders>
          </w:tcPr>
          <w:p>
            <w:pPr>
              <w:spacing w:after="0"/>
              <w:rPr>
                <w:sz w:val="11"/>
                <w:szCs w:val="11"/>
                <w:color w:val="auto"/>
              </w:rPr>
            </w:pPr>
          </w:p>
        </w:tc>
        <w:tc>
          <w:tcPr>
            <w:tcW w:w="1480" w:type="dxa"/>
            <w:vAlign w:val="bottom"/>
            <w:tcBorders>
              <w:right w:val="single" w:sz="8" w:color="auto"/>
            </w:tcBorders>
          </w:tcPr>
          <w:p>
            <w:pPr>
              <w:spacing w:after="0"/>
              <w:rPr>
                <w:sz w:val="11"/>
                <w:szCs w:val="11"/>
                <w:color w:val="auto"/>
              </w:rPr>
            </w:pPr>
          </w:p>
        </w:tc>
        <w:tc>
          <w:tcPr>
            <w:tcW w:w="1900" w:type="dxa"/>
            <w:vAlign w:val="bottom"/>
            <w:tcBorders>
              <w:right w:val="single" w:sz="8" w:color="auto"/>
            </w:tcBorders>
          </w:tcPr>
          <w:p>
            <w:pPr>
              <w:spacing w:after="0"/>
              <w:rPr>
                <w:sz w:val="11"/>
                <w:szCs w:val="11"/>
                <w:color w:val="auto"/>
              </w:rPr>
            </w:pPr>
          </w:p>
        </w:tc>
        <w:tc>
          <w:tcPr>
            <w:tcW w:w="1480" w:type="dxa"/>
            <w:vAlign w:val="bottom"/>
            <w:tcBorders>
              <w:right w:val="single" w:sz="8" w:color="auto"/>
            </w:tcBorders>
          </w:tcPr>
          <w:p>
            <w:pPr>
              <w:spacing w:after="0"/>
              <w:rPr>
                <w:sz w:val="11"/>
                <w:szCs w:val="11"/>
                <w:color w:val="auto"/>
              </w:rPr>
            </w:pPr>
          </w:p>
        </w:tc>
        <w:tc>
          <w:tcPr>
            <w:tcW w:w="1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5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90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8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2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Powell Industries</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Powell Industries</w:t>
            </w: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3</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United Kingdom</w:t>
            </w: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65</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65%</w:t>
            </w:r>
          </w:p>
        </w:tc>
        <w:tc>
          <w:tcPr>
            <w:tcW w:w="0" w:type="dxa"/>
            <w:vAlign w:val="bottom"/>
          </w:tcPr>
          <w:p>
            <w:pPr>
              <w:spacing w:after="0"/>
              <w:rPr>
                <w:sz w:val="1"/>
                <w:szCs w:val="1"/>
                <w:color w:val="auto"/>
              </w:rPr>
            </w:pPr>
          </w:p>
        </w:tc>
      </w:tr>
      <w:tr>
        <w:trPr>
          <w:trHeight w:val="123"/>
        </w:trPr>
        <w:tc>
          <w:tcPr>
            <w:tcW w:w="25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International Limited</w:t>
            </w:r>
          </w:p>
        </w:tc>
        <w:tc>
          <w:tcPr>
            <w:tcW w:w="2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International, Inc.</w:t>
            </w:r>
          </w:p>
        </w:tc>
        <w:tc>
          <w:tcPr>
            <w:tcW w:w="1480" w:type="dxa"/>
            <w:vAlign w:val="bottom"/>
            <w:tcBorders>
              <w:right w:val="single" w:sz="8" w:color="auto"/>
            </w:tcBorders>
            <w:vMerge w:val="continue"/>
          </w:tcPr>
          <w:p>
            <w:pPr>
              <w:spacing w:after="0"/>
              <w:rPr>
                <w:sz w:val="10"/>
                <w:szCs w:val="10"/>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and Wales</w:t>
            </w:r>
          </w:p>
        </w:tc>
        <w:tc>
          <w:tcPr>
            <w:tcW w:w="1480" w:type="dxa"/>
            <w:vAlign w:val="bottom"/>
            <w:tcBorders>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60" w:type="dxa"/>
            <w:vAlign w:val="bottom"/>
            <w:tcBorders>
              <w:left w:val="single" w:sz="8" w:color="auto"/>
              <w:right w:val="single" w:sz="8" w:color="auto"/>
            </w:tcBorders>
            <w:vMerge w:val="continue"/>
          </w:tcPr>
          <w:p>
            <w:pPr>
              <w:spacing w:after="0"/>
              <w:rPr>
                <w:sz w:val="11"/>
                <w:szCs w:val="11"/>
                <w:color w:val="auto"/>
              </w:rPr>
            </w:pPr>
          </w:p>
        </w:tc>
        <w:tc>
          <w:tcPr>
            <w:tcW w:w="2000" w:type="dxa"/>
            <w:vAlign w:val="bottom"/>
            <w:tcBorders>
              <w:right w:val="single" w:sz="8" w:color="auto"/>
            </w:tcBorders>
            <w:vMerge w:val="continue"/>
          </w:tcPr>
          <w:p>
            <w:pPr>
              <w:spacing w:after="0"/>
              <w:rPr>
                <w:sz w:val="11"/>
                <w:szCs w:val="11"/>
                <w:color w:val="auto"/>
              </w:rPr>
            </w:pPr>
          </w:p>
        </w:tc>
        <w:tc>
          <w:tcPr>
            <w:tcW w:w="1480" w:type="dxa"/>
            <w:vAlign w:val="bottom"/>
            <w:tcBorders>
              <w:right w:val="single" w:sz="8" w:color="auto"/>
            </w:tcBorders>
          </w:tcPr>
          <w:p>
            <w:pPr>
              <w:spacing w:after="0"/>
              <w:rPr>
                <w:sz w:val="11"/>
                <w:szCs w:val="11"/>
                <w:color w:val="auto"/>
              </w:rPr>
            </w:pPr>
          </w:p>
        </w:tc>
        <w:tc>
          <w:tcPr>
            <w:tcW w:w="1900" w:type="dxa"/>
            <w:vAlign w:val="bottom"/>
            <w:tcBorders>
              <w:right w:val="single" w:sz="8" w:color="auto"/>
            </w:tcBorders>
            <w:vMerge w:val="continue"/>
          </w:tcPr>
          <w:p>
            <w:pPr>
              <w:spacing w:after="0"/>
              <w:rPr>
                <w:sz w:val="11"/>
                <w:szCs w:val="11"/>
                <w:color w:val="auto"/>
              </w:rPr>
            </w:pPr>
          </w:p>
        </w:tc>
        <w:tc>
          <w:tcPr>
            <w:tcW w:w="1480" w:type="dxa"/>
            <w:vAlign w:val="bottom"/>
            <w:tcBorders>
              <w:right w:val="single" w:sz="8" w:color="auto"/>
            </w:tcBorders>
          </w:tcPr>
          <w:p>
            <w:pPr>
              <w:spacing w:after="0"/>
              <w:rPr>
                <w:sz w:val="11"/>
                <w:szCs w:val="11"/>
                <w:color w:val="auto"/>
              </w:rPr>
            </w:pPr>
          </w:p>
        </w:tc>
        <w:tc>
          <w:tcPr>
            <w:tcW w:w="1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5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90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8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4921-8900-6438 v.3</w:t>
      </w:r>
    </w:p>
    <w:p>
      <w:pPr>
        <w:sectPr>
          <w:pgSz w:w="11900" w:h="16838" w:orient="portrait"/>
          <w:cols w:equalWidth="0" w:num="1">
            <w:col w:w="11260"/>
          </w:cols>
          <w:pgMar w:left="320" w:top="1409" w:right="319" w:bottom="1440" w:gutter="0" w:footer="0" w:header="0"/>
        </w:sectPr>
      </w:pPr>
    </w:p>
    <w:bookmarkStart w:id="88" w:name="page89"/>
    <w:bookmarkEnd w:id="88"/>
    <w:p>
      <w:pPr>
        <w:ind w:left="10240"/>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0350" cy="10287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5">
                      <a:extLst>
                        <a:ext uri="{28A0092B-C50C-407E-A947-70E740481C1C}"/>
                      </a:extLst>
                    </a:blip>
                    <a:srcRect/>
                    <a:stretch>
                      <a:fillRect/>
                    </a:stretch>
                  </pic:blipFill>
                  <pic:spPr bwMode="auto">
                    <a:xfrm>
                      <a:off x="0" y="0"/>
                      <a:ext cx="534035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2020" w:type="dxa"/>
            <w:vAlign w:val="bottom"/>
            <w:tcBorders>
              <w:top w:val="single" w:sz="8" w:color="auto"/>
              <w:right w:val="single" w:sz="8" w:color="auto"/>
            </w:tcBorders>
          </w:tcPr>
          <w:p>
            <w:pPr>
              <w:jc w:val="right"/>
              <w:ind w:right="1"/>
              <w:spacing w:after="0"/>
              <w:rPr>
                <w:sz w:val="20"/>
                <w:szCs w:val="20"/>
                <w:color w:val="auto"/>
              </w:rPr>
            </w:pPr>
            <w:r>
              <w:rPr>
                <w:rFonts w:ascii="Arial" w:cs="Arial" w:eastAsia="Arial" w:hAnsi="Arial"/>
                <w:sz w:val="20"/>
                <w:szCs w:val="20"/>
                <w:b w:val="1"/>
                <w:bCs w:val="1"/>
                <w:color w:val="auto"/>
              </w:rPr>
              <w:t>Effective Date</w:t>
            </w:r>
          </w:p>
        </w:tc>
        <w:tc>
          <w:tcPr>
            <w:tcW w:w="30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June 1, 2025</w:t>
            </w:r>
          </w:p>
        </w:tc>
        <w:tc>
          <w:tcPr>
            <w:tcW w:w="1440" w:type="dxa"/>
            <w:vAlign w:val="bottom"/>
            <w:tcBorders>
              <w:top w:val="single" w:sz="8" w:color="auto"/>
            </w:tcBorders>
          </w:tcPr>
          <w:p>
            <w:pPr>
              <w:spacing w:after="0"/>
              <w:rPr>
                <w:sz w:val="24"/>
                <w:szCs w:val="24"/>
                <w:color w:val="auto"/>
              </w:rPr>
            </w:pPr>
          </w:p>
        </w:tc>
        <w:tc>
          <w:tcPr>
            <w:tcW w:w="164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20"/>
                <w:szCs w:val="20"/>
                <w:b w:val="1"/>
                <w:bCs w:val="1"/>
                <w:color w:val="auto"/>
              </w:rPr>
              <w:t>Supersedes</w:t>
            </w:r>
          </w:p>
        </w:tc>
        <w:tc>
          <w:tcPr>
            <w:tcW w:w="3080" w:type="dxa"/>
            <w:vAlign w:val="bottom"/>
            <w:tcBorders>
              <w:top w:val="single" w:sz="8" w:color="auto"/>
            </w:tcBorders>
          </w:tcPr>
          <w:p>
            <w:pPr>
              <w:ind w:left="80"/>
              <w:spacing w:after="0"/>
              <w:rPr>
                <w:sz w:val="20"/>
                <w:szCs w:val="20"/>
                <w:color w:val="auto"/>
              </w:rPr>
            </w:pPr>
            <w:r>
              <w:rPr>
                <w:rFonts w:ascii="Arial" w:cs="Arial" w:eastAsia="Arial" w:hAnsi="Arial"/>
                <w:sz w:val="20"/>
                <w:szCs w:val="20"/>
                <w:color w:val="auto"/>
              </w:rPr>
              <w:t>Version 9.1</w:t>
            </w:r>
          </w:p>
        </w:tc>
      </w:tr>
      <w:tr>
        <w:trPr>
          <w:trHeight w:val="270"/>
        </w:trPr>
        <w:tc>
          <w:tcPr>
            <w:tcW w:w="2020" w:type="dxa"/>
            <w:vAlign w:val="bottom"/>
            <w:tcBorders>
              <w:bottom w:val="single" w:sz="8" w:color="auto"/>
              <w:right w:val="single" w:sz="8" w:color="auto"/>
            </w:tcBorders>
          </w:tcPr>
          <w:p>
            <w:pPr>
              <w:spacing w:after="0"/>
              <w:rPr>
                <w:sz w:val="23"/>
                <w:szCs w:val="23"/>
                <w:color w:val="auto"/>
              </w:rPr>
            </w:pPr>
          </w:p>
        </w:tc>
        <w:tc>
          <w:tcPr>
            <w:tcW w:w="30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spacing w:after="0"/>
              <w:rPr>
                <w:sz w:val="23"/>
                <w:szCs w:val="23"/>
                <w:color w:val="auto"/>
              </w:rPr>
            </w:pPr>
          </w:p>
        </w:tc>
        <w:tc>
          <w:tcPr>
            <w:tcW w:w="3080" w:type="dxa"/>
            <w:vAlign w:val="bottom"/>
            <w:tcBorders>
              <w:bottom w:val="single" w:sz="8" w:color="auto"/>
            </w:tcBorders>
          </w:tcPr>
          <w:p>
            <w:pPr>
              <w:spacing w:after="0"/>
              <w:rPr>
                <w:sz w:val="23"/>
                <w:szCs w:val="23"/>
                <w:color w:val="auto"/>
              </w:rPr>
            </w:pPr>
          </w:p>
        </w:tc>
      </w:tr>
      <w:tr>
        <w:trPr>
          <w:trHeight w:val="270"/>
        </w:trPr>
        <w:tc>
          <w:tcPr>
            <w:tcW w:w="202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b w:val="1"/>
                <w:bCs w:val="1"/>
                <w:color w:val="auto"/>
              </w:rPr>
              <w:t>Author</w:t>
            </w:r>
          </w:p>
        </w:tc>
        <w:tc>
          <w:tcPr>
            <w:tcW w:w="4500" w:type="dxa"/>
            <w:vAlign w:val="bottom"/>
            <w:gridSpan w:val="2"/>
          </w:tcPr>
          <w:p>
            <w:pPr>
              <w:ind w:left="60"/>
              <w:spacing w:after="0"/>
              <w:rPr>
                <w:sz w:val="20"/>
                <w:szCs w:val="20"/>
                <w:color w:val="auto"/>
              </w:rPr>
            </w:pPr>
            <w:r>
              <w:rPr>
                <w:rFonts w:ascii="Arial" w:cs="Arial" w:eastAsia="Arial" w:hAnsi="Arial"/>
                <w:sz w:val="20"/>
                <w:szCs w:val="20"/>
                <w:color w:val="auto"/>
              </w:rPr>
              <w:t>Tuninetti, Davide</w:t>
            </w:r>
          </w:p>
        </w:tc>
        <w:tc>
          <w:tcPr>
            <w:tcW w:w="1640" w:type="dxa"/>
            <w:vAlign w:val="bottom"/>
          </w:tcPr>
          <w:p>
            <w:pPr>
              <w:spacing w:after="0"/>
              <w:rPr>
                <w:sz w:val="23"/>
                <w:szCs w:val="23"/>
                <w:color w:val="auto"/>
              </w:rPr>
            </w:pPr>
          </w:p>
        </w:tc>
        <w:tc>
          <w:tcPr>
            <w:tcW w:w="3080" w:type="dxa"/>
            <w:vAlign w:val="bottom"/>
          </w:tcPr>
          <w:p>
            <w:pPr>
              <w:spacing w:after="0"/>
              <w:rPr>
                <w:sz w:val="23"/>
                <w:szCs w:val="23"/>
                <w:color w:val="auto"/>
              </w:rPr>
            </w:pPr>
          </w:p>
        </w:tc>
      </w:tr>
      <w:tr>
        <w:trPr>
          <w:trHeight w:val="237"/>
        </w:trPr>
        <w:tc>
          <w:tcPr>
            <w:tcW w:w="2020" w:type="dxa"/>
            <w:vAlign w:val="bottom"/>
            <w:tcBorders>
              <w:bottom w:val="single" w:sz="8" w:color="auto"/>
              <w:right w:val="single" w:sz="8" w:color="auto"/>
            </w:tcBorders>
          </w:tcPr>
          <w:p>
            <w:pPr>
              <w:spacing w:after="0"/>
              <w:rPr>
                <w:sz w:val="20"/>
                <w:szCs w:val="20"/>
                <w:color w:val="auto"/>
              </w:rPr>
            </w:pPr>
          </w:p>
        </w:tc>
        <w:tc>
          <w:tcPr>
            <w:tcW w:w="30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tcPr>
          <w:p>
            <w:pPr>
              <w:spacing w:after="0"/>
              <w:rPr>
                <w:sz w:val="20"/>
                <w:szCs w:val="20"/>
                <w:color w:val="auto"/>
              </w:rPr>
            </w:pPr>
          </w:p>
        </w:tc>
      </w:tr>
      <w:tr>
        <w:trPr>
          <w:trHeight w:val="270"/>
        </w:trPr>
        <w:tc>
          <w:tcPr>
            <w:tcW w:w="202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b w:val="1"/>
                <w:bCs w:val="1"/>
                <w:color w:val="auto"/>
              </w:rPr>
              <w:t>Approvals</w:t>
            </w:r>
          </w:p>
        </w:tc>
        <w:tc>
          <w:tcPr>
            <w:tcW w:w="4500" w:type="dxa"/>
            <w:vAlign w:val="bottom"/>
            <w:gridSpan w:val="2"/>
          </w:tcPr>
          <w:p>
            <w:pPr>
              <w:ind w:left="60"/>
              <w:spacing w:after="0"/>
              <w:rPr>
                <w:sz w:val="20"/>
                <w:szCs w:val="20"/>
                <w:color w:val="auto"/>
              </w:rPr>
            </w:pPr>
            <w:r>
              <w:rPr>
                <w:rFonts w:ascii="Arial" w:cs="Arial" w:eastAsia="Arial" w:hAnsi="Arial"/>
                <w:sz w:val="20"/>
                <w:szCs w:val="20"/>
                <w:color w:val="auto"/>
              </w:rPr>
              <w:t>Metcalf, Michael</w:t>
            </w:r>
          </w:p>
        </w:tc>
        <w:tc>
          <w:tcPr>
            <w:tcW w:w="1640" w:type="dxa"/>
            <w:vAlign w:val="bottom"/>
          </w:tcPr>
          <w:p>
            <w:pPr>
              <w:spacing w:after="0"/>
              <w:rPr>
                <w:sz w:val="23"/>
                <w:szCs w:val="23"/>
                <w:color w:val="auto"/>
              </w:rPr>
            </w:pPr>
          </w:p>
        </w:tc>
        <w:tc>
          <w:tcPr>
            <w:tcW w:w="3080" w:type="dxa"/>
            <w:vAlign w:val="bottom"/>
          </w:tcPr>
          <w:p>
            <w:pPr>
              <w:spacing w:after="0"/>
              <w:rPr>
                <w:sz w:val="23"/>
                <w:szCs w:val="23"/>
                <w:color w:val="auto"/>
              </w:rPr>
            </w:pPr>
          </w:p>
        </w:tc>
      </w:tr>
      <w:tr>
        <w:trPr>
          <w:trHeight w:val="237"/>
        </w:trPr>
        <w:tc>
          <w:tcPr>
            <w:tcW w:w="2020" w:type="dxa"/>
            <w:vAlign w:val="bottom"/>
            <w:tcBorders>
              <w:bottom w:val="single" w:sz="8" w:color="auto"/>
              <w:right w:val="single" w:sz="8" w:color="auto"/>
            </w:tcBorders>
          </w:tcPr>
          <w:p>
            <w:pPr>
              <w:spacing w:after="0"/>
              <w:rPr>
                <w:sz w:val="20"/>
                <w:szCs w:val="20"/>
                <w:color w:val="auto"/>
              </w:rPr>
            </w:pPr>
          </w:p>
        </w:tc>
        <w:tc>
          <w:tcPr>
            <w:tcW w:w="306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2"/>
          </w:tcPr>
          <w:p>
            <w:pPr>
              <w:spacing w:after="0"/>
              <w:rPr>
                <w:sz w:val="20"/>
                <w:szCs w:val="20"/>
                <w:color w:val="auto"/>
              </w:rPr>
            </w:pPr>
          </w:p>
        </w:tc>
        <w:tc>
          <w:tcPr>
            <w:tcW w:w="3080" w:type="dxa"/>
            <w:vAlign w:val="bottom"/>
            <w:tcBorders>
              <w:bottom w:val="single" w:sz="8" w:color="auto"/>
            </w:tcBorders>
          </w:tcPr>
          <w:p>
            <w:pPr>
              <w:spacing w:after="0"/>
              <w:rPr>
                <w:sz w:val="20"/>
                <w:szCs w:val="20"/>
                <w:color w:val="auto"/>
              </w:rPr>
            </w:pPr>
          </w:p>
        </w:tc>
      </w:tr>
      <w:tr>
        <w:trPr>
          <w:trHeight w:val="242"/>
        </w:trPr>
        <w:tc>
          <w:tcPr>
            <w:tcW w:w="202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b w:val="1"/>
                <w:bCs w:val="1"/>
                <w:color w:val="auto"/>
              </w:rPr>
              <w:t>Purpose</w:t>
            </w:r>
          </w:p>
        </w:tc>
        <w:tc>
          <w:tcPr>
            <w:tcW w:w="9220" w:type="dxa"/>
            <w:vAlign w:val="bottom"/>
            <w:gridSpan w:val="4"/>
          </w:tcPr>
          <w:p>
            <w:pPr>
              <w:ind w:left="60"/>
              <w:spacing w:after="0"/>
              <w:rPr>
                <w:sz w:val="20"/>
                <w:szCs w:val="20"/>
                <w:color w:val="auto"/>
              </w:rPr>
            </w:pPr>
            <w:r>
              <w:rPr>
                <w:rFonts w:ascii="Arial" w:cs="Arial" w:eastAsia="Arial" w:hAnsi="Arial"/>
                <w:sz w:val="20"/>
                <w:szCs w:val="20"/>
                <w:color w:val="auto"/>
              </w:rPr>
              <w:t>The purpose of this Insider Trading Policy (the “Policy”) is to promote compliance with applicable</w:t>
            </w:r>
          </w:p>
        </w:tc>
      </w:tr>
      <w:tr>
        <w:trPr>
          <w:trHeight w:val="229"/>
        </w:trPr>
        <w:tc>
          <w:tcPr>
            <w:tcW w:w="2020" w:type="dxa"/>
            <w:vAlign w:val="bottom"/>
            <w:tcBorders>
              <w:right w:val="single" w:sz="8" w:color="auto"/>
            </w:tcBorders>
          </w:tcPr>
          <w:p>
            <w:pPr>
              <w:spacing w:after="0"/>
              <w:rPr>
                <w:sz w:val="19"/>
                <w:szCs w:val="19"/>
                <w:color w:val="auto"/>
              </w:rPr>
            </w:pPr>
          </w:p>
        </w:tc>
        <w:tc>
          <w:tcPr>
            <w:tcW w:w="9220" w:type="dxa"/>
            <w:vAlign w:val="bottom"/>
            <w:gridSpan w:val="4"/>
          </w:tcPr>
          <w:p>
            <w:pPr>
              <w:ind w:left="60"/>
              <w:spacing w:after="0"/>
              <w:rPr>
                <w:sz w:val="20"/>
                <w:szCs w:val="20"/>
                <w:color w:val="auto"/>
              </w:rPr>
            </w:pPr>
            <w:r>
              <w:rPr>
                <w:rFonts w:ascii="Arial" w:cs="Arial" w:eastAsia="Arial" w:hAnsi="Arial"/>
                <w:sz w:val="20"/>
                <w:szCs w:val="20"/>
                <w:color w:val="auto"/>
              </w:rPr>
              <w:t>securities laws by Powell Industries, Inc. and its subsidiaries (“Powell” or the “Company”) and any</w:t>
            </w:r>
          </w:p>
        </w:tc>
      </w:tr>
      <w:tr>
        <w:trPr>
          <w:trHeight w:val="261"/>
        </w:trPr>
        <w:tc>
          <w:tcPr>
            <w:tcW w:w="2020" w:type="dxa"/>
            <w:vAlign w:val="bottom"/>
            <w:tcBorders>
              <w:right w:val="single" w:sz="8" w:color="auto"/>
            </w:tcBorders>
          </w:tcPr>
          <w:p>
            <w:pPr>
              <w:spacing w:after="0"/>
              <w:rPr>
                <w:sz w:val="22"/>
                <w:szCs w:val="22"/>
                <w:color w:val="auto"/>
              </w:rPr>
            </w:pPr>
          </w:p>
        </w:tc>
        <w:tc>
          <w:tcPr>
            <w:tcW w:w="4500" w:type="dxa"/>
            <w:vAlign w:val="bottom"/>
            <w:gridSpan w:val="2"/>
          </w:tcPr>
          <w:p>
            <w:pPr>
              <w:ind w:left="60"/>
              <w:spacing w:after="0"/>
              <w:rPr>
                <w:sz w:val="20"/>
                <w:szCs w:val="20"/>
                <w:color w:val="auto"/>
              </w:rPr>
            </w:pPr>
            <w:r>
              <w:rPr>
                <w:rFonts w:ascii="Arial" w:cs="Arial" w:eastAsia="Arial" w:hAnsi="Arial"/>
                <w:sz w:val="20"/>
                <w:szCs w:val="20"/>
                <w:color w:val="auto"/>
              </w:rPr>
              <w:t>Covered Person (as defined herein).</w:t>
            </w:r>
          </w:p>
        </w:tc>
        <w:tc>
          <w:tcPr>
            <w:tcW w:w="1640" w:type="dxa"/>
            <w:vAlign w:val="bottom"/>
          </w:tcPr>
          <w:p>
            <w:pPr>
              <w:spacing w:after="0"/>
              <w:rPr>
                <w:sz w:val="22"/>
                <w:szCs w:val="22"/>
                <w:color w:val="auto"/>
              </w:rPr>
            </w:pPr>
          </w:p>
        </w:tc>
        <w:tc>
          <w:tcPr>
            <w:tcW w:w="3080" w:type="dxa"/>
            <w:vAlign w:val="bottom"/>
          </w:tcPr>
          <w:p>
            <w:pPr>
              <w:spacing w:after="0"/>
              <w:rPr>
                <w:sz w:val="22"/>
                <w:szCs w:val="22"/>
                <w:color w:val="auto"/>
              </w:rPr>
            </w:pPr>
          </w:p>
        </w:tc>
      </w:tr>
      <w:tr>
        <w:trPr>
          <w:trHeight w:val="246"/>
        </w:trPr>
        <w:tc>
          <w:tcPr>
            <w:tcW w:w="2020" w:type="dxa"/>
            <w:vAlign w:val="bottom"/>
            <w:tcBorders>
              <w:bottom w:val="single" w:sz="8" w:color="auto"/>
              <w:right w:val="single" w:sz="8" w:color="auto"/>
            </w:tcBorders>
          </w:tcPr>
          <w:p>
            <w:pPr>
              <w:spacing w:after="0"/>
              <w:rPr>
                <w:sz w:val="21"/>
                <w:szCs w:val="21"/>
                <w:color w:val="auto"/>
              </w:rPr>
            </w:pPr>
          </w:p>
        </w:tc>
        <w:tc>
          <w:tcPr>
            <w:tcW w:w="30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spacing w:after="0"/>
              <w:rPr>
                <w:sz w:val="21"/>
                <w:szCs w:val="21"/>
                <w:color w:val="auto"/>
              </w:rPr>
            </w:pPr>
          </w:p>
        </w:tc>
        <w:tc>
          <w:tcPr>
            <w:tcW w:w="3080" w:type="dxa"/>
            <w:vAlign w:val="bottom"/>
            <w:tcBorders>
              <w:bottom w:val="single" w:sz="8" w:color="auto"/>
            </w:tcBorders>
          </w:tcPr>
          <w:p>
            <w:pPr>
              <w:spacing w:after="0"/>
              <w:rPr>
                <w:sz w:val="21"/>
                <w:szCs w:val="21"/>
                <w:color w:val="auto"/>
              </w:rPr>
            </w:pPr>
          </w:p>
        </w:tc>
      </w:tr>
      <w:tr>
        <w:trPr>
          <w:trHeight w:val="270"/>
        </w:trPr>
        <w:tc>
          <w:tcPr>
            <w:tcW w:w="202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b w:val="1"/>
                <w:bCs w:val="1"/>
                <w:color w:val="auto"/>
              </w:rPr>
              <w:t>Scope</w:t>
            </w:r>
          </w:p>
        </w:tc>
        <w:tc>
          <w:tcPr>
            <w:tcW w:w="4500" w:type="dxa"/>
            <w:vAlign w:val="bottom"/>
            <w:gridSpan w:val="2"/>
          </w:tcPr>
          <w:p>
            <w:pPr>
              <w:ind w:left="60"/>
              <w:spacing w:after="0"/>
              <w:rPr>
                <w:sz w:val="20"/>
                <w:szCs w:val="20"/>
                <w:color w:val="auto"/>
              </w:rPr>
            </w:pPr>
            <w:r>
              <w:rPr>
                <w:rFonts w:ascii="Arial" w:cs="Arial" w:eastAsia="Arial" w:hAnsi="Arial"/>
                <w:sz w:val="20"/>
                <w:szCs w:val="20"/>
                <w:color w:val="auto"/>
              </w:rPr>
              <w:t>The Policy applies to Covered Persons.</w:t>
            </w:r>
          </w:p>
        </w:tc>
        <w:tc>
          <w:tcPr>
            <w:tcW w:w="1640" w:type="dxa"/>
            <w:vAlign w:val="bottom"/>
          </w:tcPr>
          <w:p>
            <w:pPr>
              <w:spacing w:after="0"/>
              <w:rPr>
                <w:sz w:val="23"/>
                <w:szCs w:val="23"/>
                <w:color w:val="auto"/>
              </w:rPr>
            </w:pPr>
          </w:p>
        </w:tc>
        <w:tc>
          <w:tcPr>
            <w:tcW w:w="3080" w:type="dxa"/>
            <w:vAlign w:val="bottom"/>
          </w:tcPr>
          <w:p>
            <w:pPr>
              <w:spacing w:after="0"/>
              <w:rPr>
                <w:sz w:val="23"/>
                <w:szCs w:val="23"/>
                <w:color w:val="auto"/>
              </w:rPr>
            </w:pPr>
          </w:p>
        </w:tc>
      </w:tr>
      <w:tr>
        <w:trPr>
          <w:trHeight w:val="236"/>
        </w:trPr>
        <w:tc>
          <w:tcPr>
            <w:tcW w:w="2020" w:type="dxa"/>
            <w:vAlign w:val="bottom"/>
            <w:tcBorders>
              <w:bottom w:val="single" w:sz="8" w:color="auto"/>
              <w:right w:val="single" w:sz="8" w:color="auto"/>
            </w:tcBorders>
          </w:tcPr>
          <w:p>
            <w:pPr>
              <w:spacing w:after="0"/>
              <w:rPr>
                <w:sz w:val="20"/>
                <w:szCs w:val="20"/>
                <w:color w:val="auto"/>
              </w:rPr>
            </w:pPr>
          </w:p>
        </w:tc>
        <w:tc>
          <w:tcPr>
            <w:tcW w:w="306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2"/>
          </w:tcPr>
          <w:p>
            <w:pPr>
              <w:spacing w:after="0"/>
              <w:rPr>
                <w:sz w:val="20"/>
                <w:szCs w:val="20"/>
                <w:color w:val="auto"/>
              </w:rPr>
            </w:pPr>
          </w:p>
        </w:tc>
        <w:tc>
          <w:tcPr>
            <w:tcW w:w="3080" w:type="dxa"/>
            <w:vAlign w:val="bottom"/>
            <w:tcBorders>
              <w:bottom w:val="single" w:sz="8" w:color="auto"/>
            </w:tcBorders>
          </w:tcPr>
          <w:p>
            <w:pPr>
              <w:spacing w:after="0"/>
              <w:rPr>
                <w:sz w:val="20"/>
                <w:szCs w:val="20"/>
                <w:color w:val="auto"/>
              </w:rPr>
            </w:pPr>
          </w:p>
        </w:tc>
      </w:tr>
      <w:tr>
        <w:trPr>
          <w:trHeight w:val="242"/>
        </w:trPr>
        <w:tc>
          <w:tcPr>
            <w:tcW w:w="202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b w:val="1"/>
                <w:bCs w:val="1"/>
                <w:color w:val="auto"/>
              </w:rPr>
              <w:t>Policy</w:t>
            </w:r>
          </w:p>
        </w:tc>
        <w:tc>
          <w:tcPr>
            <w:tcW w:w="9220" w:type="dxa"/>
            <w:vAlign w:val="bottom"/>
            <w:gridSpan w:val="4"/>
          </w:tcPr>
          <w:p>
            <w:pPr>
              <w:ind w:left="60"/>
              <w:spacing w:after="0"/>
              <w:rPr>
                <w:sz w:val="20"/>
                <w:szCs w:val="20"/>
                <w:color w:val="auto"/>
              </w:rPr>
            </w:pPr>
            <w:r>
              <w:rPr>
                <w:rFonts w:ascii="Arial" w:cs="Arial" w:eastAsia="Arial" w:hAnsi="Arial"/>
                <w:sz w:val="20"/>
                <w:szCs w:val="20"/>
                <w:color w:val="auto"/>
              </w:rPr>
              <w:t>Any Covered Person who is aware of material non-public information about the Company or another</w:t>
            </w:r>
          </w:p>
        </w:tc>
      </w:tr>
      <w:tr>
        <w:trPr>
          <w:trHeight w:val="230"/>
        </w:trPr>
        <w:tc>
          <w:tcPr>
            <w:tcW w:w="2020" w:type="dxa"/>
            <w:vAlign w:val="bottom"/>
            <w:tcBorders>
              <w:right w:val="single" w:sz="8" w:color="auto"/>
            </w:tcBorders>
          </w:tcPr>
          <w:p>
            <w:pPr>
              <w:spacing w:after="0"/>
              <w:rPr>
                <w:sz w:val="19"/>
                <w:szCs w:val="19"/>
                <w:color w:val="auto"/>
              </w:rPr>
            </w:pPr>
          </w:p>
        </w:tc>
        <w:tc>
          <w:tcPr>
            <w:tcW w:w="9220" w:type="dxa"/>
            <w:vAlign w:val="bottom"/>
            <w:gridSpan w:val="4"/>
          </w:tcPr>
          <w:p>
            <w:pPr>
              <w:ind w:left="60"/>
              <w:spacing w:after="0"/>
              <w:rPr>
                <w:sz w:val="20"/>
                <w:szCs w:val="20"/>
                <w:color w:val="auto"/>
              </w:rPr>
            </w:pPr>
            <w:r>
              <w:rPr>
                <w:rFonts w:ascii="Arial" w:cs="Arial" w:eastAsia="Arial" w:hAnsi="Arial"/>
                <w:sz w:val="20"/>
                <w:szCs w:val="20"/>
                <w:color w:val="auto"/>
                <w:w w:val="99"/>
              </w:rPr>
              <w:t>company with which the Company has a material business relationship (a “Covered Company” that was</w:t>
            </w:r>
          </w:p>
        </w:tc>
      </w:tr>
      <w:tr>
        <w:trPr>
          <w:trHeight w:val="243"/>
        </w:trPr>
        <w:tc>
          <w:tcPr>
            <w:tcW w:w="2020" w:type="dxa"/>
            <w:vAlign w:val="bottom"/>
            <w:tcBorders>
              <w:right w:val="single" w:sz="8" w:color="auto"/>
            </w:tcBorders>
          </w:tcPr>
          <w:p>
            <w:pPr>
              <w:spacing w:after="0"/>
              <w:rPr>
                <w:sz w:val="21"/>
                <w:szCs w:val="21"/>
                <w:color w:val="auto"/>
              </w:rPr>
            </w:pPr>
          </w:p>
        </w:tc>
        <w:tc>
          <w:tcPr>
            <w:tcW w:w="9220" w:type="dxa"/>
            <w:vAlign w:val="bottom"/>
            <w:gridSpan w:val="4"/>
          </w:tcPr>
          <w:p>
            <w:pPr>
              <w:ind w:left="60"/>
              <w:spacing w:after="0"/>
              <w:rPr>
                <w:sz w:val="20"/>
                <w:szCs w:val="20"/>
                <w:color w:val="auto"/>
              </w:rPr>
            </w:pPr>
            <w:r>
              <w:rPr>
                <w:rFonts w:ascii="Arial" w:cs="Arial" w:eastAsia="Arial" w:hAnsi="Arial"/>
                <w:sz w:val="20"/>
                <w:szCs w:val="20"/>
                <w:color w:val="auto"/>
              </w:rPr>
              <w:t>obtained in the course of his or her position or employment by the Company is prohibited from</w:t>
            </w:r>
          </w:p>
        </w:tc>
      </w:tr>
      <w:tr>
        <w:trPr>
          <w:trHeight w:val="230"/>
        </w:trPr>
        <w:tc>
          <w:tcPr>
            <w:tcW w:w="2020" w:type="dxa"/>
            <w:vAlign w:val="bottom"/>
            <w:tcBorders>
              <w:right w:val="single" w:sz="8" w:color="auto"/>
            </w:tcBorders>
          </w:tcPr>
          <w:p>
            <w:pPr>
              <w:spacing w:after="0"/>
              <w:rPr>
                <w:sz w:val="19"/>
                <w:szCs w:val="19"/>
                <w:color w:val="auto"/>
              </w:rPr>
            </w:pPr>
          </w:p>
        </w:tc>
        <w:tc>
          <w:tcPr>
            <w:tcW w:w="9220" w:type="dxa"/>
            <w:vAlign w:val="bottom"/>
            <w:gridSpan w:val="4"/>
          </w:tcPr>
          <w:p>
            <w:pPr>
              <w:ind w:left="60"/>
              <w:spacing w:after="0"/>
              <w:rPr>
                <w:sz w:val="20"/>
                <w:szCs w:val="20"/>
                <w:color w:val="auto"/>
              </w:rPr>
            </w:pPr>
            <w:r>
              <w:rPr>
                <w:rFonts w:ascii="Arial" w:cs="Arial" w:eastAsia="Arial" w:hAnsi="Arial"/>
                <w:sz w:val="20"/>
                <w:szCs w:val="20"/>
                <w:color w:val="auto"/>
              </w:rPr>
              <w:t>engaging in any trading (including any bona fide gifts) with regard to the securities of the Company or a</w:t>
            </w:r>
          </w:p>
        </w:tc>
      </w:tr>
      <w:tr>
        <w:trPr>
          <w:trHeight w:val="261"/>
        </w:trPr>
        <w:tc>
          <w:tcPr>
            <w:tcW w:w="2020" w:type="dxa"/>
            <w:vAlign w:val="bottom"/>
            <w:tcBorders>
              <w:right w:val="single" w:sz="8" w:color="auto"/>
            </w:tcBorders>
          </w:tcPr>
          <w:p>
            <w:pPr>
              <w:spacing w:after="0"/>
              <w:rPr>
                <w:sz w:val="22"/>
                <w:szCs w:val="22"/>
                <w:color w:val="auto"/>
              </w:rPr>
            </w:pPr>
          </w:p>
        </w:tc>
        <w:tc>
          <w:tcPr>
            <w:tcW w:w="4500" w:type="dxa"/>
            <w:vAlign w:val="bottom"/>
            <w:gridSpan w:val="2"/>
          </w:tcPr>
          <w:p>
            <w:pPr>
              <w:ind w:left="60"/>
              <w:spacing w:after="0"/>
              <w:rPr>
                <w:sz w:val="20"/>
                <w:szCs w:val="20"/>
                <w:color w:val="auto"/>
              </w:rPr>
            </w:pPr>
            <w:r>
              <w:rPr>
                <w:rFonts w:ascii="Arial" w:cs="Arial" w:eastAsia="Arial" w:hAnsi="Arial"/>
                <w:sz w:val="20"/>
                <w:szCs w:val="20"/>
                <w:color w:val="auto"/>
              </w:rPr>
              <w:t>Covered Company (the “Covered Securities”).</w:t>
            </w:r>
          </w:p>
        </w:tc>
        <w:tc>
          <w:tcPr>
            <w:tcW w:w="1640" w:type="dxa"/>
            <w:vAlign w:val="bottom"/>
          </w:tcPr>
          <w:p>
            <w:pPr>
              <w:spacing w:after="0"/>
              <w:rPr>
                <w:sz w:val="22"/>
                <w:szCs w:val="22"/>
                <w:color w:val="auto"/>
              </w:rPr>
            </w:pPr>
          </w:p>
        </w:tc>
        <w:tc>
          <w:tcPr>
            <w:tcW w:w="3080" w:type="dxa"/>
            <w:vAlign w:val="bottom"/>
          </w:tcPr>
          <w:p>
            <w:pPr>
              <w:spacing w:after="0"/>
              <w:rPr>
                <w:sz w:val="22"/>
                <w:szCs w:val="22"/>
                <w:color w:val="auto"/>
              </w:rPr>
            </w:pPr>
          </w:p>
        </w:tc>
      </w:tr>
      <w:tr>
        <w:trPr>
          <w:trHeight w:val="30"/>
        </w:trPr>
        <w:tc>
          <w:tcPr>
            <w:tcW w:w="202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r>
    </w:tbl>
    <w:p>
      <w:pPr>
        <w:spacing w:after="0" w:line="300" w:lineRule="exact"/>
        <w:rPr>
          <w:sz w:val="20"/>
          <w:szCs w:val="20"/>
          <w:color w:val="auto"/>
        </w:rPr>
      </w:pPr>
    </w:p>
    <w:p>
      <w:pPr>
        <w:ind w:left="640" w:hanging="632"/>
        <w:spacing w:after="0"/>
        <w:tabs>
          <w:tab w:leader="none" w:pos="640" w:val="left"/>
        </w:tabs>
        <w:numPr>
          <w:ilvl w:val="0"/>
          <w:numId w:val="33"/>
        </w:numPr>
        <w:rPr>
          <w:rFonts w:ascii="Arial" w:cs="Arial" w:eastAsia="Arial" w:hAnsi="Arial"/>
          <w:sz w:val="20"/>
          <w:szCs w:val="20"/>
          <w:b w:val="1"/>
          <w:bCs w:val="1"/>
          <w:color w:val="010000"/>
        </w:rPr>
      </w:pPr>
      <w:r>
        <w:rPr>
          <w:rFonts w:ascii="Arial" w:cs="Arial" w:eastAsia="Arial" w:hAnsi="Arial"/>
          <w:sz w:val="20"/>
          <w:szCs w:val="20"/>
          <w:b w:val="1"/>
          <w:bCs w:val="1"/>
          <w:color w:val="auto"/>
        </w:rPr>
        <w:t>INTRODUCTION</w:t>
      </w:r>
    </w:p>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This Policy has been designed to prevent insider trading or allegations of insider trading. Your strict adherence to this Policy will help safeguard Powell’s reputation and will further ensure that Powell conducts its business with integrity and in accordance with ethical standards. Each person subject to this Policy is responsible for the consequences of his or her actions.</w:t>
      </w:r>
    </w:p>
    <w:p>
      <w:pPr>
        <w:spacing w:after="0" w:line="158"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It is important that you understand the breadth of activities that constitute illegal insider trading and the consequences, which can be severe. Cases have been successfully prosecuted against trading through foreign accounts, trading by family members and friends, and trading involving only a small number of shares.</w:t>
      </w:r>
    </w:p>
    <w:p>
      <w:pPr>
        <w:spacing w:after="0" w:line="163" w:lineRule="exact"/>
        <w:rPr>
          <w:sz w:val="20"/>
          <w:szCs w:val="20"/>
          <w:color w:val="auto"/>
        </w:rPr>
      </w:pPr>
    </w:p>
    <w:p>
      <w:pPr>
        <w:ind w:left="640" w:hanging="632"/>
        <w:spacing w:after="0"/>
        <w:tabs>
          <w:tab w:leader="none" w:pos="640" w:val="left"/>
        </w:tabs>
        <w:numPr>
          <w:ilvl w:val="0"/>
          <w:numId w:val="34"/>
        </w:numPr>
        <w:rPr>
          <w:rFonts w:ascii="Arial" w:cs="Arial" w:eastAsia="Arial" w:hAnsi="Arial"/>
          <w:sz w:val="20"/>
          <w:szCs w:val="20"/>
          <w:b w:val="1"/>
          <w:bCs w:val="1"/>
          <w:color w:val="010000"/>
        </w:rPr>
      </w:pPr>
      <w:r>
        <w:rPr>
          <w:rFonts w:ascii="Arial" w:cs="Arial" w:eastAsia="Arial" w:hAnsi="Arial"/>
          <w:sz w:val="20"/>
          <w:szCs w:val="20"/>
          <w:b w:val="1"/>
          <w:bCs w:val="1"/>
          <w:color w:val="auto"/>
        </w:rPr>
        <w:t>SANCTIONS AND PENALTIES</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Violations of the insider trading laws can result in severe civil and criminal sanctions. Failure to comply with this Policy may also result in disciplinary action by Powell, up to and including immediate dismissal for cause, whether or not any civil or criminal penalties arise from the ‘inside’ securities trading.4</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4"/>
          <w:szCs w:val="14"/>
          <w:color w:val="auto"/>
        </w:rPr>
        <w:t>Powell Industries, Inc. Company Policy</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Governance Policies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Insider Trading Policy</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June 1, 2025</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Page 1 of 6</w:t>
      </w:r>
    </w:p>
    <w:p>
      <w:pPr>
        <w:sectPr>
          <w:pgSz w:w="11900" w:h="16838" w:orient="portrait"/>
          <w:cols w:equalWidth="0" w:num="1">
            <w:col w:w="11240"/>
          </w:cols>
          <w:pgMar w:left="320" w:top="78" w:right="339" w:bottom="1440" w:gutter="0" w:footer="0" w:header="0"/>
        </w:sectPr>
      </w:pPr>
    </w:p>
    <w:bookmarkStart w:id="89" w:name="page90"/>
    <w:bookmarkEnd w:id="89"/>
    <w:p>
      <w:pPr>
        <w:ind w:left="10240"/>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0350" cy="10287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6">
                      <a:extLst>
                        <a:ext uri="{28A0092B-C50C-407E-A947-70E740481C1C}"/>
                      </a:extLst>
                    </a:blip>
                    <a:srcRect/>
                    <a:stretch>
                      <a:fillRect/>
                    </a:stretch>
                  </pic:blipFill>
                  <pic:spPr bwMode="auto">
                    <a:xfrm>
                      <a:off x="0" y="0"/>
                      <a:ext cx="5340350" cy="1028700"/>
                    </a:xfrm>
                    <a:prstGeom prst="rect">
                      <a:avLst/>
                    </a:prstGeom>
                    <a:noFill/>
                  </pic:spPr>
                </pic:pic>
              </a:graphicData>
            </a:graphic>
          </wp:anchor>
        </w:drawing>
      </w:r>
    </w:p>
    <w:p>
      <w:pPr>
        <w:sectPr>
          <w:pgSz w:w="11900" w:h="16838" w:orient="portrait"/>
          <w:cols w:equalWidth="0" w:num="1">
            <w:col w:w="11240"/>
          </w:cols>
          <w:pgMar w:left="320" w:top="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40" w:hanging="632"/>
        <w:spacing w:after="0"/>
        <w:tabs>
          <w:tab w:leader="none" w:pos="640" w:val="left"/>
        </w:tabs>
        <w:numPr>
          <w:ilvl w:val="0"/>
          <w:numId w:val="35"/>
        </w:numPr>
        <w:rPr>
          <w:rFonts w:ascii="Arial" w:cs="Arial" w:eastAsia="Arial" w:hAnsi="Arial"/>
          <w:sz w:val="20"/>
          <w:szCs w:val="20"/>
          <w:b w:val="1"/>
          <w:bCs w:val="1"/>
          <w:color w:val="010000"/>
        </w:rPr>
      </w:pPr>
      <w:r>
        <w:rPr>
          <w:rFonts w:ascii="Arial" w:cs="Arial" w:eastAsia="Arial" w:hAnsi="Arial"/>
          <w:sz w:val="20"/>
          <w:szCs w:val="20"/>
          <w:b w:val="1"/>
          <w:bCs w:val="1"/>
          <w:color w:val="auto"/>
        </w:rPr>
        <w:t>GENERAL PROHIBITION ON INSIDER TRADING</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This Policy applies to (i) all directors, officers, employees and consultants of the Company and its subsidiaries, (ii) family members who reside with any such persons and (iii) any other person (including a corporation, limited liability company, partnership or trust) whose transactions in Covered Securities are directed by or are subject to the influence or control of such persons (a “Covered Person”).</w:t>
      </w:r>
    </w:p>
    <w:p>
      <w:pPr>
        <w:spacing w:after="0" w:line="18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Any Covered Person who is aware of material non-public information about the Company or a Covered Company that was obtained in the course of his or her position or employment by the Company is prohibited from engaging in any trading (including any bona fide gifts) with regard to the Covered Securities.</w:t>
      </w:r>
    </w:p>
    <w:p>
      <w:pPr>
        <w:spacing w:after="0" w:line="16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010000"/>
        </w:rPr>
        <w:t>IV.</w:t>
      </w:r>
      <w:r>
        <w:rPr>
          <w:sz w:val="20"/>
          <w:szCs w:val="20"/>
          <w:color w:val="auto"/>
        </w:rPr>
        <w:tab/>
      </w:r>
      <w:r>
        <w:rPr>
          <w:rFonts w:ascii="Arial" w:cs="Arial" w:eastAsia="Arial" w:hAnsi="Arial"/>
          <w:sz w:val="20"/>
          <w:szCs w:val="20"/>
          <w:b w:val="1"/>
          <w:bCs w:val="1"/>
          <w:color w:val="auto"/>
        </w:rPr>
        <w:t>DEFINITION OF MATERIAL NON-PUBLIC INFORMATION</w:t>
      </w:r>
    </w:p>
    <w:p>
      <w:pPr>
        <w:spacing w:after="0" w:line="191"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Information is “material” if a reasonable investor would likely consider it important in making a decision to buy, hold, sell or otherwise trade in securities. The information may be positive or negative. Financial information is frequently material, even if it covers only part of a fiscal period or a portion of Powell’s operations, since either of these might convey enough information about Powell’s consolidated results to be considered material information. Other common examples of information that may be material include:</w:t>
      </w:r>
    </w:p>
    <w:p>
      <w:pPr>
        <w:spacing w:after="0" w:line="144" w:lineRule="exact"/>
        <w:rPr>
          <w:sz w:val="20"/>
          <w:szCs w:val="20"/>
          <w:color w:val="auto"/>
        </w:rPr>
      </w:pPr>
    </w:p>
    <w:p>
      <w:pPr>
        <w:ind w:left="960" w:hanging="304"/>
        <w:spacing w:after="0"/>
        <w:tabs>
          <w:tab w:leader="none" w:pos="960" w:val="left"/>
        </w:tabs>
        <w:numPr>
          <w:ilvl w:val="0"/>
          <w:numId w:val="36"/>
        </w:numPr>
        <w:rPr>
          <w:rFonts w:ascii="Times New Roman" w:cs="Times New Roman" w:eastAsia="Times New Roman" w:hAnsi="Times New Roman"/>
          <w:sz w:val="20"/>
          <w:szCs w:val="20"/>
          <w:color w:val="auto"/>
        </w:rPr>
      </w:pPr>
      <w:r>
        <w:rPr>
          <w:rFonts w:ascii="Arial" w:cs="Arial" w:eastAsia="Arial" w:hAnsi="Arial"/>
          <w:sz w:val="20"/>
          <w:szCs w:val="20"/>
          <w:color w:val="auto"/>
        </w:rPr>
        <w:t>Information regarding sales, revenues, earnings or backlog (including projections);</w:t>
      </w:r>
    </w:p>
    <w:p>
      <w:pPr>
        <w:ind w:left="980" w:hanging="324"/>
        <w:spacing w:after="0" w:line="203" w:lineRule="auto"/>
        <w:tabs>
          <w:tab w:leader="none" w:pos="968" w:val="left"/>
        </w:tabs>
        <w:numPr>
          <w:ilvl w:val="0"/>
          <w:numId w:val="36"/>
        </w:numPr>
        <w:rPr>
          <w:rFonts w:ascii="Times New Roman" w:cs="Times New Roman" w:eastAsia="Times New Roman" w:hAnsi="Times New Roman"/>
          <w:sz w:val="20"/>
          <w:szCs w:val="20"/>
          <w:color w:val="auto"/>
        </w:rPr>
      </w:pPr>
      <w:r>
        <w:rPr>
          <w:rFonts w:ascii="Arial" w:cs="Arial" w:eastAsia="Arial" w:hAnsi="Arial"/>
          <w:sz w:val="20"/>
          <w:szCs w:val="20"/>
          <w:color w:val="auto"/>
        </w:rPr>
        <w:t>Financial forecasts of any kind, including earnings estimates or changes in previously announced earnings estimates;</w:t>
      </w:r>
    </w:p>
    <w:p>
      <w:pPr>
        <w:spacing w:after="0" w:line="1" w:lineRule="exact"/>
        <w:rPr>
          <w:rFonts w:ascii="Times New Roman" w:cs="Times New Roman" w:eastAsia="Times New Roman" w:hAnsi="Times New Roman"/>
          <w:sz w:val="20"/>
          <w:szCs w:val="20"/>
          <w:color w:val="auto"/>
        </w:rPr>
      </w:pPr>
    </w:p>
    <w:p>
      <w:pPr>
        <w:ind w:left="960" w:hanging="304"/>
        <w:spacing w:after="0" w:line="210" w:lineRule="auto"/>
        <w:tabs>
          <w:tab w:leader="none" w:pos="960" w:val="left"/>
        </w:tabs>
        <w:numPr>
          <w:ilvl w:val="0"/>
          <w:numId w:val="36"/>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business trends and metrics;</w:t>
      </w:r>
    </w:p>
    <w:p>
      <w:pPr>
        <w:ind w:left="960" w:hanging="304"/>
        <w:spacing w:after="0" w:line="210" w:lineRule="auto"/>
        <w:tabs>
          <w:tab w:leader="none" w:pos="960" w:val="left"/>
        </w:tabs>
        <w:numPr>
          <w:ilvl w:val="0"/>
          <w:numId w:val="36"/>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proposed joint ventures, mergers, acquisitions, changes in control, investments or divestitures;</w:t>
      </w:r>
    </w:p>
    <w:p>
      <w:pPr>
        <w:ind w:left="960" w:hanging="304"/>
        <w:spacing w:after="0" w:line="196" w:lineRule="auto"/>
        <w:tabs>
          <w:tab w:leader="none" w:pos="960" w:val="left"/>
        </w:tabs>
        <w:numPr>
          <w:ilvl w:val="0"/>
          <w:numId w:val="36"/>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developments in products or services;</w:t>
      </w:r>
    </w:p>
    <w:p>
      <w:pPr>
        <w:ind w:left="960" w:hanging="304"/>
        <w:spacing w:after="0" w:line="210" w:lineRule="auto"/>
        <w:tabs>
          <w:tab w:leader="none" w:pos="960" w:val="left"/>
        </w:tabs>
        <w:numPr>
          <w:ilvl w:val="0"/>
          <w:numId w:val="36"/>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related party transactions;</w:t>
      </w:r>
    </w:p>
    <w:p>
      <w:pPr>
        <w:ind w:left="960" w:hanging="304"/>
        <w:spacing w:after="0" w:line="210" w:lineRule="auto"/>
        <w:tabs>
          <w:tab w:leader="none" w:pos="960" w:val="left"/>
        </w:tabs>
        <w:numPr>
          <w:ilvl w:val="0"/>
          <w:numId w:val="36"/>
        </w:numPr>
        <w:rPr>
          <w:rFonts w:ascii="Times New Roman" w:cs="Times New Roman" w:eastAsia="Times New Roman" w:hAnsi="Times New Roman"/>
          <w:sz w:val="20"/>
          <w:szCs w:val="20"/>
          <w:color w:val="auto"/>
        </w:rPr>
      </w:pPr>
      <w:r>
        <w:rPr>
          <w:rFonts w:ascii="Arial" w:cs="Arial" w:eastAsia="Arial" w:hAnsi="Arial"/>
          <w:sz w:val="20"/>
          <w:szCs w:val="20"/>
          <w:color w:val="auto"/>
        </w:rPr>
        <w:t>Gain or loss of substantial customers or suppliers;</w:t>
      </w:r>
    </w:p>
    <w:p>
      <w:pPr>
        <w:ind w:left="960" w:hanging="304"/>
        <w:spacing w:after="0" w:line="196" w:lineRule="auto"/>
        <w:tabs>
          <w:tab w:leader="none" w:pos="960" w:val="left"/>
        </w:tabs>
        <w:numPr>
          <w:ilvl w:val="0"/>
          <w:numId w:val="36"/>
        </w:numPr>
        <w:rPr>
          <w:rFonts w:ascii="Times New Roman" w:cs="Times New Roman" w:eastAsia="Times New Roman" w:hAnsi="Times New Roman"/>
          <w:sz w:val="20"/>
          <w:szCs w:val="20"/>
          <w:color w:val="auto"/>
        </w:rPr>
      </w:pPr>
      <w:r>
        <w:rPr>
          <w:rFonts w:ascii="Arial" w:cs="Arial" w:eastAsia="Arial" w:hAnsi="Arial"/>
          <w:sz w:val="20"/>
          <w:szCs w:val="20"/>
          <w:color w:val="auto"/>
        </w:rPr>
        <w:t>Execution or termination of significant contracts;</w:t>
      </w:r>
    </w:p>
    <w:p>
      <w:pPr>
        <w:ind w:left="960" w:hanging="304"/>
        <w:spacing w:after="0" w:line="210" w:lineRule="auto"/>
        <w:tabs>
          <w:tab w:leader="none" w:pos="960" w:val="left"/>
        </w:tabs>
        <w:numPr>
          <w:ilvl w:val="0"/>
          <w:numId w:val="36"/>
        </w:numPr>
        <w:rPr>
          <w:rFonts w:ascii="Times New Roman" w:cs="Times New Roman" w:eastAsia="Times New Roman" w:hAnsi="Times New Roman"/>
          <w:sz w:val="20"/>
          <w:szCs w:val="20"/>
          <w:color w:val="auto"/>
        </w:rPr>
      </w:pPr>
      <w:r>
        <w:rPr>
          <w:rFonts w:ascii="Arial" w:cs="Arial" w:eastAsia="Arial" w:hAnsi="Arial"/>
          <w:sz w:val="20"/>
          <w:szCs w:val="20"/>
          <w:color w:val="auto"/>
        </w:rPr>
        <w:t>Financings or restructurings;</w:t>
      </w:r>
    </w:p>
    <w:p>
      <w:pPr>
        <w:ind w:left="960" w:hanging="304"/>
        <w:spacing w:after="0" w:line="210" w:lineRule="auto"/>
        <w:tabs>
          <w:tab w:leader="none" w:pos="960" w:val="left"/>
        </w:tabs>
        <w:numPr>
          <w:ilvl w:val="0"/>
          <w:numId w:val="36"/>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unusual gains or losses;</w:t>
      </w:r>
    </w:p>
    <w:p>
      <w:pPr>
        <w:ind w:left="960" w:hanging="304"/>
        <w:spacing w:after="0" w:line="196" w:lineRule="auto"/>
        <w:tabs>
          <w:tab w:leader="none" w:pos="960" w:val="left"/>
        </w:tabs>
        <w:numPr>
          <w:ilvl w:val="0"/>
          <w:numId w:val="36"/>
        </w:numPr>
        <w:rPr>
          <w:rFonts w:ascii="Times New Roman" w:cs="Times New Roman" w:eastAsia="Times New Roman" w:hAnsi="Times New Roman"/>
          <w:sz w:val="20"/>
          <w:szCs w:val="20"/>
          <w:color w:val="auto"/>
        </w:rPr>
      </w:pPr>
      <w:r>
        <w:rPr>
          <w:rFonts w:ascii="Arial" w:cs="Arial" w:eastAsia="Arial" w:hAnsi="Arial"/>
          <w:sz w:val="20"/>
          <w:szCs w:val="20"/>
          <w:color w:val="auto"/>
        </w:rPr>
        <w:t>Changes in business strategies;</w:t>
      </w:r>
    </w:p>
    <w:p>
      <w:pPr>
        <w:ind w:left="960" w:hanging="304"/>
        <w:spacing w:after="0" w:line="210" w:lineRule="auto"/>
        <w:tabs>
          <w:tab w:leader="none" w:pos="960" w:val="left"/>
        </w:tabs>
        <w:numPr>
          <w:ilvl w:val="0"/>
          <w:numId w:val="36"/>
        </w:numPr>
        <w:rPr>
          <w:rFonts w:ascii="Times New Roman" w:cs="Times New Roman" w:eastAsia="Times New Roman" w:hAnsi="Times New Roman"/>
          <w:sz w:val="20"/>
          <w:szCs w:val="20"/>
          <w:color w:val="auto"/>
        </w:rPr>
      </w:pPr>
      <w:r>
        <w:rPr>
          <w:rFonts w:ascii="Arial" w:cs="Arial" w:eastAsia="Arial" w:hAnsi="Arial"/>
          <w:sz w:val="20"/>
          <w:szCs w:val="20"/>
          <w:color w:val="auto"/>
        </w:rPr>
        <w:t>Developments in significant litigation or government investigations;</w:t>
      </w:r>
    </w:p>
    <w:p>
      <w:pPr>
        <w:jc w:val="both"/>
        <w:ind w:left="980" w:hanging="324"/>
        <w:spacing w:after="0" w:line="206" w:lineRule="auto"/>
        <w:tabs>
          <w:tab w:leader="none" w:pos="968" w:val="left"/>
        </w:tabs>
        <w:numPr>
          <w:ilvl w:val="0"/>
          <w:numId w:val="36"/>
        </w:numPr>
        <w:rPr>
          <w:rFonts w:ascii="Times New Roman" w:cs="Times New Roman" w:eastAsia="Times New Roman" w:hAnsi="Times New Roman"/>
          <w:sz w:val="20"/>
          <w:szCs w:val="20"/>
          <w:color w:val="auto"/>
        </w:rPr>
      </w:pPr>
      <w:r>
        <w:rPr>
          <w:rFonts w:ascii="Arial" w:cs="Arial" w:eastAsia="Arial" w:hAnsi="Arial"/>
          <w:sz w:val="20"/>
          <w:szCs w:val="20"/>
          <w:color w:val="auto"/>
        </w:rPr>
        <w:t>A significant cybersecurity incident, such as a data breach, or any other significant disruption in the Company’s operations or loss, potential loss, breach or other unauthorized access of its property or assets, whether at its physical locations or through its information technology infrastructure;</w:t>
      </w:r>
    </w:p>
    <w:p>
      <w:pPr>
        <w:spacing w:after="0" w:line="1" w:lineRule="exact"/>
        <w:rPr>
          <w:rFonts w:ascii="Times New Roman" w:cs="Times New Roman" w:eastAsia="Times New Roman" w:hAnsi="Times New Roman"/>
          <w:sz w:val="20"/>
          <w:szCs w:val="20"/>
          <w:color w:val="auto"/>
        </w:rPr>
      </w:pPr>
    </w:p>
    <w:p>
      <w:pPr>
        <w:ind w:left="960" w:hanging="304"/>
        <w:spacing w:after="0" w:line="210" w:lineRule="auto"/>
        <w:tabs>
          <w:tab w:leader="none" w:pos="960" w:val="left"/>
        </w:tabs>
        <w:numPr>
          <w:ilvl w:val="0"/>
          <w:numId w:val="36"/>
        </w:numPr>
        <w:rPr>
          <w:rFonts w:ascii="Times New Roman" w:cs="Times New Roman" w:eastAsia="Times New Roman" w:hAnsi="Times New Roman"/>
          <w:sz w:val="20"/>
          <w:szCs w:val="20"/>
          <w:color w:val="auto"/>
        </w:rPr>
      </w:pPr>
      <w:r>
        <w:rPr>
          <w:rFonts w:ascii="Arial" w:cs="Arial" w:eastAsia="Arial" w:hAnsi="Arial"/>
          <w:sz w:val="20"/>
          <w:szCs w:val="20"/>
          <w:color w:val="auto"/>
        </w:rPr>
        <w:t>Public or private debt or equity offerings;</w:t>
      </w:r>
    </w:p>
    <w:p>
      <w:pPr>
        <w:ind w:left="960" w:hanging="304"/>
        <w:spacing w:after="0" w:line="196" w:lineRule="auto"/>
        <w:tabs>
          <w:tab w:leader="none" w:pos="960" w:val="left"/>
        </w:tabs>
        <w:numPr>
          <w:ilvl w:val="0"/>
          <w:numId w:val="36"/>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changes in senior management;</w:t>
      </w:r>
    </w:p>
    <w:p>
      <w:pPr>
        <w:ind w:left="960" w:hanging="304"/>
        <w:spacing w:after="0" w:line="210" w:lineRule="auto"/>
        <w:tabs>
          <w:tab w:leader="none" w:pos="960" w:val="left"/>
        </w:tabs>
        <w:numPr>
          <w:ilvl w:val="0"/>
          <w:numId w:val="36"/>
        </w:numPr>
        <w:rPr>
          <w:rFonts w:ascii="Times New Roman" w:cs="Times New Roman" w:eastAsia="Times New Roman" w:hAnsi="Times New Roman"/>
          <w:sz w:val="20"/>
          <w:szCs w:val="20"/>
          <w:color w:val="auto"/>
        </w:rPr>
      </w:pPr>
      <w:r>
        <w:rPr>
          <w:rFonts w:ascii="Arial" w:cs="Arial" w:eastAsia="Arial" w:hAnsi="Arial"/>
          <w:sz w:val="20"/>
          <w:szCs w:val="20"/>
          <w:color w:val="auto"/>
        </w:rPr>
        <w:t>Powell share repurchases; or</w:t>
      </w:r>
    </w:p>
    <w:p>
      <w:pPr>
        <w:ind w:left="960" w:hanging="304"/>
        <w:spacing w:after="0"/>
        <w:tabs>
          <w:tab w:leader="none" w:pos="960" w:val="left"/>
        </w:tabs>
        <w:numPr>
          <w:ilvl w:val="0"/>
          <w:numId w:val="36"/>
        </w:numPr>
        <w:rPr>
          <w:rFonts w:ascii="Times New Roman" w:cs="Times New Roman" w:eastAsia="Times New Roman" w:hAnsi="Times New Roman"/>
          <w:sz w:val="20"/>
          <w:szCs w:val="20"/>
          <w:color w:val="auto"/>
        </w:rPr>
      </w:pPr>
      <w:r>
        <w:rPr>
          <w:rFonts w:ascii="Arial" w:cs="Arial" w:eastAsia="Arial" w:hAnsi="Arial"/>
          <w:sz w:val="20"/>
          <w:szCs w:val="20"/>
          <w:color w:val="auto"/>
        </w:rPr>
        <w:t>Stock splits or dividend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Powell Industries, Inc. Company Policy</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Governance Policies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Insider Trading Policy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June 1, 2025</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Page 2 of 6</w:t>
      </w:r>
    </w:p>
    <w:p>
      <w:pPr>
        <w:sectPr>
          <w:pgSz w:w="11900" w:h="16838" w:orient="portrait"/>
          <w:cols w:equalWidth="0" w:num="1">
            <w:col w:w="11240"/>
          </w:cols>
          <w:pgMar w:left="320" w:top="78" w:right="339" w:bottom="1440" w:gutter="0" w:footer="0" w:header="0"/>
          <w:type w:val="continuous"/>
        </w:sectPr>
      </w:pPr>
    </w:p>
    <w:bookmarkStart w:id="90" w:name="page91"/>
    <w:bookmarkEnd w:id="90"/>
    <w:p>
      <w:pPr>
        <w:ind w:left="10240"/>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0350" cy="10287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7">
                      <a:extLst>
                        <a:ext uri="{28A0092B-C50C-407E-A947-70E740481C1C}"/>
                      </a:extLst>
                    </a:blip>
                    <a:srcRect/>
                    <a:stretch>
                      <a:fillRect/>
                    </a:stretch>
                  </pic:blipFill>
                  <pic:spPr bwMode="auto">
                    <a:xfrm>
                      <a:off x="0" y="0"/>
                      <a:ext cx="5340350" cy="1028700"/>
                    </a:xfrm>
                    <a:prstGeom prst="rect">
                      <a:avLst/>
                    </a:prstGeom>
                    <a:noFill/>
                  </pic:spPr>
                </pic:pic>
              </a:graphicData>
            </a:graphic>
          </wp:anchor>
        </w:drawing>
      </w:r>
    </w:p>
    <w:p>
      <w:pPr>
        <w:sectPr>
          <w:pgSz w:w="11900" w:h="16838" w:orient="portrait"/>
          <w:cols w:equalWidth="0" w:num="1">
            <w:col w:w="11240"/>
          </w:cols>
          <w:pgMar w:left="320" w:top="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It is not possible to define all categories of material information, and you should recognize that the public, the media and the courts may use hindsight in judging materiality. Therefore, it is important to exercise caution when determining whether you are in possession of material information.</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Information is “non-public” if it is not generally known by or available to the public. Information may still be nonpublic even though it is widely known within Powell. Information is considered to be public only when it has been widely disseminated to the marketplace (such as by a press release or an SEC filing) and the investing public has had time to absorb and evaluate it. Information about Powell should not be considered public until at least two full trading days has passed following its formal release to the market. Depending on the particular circumstances, a longer or shorter period may apply to the release of specific material non-public information.</w:t>
      </w:r>
    </w:p>
    <w:p>
      <w:pPr>
        <w:spacing w:after="0" w:line="158" w:lineRule="exact"/>
        <w:rPr>
          <w:sz w:val="20"/>
          <w:szCs w:val="20"/>
          <w:color w:val="auto"/>
        </w:rPr>
      </w:pPr>
    </w:p>
    <w:p>
      <w:pPr>
        <w:ind w:left="640" w:hanging="632"/>
        <w:spacing w:after="0"/>
        <w:tabs>
          <w:tab w:leader="none" w:pos="640" w:val="left"/>
        </w:tabs>
        <w:numPr>
          <w:ilvl w:val="0"/>
          <w:numId w:val="37"/>
        </w:numPr>
        <w:rPr>
          <w:rFonts w:ascii="Arial" w:cs="Arial" w:eastAsia="Arial" w:hAnsi="Arial"/>
          <w:sz w:val="20"/>
          <w:szCs w:val="20"/>
          <w:b w:val="1"/>
          <w:bCs w:val="1"/>
          <w:color w:val="010000"/>
        </w:rPr>
      </w:pPr>
      <w:r>
        <w:rPr>
          <w:rFonts w:ascii="Arial" w:cs="Arial" w:eastAsia="Arial" w:hAnsi="Arial"/>
          <w:sz w:val="20"/>
          <w:szCs w:val="20"/>
          <w:b w:val="1"/>
          <w:bCs w:val="1"/>
          <w:color w:val="auto"/>
        </w:rPr>
        <w:t>BLACKOUT PERIODS</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Trading in Covered Securities by Insiders (as defined below) is prohibited during the Company’s blackout periods. The Company has established four routine fiscal quarterly blackout periods throughout the year (“Quarterly Blackout Periods.”) Each Quarterly Blackout Period will begin as follows</w:t>
      </w:r>
      <w:r>
        <w:rPr>
          <w:rFonts w:ascii="Arial" w:cs="Arial" w:eastAsia="Arial" w:hAnsi="Arial"/>
          <w:sz w:val="20"/>
          <w:szCs w:val="20"/>
          <w:color w:val="FF0000"/>
        </w:rPr>
        <w:t>:</w:t>
      </w:r>
      <w:r>
        <w:rPr>
          <w:rFonts w:ascii="Arial" w:cs="Arial" w:eastAsia="Arial" w:hAnsi="Arial"/>
          <w:sz w:val="20"/>
          <w:szCs w:val="20"/>
          <w:color w:val="auto"/>
        </w:rPr>
        <w:t xml:space="preserve"> January 1st, March 1st, June 1st, and September 1st and will end two full trading days after the Company’s fiscal quarterly or annual earnings are released.</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persons are subject to these trading restrictions during Quarterly Blackout Periods:</w:t>
      </w:r>
    </w:p>
    <w:p>
      <w:pPr>
        <w:spacing w:after="0" w:line="205" w:lineRule="exact"/>
        <w:rPr>
          <w:sz w:val="20"/>
          <w:szCs w:val="20"/>
          <w:color w:val="auto"/>
        </w:rPr>
      </w:pPr>
    </w:p>
    <w:p>
      <w:pPr>
        <w:ind w:left="960" w:hanging="304"/>
        <w:spacing w:after="0"/>
        <w:tabs>
          <w:tab w:leader="none" w:pos="960" w:val="left"/>
        </w:tabs>
        <w:numPr>
          <w:ilvl w:val="0"/>
          <w:numId w:val="38"/>
        </w:numPr>
        <w:rPr>
          <w:rFonts w:ascii="Times New Roman" w:cs="Times New Roman" w:eastAsia="Times New Roman" w:hAnsi="Times New Roman"/>
          <w:sz w:val="20"/>
          <w:szCs w:val="20"/>
          <w:color w:val="auto"/>
        </w:rPr>
      </w:pPr>
      <w:r>
        <w:rPr>
          <w:rFonts w:ascii="Arial" w:cs="Arial" w:eastAsia="Arial" w:hAnsi="Arial"/>
          <w:sz w:val="20"/>
          <w:szCs w:val="20"/>
          <w:color w:val="auto"/>
        </w:rPr>
        <w:t>Directors, officers and assistant officers of Powell;</w:t>
      </w:r>
    </w:p>
    <w:p>
      <w:pPr>
        <w:ind w:left="960" w:hanging="304"/>
        <w:spacing w:after="0" w:line="196" w:lineRule="auto"/>
        <w:tabs>
          <w:tab w:leader="none" w:pos="960" w:val="left"/>
        </w:tabs>
        <w:numPr>
          <w:ilvl w:val="0"/>
          <w:numId w:val="38"/>
        </w:numPr>
        <w:rPr>
          <w:rFonts w:ascii="Times New Roman" w:cs="Times New Roman" w:eastAsia="Times New Roman" w:hAnsi="Times New Roman"/>
          <w:sz w:val="20"/>
          <w:szCs w:val="20"/>
          <w:color w:val="auto"/>
        </w:rPr>
      </w:pPr>
      <w:r>
        <w:rPr>
          <w:rFonts w:ascii="Arial" w:cs="Arial" w:eastAsia="Arial" w:hAnsi="Arial"/>
          <w:sz w:val="20"/>
          <w:szCs w:val="20"/>
          <w:color w:val="auto"/>
        </w:rPr>
        <w:t>Employees with knowledge of financial performance forecasts;</w:t>
      </w:r>
    </w:p>
    <w:p>
      <w:pPr>
        <w:ind w:left="960" w:hanging="304"/>
        <w:spacing w:after="0" w:line="210" w:lineRule="auto"/>
        <w:tabs>
          <w:tab w:leader="none" w:pos="960" w:val="left"/>
        </w:tabs>
        <w:numPr>
          <w:ilvl w:val="0"/>
          <w:numId w:val="38"/>
        </w:numPr>
        <w:rPr>
          <w:rFonts w:ascii="Times New Roman" w:cs="Times New Roman" w:eastAsia="Times New Roman" w:hAnsi="Times New Roman"/>
          <w:sz w:val="20"/>
          <w:szCs w:val="20"/>
          <w:color w:val="auto"/>
        </w:rPr>
      </w:pPr>
      <w:r>
        <w:rPr>
          <w:rFonts w:ascii="Arial" w:cs="Arial" w:eastAsia="Arial" w:hAnsi="Arial"/>
          <w:sz w:val="20"/>
          <w:szCs w:val="20"/>
          <w:color w:val="auto"/>
        </w:rPr>
        <w:t>Investor Relations professionals;</w:t>
      </w:r>
    </w:p>
    <w:p>
      <w:pPr>
        <w:ind w:left="960" w:hanging="304"/>
        <w:spacing w:after="0" w:line="210" w:lineRule="auto"/>
        <w:tabs>
          <w:tab w:leader="none" w:pos="960" w:val="left"/>
        </w:tabs>
        <w:numPr>
          <w:ilvl w:val="0"/>
          <w:numId w:val="38"/>
        </w:numPr>
        <w:rPr>
          <w:rFonts w:ascii="Times New Roman" w:cs="Times New Roman" w:eastAsia="Times New Roman" w:hAnsi="Times New Roman"/>
          <w:sz w:val="20"/>
          <w:szCs w:val="20"/>
          <w:color w:val="auto"/>
        </w:rPr>
      </w:pPr>
      <w:r>
        <w:rPr>
          <w:rFonts w:ascii="Arial" w:cs="Arial" w:eastAsia="Arial" w:hAnsi="Arial"/>
          <w:sz w:val="20"/>
          <w:szCs w:val="20"/>
          <w:color w:val="auto"/>
        </w:rPr>
        <w:t>Attendees of the Company’s fiscal quarterly business review meetings; and</w:t>
      </w:r>
    </w:p>
    <w:p>
      <w:pPr>
        <w:jc w:val="both"/>
        <w:ind w:left="980" w:hanging="324"/>
        <w:spacing w:after="0" w:line="220" w:lineRule="auto"/>
        <w:tabs>
          <w:tab w:leader="none" w:pos="968" w:val="left"/>
        </w:tabs>
        <w:numPr>
          <w:ilvl w:val="0"/>
          <w:numId w:val="38"/>
        </w:numPr>
        <w:rPr>
          <w:rFonts w:ascii="Times New Roman" w:cs="Times New Roman" w:eastAsia="Times New Roman" w:hAnsi="Times New Roman"/>
          <w:sz w:val="20"/>
          <w:szCs w:val="20"/>
          <w:color w:val="auto"/>
        </w:rPr>
      </w:pPr>
      <w:r>
        <w:rPr>
          <w:rFonts w:ascii="Arial" w:cs="Arial" w:eastAsia="Arial" w:hAnsi="Arial"/>
          <w:sz w:val="20"/>
          <w:szCs w:val="20"/>
          <w:color w:val="auto"/>
        </w:rPr>
        <w:t>Family members who reside with any such persons or any other person (including a corporation, limited liability company, partnership or trust) whose transactions are directed by or are subject to the influence or control of such persons.</w:t>
      </w:r>
    </w:p>
    <w:p>
      <w:pPr>
        <w:spacing w:after="0" w:line="172"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From time to time, Powell may decide to impose a special trading blackout on those who are aware of particular information that Powell determines may be considered material non-public information. The Chief Executive Officer and the Chief Financial Officer will determine whether an event-specific blackout should be imposed. The existence of an event-specific blackout will not be generally announced. If you are covered by the event-specific blackout, you will be notified by the Chief Financial Officer. Any person made aware of an event-specific blackout should not disclose the existence of the blackout to anyone else.</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Covered Persons who are not otherwise subject to the Quarterly Blackout Periods are encouraged to refrain from trading Covered Securities during the Quarterly Blackout Periods to avoid the appearance of improper trading.</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4"/>
          <w:szCs w:val="14"/>
          <w:color w:val="auto"/>
        </w:rPr>
        <w:t>Powell Industries, Inc. Company Policy</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Governance Policies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Insider Trading Policy</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June 1, 2025</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Page 3 of 6</w:t>
      </w:r>
    </w:p>
    <w:p>
      <w:pPr>
        <w:sectPr>
          <w:pgSz w:w="11900" w:h="16838" w:orient="portrait"/>
          <w:cols w:equalWidth="0" w:num="1">
            <w:col w:w="11240"/>
          </w:cols>
          <w:pgMar w:left="320" w:top="78" w:right="339" w:bottom="1440" w:gutter="0" w:footer="0" w:header="0"/>
          <w:type w:val="continuous"/>
        </w:sectPr>
      </w:pPr>
    </w:p>
    <w:bookmarkStart w:id="91" w:name="page92"/>
    <w:bookmarkEnd w:id="91"/>
    <w:p>
      <w:pPr>
        <w:ind w:left="10240"/>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0350" cy="10287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8">
                      <a:extLst>
                        <a:ext uri="{28A0092B-C50C-407E-A947-70E740481C1C}"/>
                      </a:extLst>
                    </a:blip>
                    <a:srcRect/>
                    <a:stretch>
                      <a:fillRect/>
                    </a:stretch>
                  </pic:blipFill>
                  <pic:spPr bwMode="auto">
                    <a:xfrm>
                      <a:off x="0" y="0"/>
                      <a:ext cx="5340350" cy="1028700"/>
                    </a:xfrm>
                    <a:prstGeom prst="rect">
                      <a:avLst/>
                    </a:prstGeom>
                    <a:noFill/>
                  </pic:spPr>
                </pic:pic>
              </a:graphicData>
            </a:graphic>
          </wp:anchor>
        </w:drawing>
      </w:r>
    </w:p>
    <w:p>
      <w:pPr>
        <w:sectPr>
          <w:pgSz w:w="11900" w:h="16838" w:orient="portrait"/>
          <w:cols w:equalWidth="0" w:num="1">
            <w:col w:w="11240"/>
          </w:cols>
          <w:pgMar w:left="320" w:top="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Pre-Clearance of Powell Securities Transactions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In addition to complying with the prohibition on trading during Quarterly Blackout Periods, all Insiders must first obtain pre-clearance from the Chief Financial Officer or his/her designee using the attached Addendum before engaging in any transaction of Covered Securities that is not otherwise expressly authorized by this policy. A request for pre-clearance should be submitted at least two or three business days in advance of the proposed transaction. The Chief Financial Officer or his/her designee is under no obligation to approve a transaction submitted for pre-clearance and may determine not to permit the transaction.</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Public Disclosures Should Be Made Only By Designated Persons</w:t>
      </w:r>
    </w:p>
    <w:p>
      <w:pPr>
        <w:spacing w:after="0" w:line="216"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No individuals other than specifically authorized personnel should release material information to the public or respond to inquiries from the media, analysts, investors or others outside of Powell. You should not respond to these inquiries unless expressly authorized to do so and should refer any inquiries to the Chief Financial Officer.</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Post-employment Transactions May be Prohibited</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The portions of this Policy relating to trading while in possession of material non-public information and the use or disclosure of that information continue to apply to transactions in Covered Securities even after termination of employment or association with Powell. If you are aware of material non-public information about Powell when your employment or other business relationship with Powell ends, you may not trade in Covered Securities or disclose the material non-public information to anyone else until that information is made public or becomes no longer material.</w:t>
      </w:r>
    </w:p>
    <w:p>
      <w:pPr>
        <w:spacing w:after="0" w:line="17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010000"/>
        </w:rPr>
        <w:t>VI.</w:t>
      </w:r>
      <w:r>
        <w:rPr>
          <w:sz w:val="20"/>
          <w:szCs w:val="20"/>
          <w:color w:val="auto"/>
        </w:rPr>
        <w:tab/>
      </w:r>
      <w:r>
        <w:rPr>
          <w:rFonts w:ascii="Arial" w:cs="Arial" w:eastAsia="Arial" w:hAnsi="Arial"/>
          <w:sz w:val="20"/>
          <w:szCs w:val="20"/>
          <w:b w:val="1"/>
          <w:bCs w:val="1"/>
          <w:color w:val="auto"/>
        </w:rPr>
        <w:t>Prohibited Transactions</w:t>
      </w:r>
    </w:p>
    <w:p>
      <w:pPr>
        <w:spacing w:after="0" w:line="191"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Absent prior written approval from the Chief Financial Officer, all directors, officers and employees of the Company are prohibited, at all times, from engaging in (a) any trading in any options, warrants, puts and calls or similar derivative instruments on any Covered Security, whether or not issued by the Company [or a Covered Company], exchange-traded, over-the-counter or bespoke, (b) any short selling of any Covered Security and (c) speculative trading in any Covered Security (including the use of any margin account or other pledging of any Covered Security as collateral).</w:t>
      </w:r>
    </w:p>
    <w:p>
      <w:pPr>
        <w:spacing w:after="0" w:line="15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010000"/>
        </w:rPr>
        <w:t>VII.</w:t>
      </w:r>
      <w:r>
        <w:rPr>
          <w:sz w:val="20"/>
          <w:szCs w:val="20"/>
          <w:color w:val="auto"/>
        </w:rPr>
        <w:tab/>
      </w:r>
      <w:r>
        <w:rPr>
          <w:rFonts w:ascii="Arial" w:cs="Arial" w:eastAsia="Arial" w:hAnsi="Arial"/>
          <w:sz w:val="20"/>
          <w:szCs w:val="20"/>
          <w:b w:val="1"/>
          <w:bCs w:val="1"/>
          <w:color w:val="auto"/>
        </w:rPr>
        <w:t>Certain Exceptions</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b w:val="1"/>
          <w:bCs w:val="1"/>
          <w:i w:val="1"/>
          <w:iCs w:val="1"/>
          <w:u w:val="single" w:color="auto"/>
          <w:color w:val="auto"/>
        </w:rPr>
        <w:t>Stock Option Exercises</w:t>
      </w:r>
      <w:r>
        <w:rPr>
          <w:rFonts w:ascii="Arial" w:cs="Arial" w:eastAsia="Arial" w:hAnsi="Arial"/>
          <w:sz w:val="20"/>
          <w:szCs w:val="20"/>
          <w:color w:val="auto"/>
        </w:rPr>
        <w:t>: This Policy does not restrict the exercise of an employee stock option acquired pursuant to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Company’s plans, or to the exercise of a tax withholding right pursuant to which a person has elected to have the Company withhold shares subject to an option to</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4"/>
          <w:szCs w:val="14"/>
          <w:color w:val="auto"/>
        </w:rPr>
        <w:t>Powell Industries, Inc. Company Policy</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Governance Policies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Insider Trading Policy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June 1, 2025</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Page 4 of 6</w:t>
      </w:r>
    </w:p>
    <w:p>
      <w:pPr>
        <w:sectPr>
          <w:pgSz w:w="11900" w:h="16838" w:orient="portrait"/>
          <w:cols w:equalWidth="0" w:num="1">
            <w:col w:w="11240"/>
          </w:cols>
          <w:pgMar w:left="320" w:top="78" w:right="339" w:bottom="1440" w:gutter="0" w:footer="0" w:header="0"/>
          <w:type w:val="continuous"/>
        </w:sectPr>
      </w:pPr>
    </w:p>
    <w:bookmarkStart w:id="92" w:name="page93"/>
    <w:bookmarkEnd w:id="92"/>
    <w:p>
      <w:pPr>
        <w:ind w:left="10240"/>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0350" cy="10287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9">
                      <a:extLst>
                        <a:ext uri="{28A0092B-C50C-407E-A947-70E740481C1C}"/>
                      </a:extLst>
                    </a:blip>
                    <a:srcRect/>
                    <a:stretch>
                      <a:fillRect/>
                    </a:stretch>
                  </pic:blipFill>
                  <pic:spPr bwMode="auto">
                    <a:xfrm>
                      <a:off x="0" y="0"/>
                      <a:ext cx="5340350" cy="1028700"/>
                    </a:xfrm>
                    <a:prstGeom prst="rect">
                      <a:avLst/>
                    </a:prstGeom>
                    <a:noFill/>
                  </pic:spPr>
                </pic:pic>
              </a:graphicData>
            </a:graphic>
          </wp:anchor>
        </w:drawing>
      </w:r>
    </w:p>
    <w:p>
      <w:pPr>
        <w:sectPr>
          <w:pgSz w:w="11900" w:h="16838" w:orient="portrait"/>
          <w:cols w:equalWidth="0" w:num="1">
            <w:col w:w="11240"/>
          </w:cols>
          <w:pgMar w:left="320" w:top="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 xml:space="preserve">satisfy tax withholding requirements. This Policy </w:t>
      </w:r>
      <w:r>
        <w:rPr>
          <w:rFonts w:ascii="Arial" w:cs="Arial" w:eastAsia="Arial" w:hAnsi="Arial"/>
          <w:sz w:val="20"/>
          <w:szCs w:val="20"/>
          <w:b w:val="1"/>
          <w:bCs w:val="1"/>
          <w:color w:val="auto"/>
        </w:rPr>
        <w:t>does apply</w:t>
      </w:r>
      <w:r>
        <w:rPr>
          <w:rFonts w:ascii="Arial" w:cs="Arial" w:eastAsia="Arial" w:hAnsi="Arial"/>
          <w:sz w:val="20"/>
          <w:szCs w:val="20"/>
          <w:color w:val="auto"/>
        </w:rPr>
        <w:t xml:space="preserve"> to any sale of shares as part of a broker-assisted cashless exercise of an option, or any other market sale for the purpose of generating the cash needed to pay the exercise price of an option.</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20"/>
          <w:szCs w:val="20"/>
          <w:b w:val="1"/>
          <w:bCs w:val="1"/>
          <w:i w:val="1"/>
          <w:iCs w:val="1"/>
          <w:u w:val="single" w:color="auto"/>
          <w:color w:val="auto"/>
        </w:rPr>
        <w:t>Restricted Stock Awards</w:t>
      </w:r>
      <w:r>
        <w:rPr>
          <w:rFonts w:ascii="Arial" w:cs="Arial" w:eastAsia="Arial" w:hAnsi="Arial"/>
          <w:sz w:val="20"/>
          <w:szCs w:val="20"/>
          <w:color w:val="auto"/>
        </w:rPr>
        <w:t>: This Policy does not restrict the vesting of restricted stock, or the exercise of a tax withholding right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pursuant to which you elect to have the Company withhold shares to satisfy tax withholding requirements upon the vesting of any restricted stock. The Policy </w:t>
      </w:r>
      <w:r>
        <w:rPr>
          <w:rFonts w:ascii="Arial" w:cs="Arial" w:eastAsia="Arial" w:hAnsi="Arial"/>
          <w:sz w:val="20"/>
          <w:szCs w:val="20"/>
          <w:b w:val="1"/>
          <w:bCs w:val="1"/>
          <w:color w:val="auto"/>
        </w:rPr>
        <w:t>does apply</w:t>
      </w:r>
      <w:r>
        <w:rPr>
          <w:rFonts w:ascii="Arial" w:cs="Arial" w:eastAsia="Arial" w:hAnsi="Arial"/>
          <w:sz w:val="20"/>
          <w:szCs w:val="20"/>
          <w:color w:val="auto"/>
        </w:rPr>
        <w:t xml:space="preserve"> to any market sale of restricted stock.</w:t>
      </w:r>
    </w:p>
    <w:p>
      <w:pPr>
        <w:spacing w:after="0" w:line="16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b w:val="1"/>
          <w:bCs w:val="1"/>
          <w:i w:val="1"/>
          <w:iCs w:val="1"/>
          <w:u w:val="single" w:color="auto"/>
          <w:color w:val="auto"/>
        </w:rPr>
        <w:t>401(k) Plan / Deferral Plan</w:t>
      </w:r>
      <w:r>
        <w:rPr>
          <w:rFonts w:ascii="Arial" w:cs="Arial" w:eastAsia="Arial" w:hAnsi="Arial"/>
          <w:sz w:val="20"/>
          <w:szCs w:val="20"/>
          <w:color w:val="auto"/>
        </w:rPr>
        <w:t>: This Policy does not restrict purchases of the Company’s securities or investments in the Company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securities fund through a Company 401(k) Plan or Deferral Plan resulting from a prior payroll election. This Policy </w:t>
      </w:r>
      <w:r>
        <w:rPr>
          <w:rFonts w:ascii="Arial" w:cs="Arial" w:eastAsia="Arial" w:hAnsi="Arial"/>
          <w:sz w:val="20"/>
          <w:szCs w:val="20"/>
          <w:b w:val="1"/>
          <w:bCs w:val="1"/>
          <w:color w:val="auto"/>
        </w:rPr>
        <w:t>does apply</w:t>
      </w:r>
      <w:r>
        <w:rPr>
          <w:rFonts w:ascii="Arial" w:cs="Arial" w:eastAsia="Arial" w:hAnsi="Arial"/>
          <w:sz w:val="20"/>
          <w:szCs w:val="20"/>
          <w:color w:val="auto"/>
        </w:rPr>
        <w:t xml:space="preserve"> to an election to make a transfer of money into or out of the Company securities fund.</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20"/>
          <w:szCs w:val="20"/>
          <w:b w:val="1"/>
          <w:bCs w:val="1"/>
          <w:i w:val="1"/>
          <w:iCs w:val="1"/>
          <w:u w:val="single" w:color="auto"/>
          <w:color w:val="auto"/>
        </w:rPr>
        <w:t>Employee Stock Purchase Plan</w:t>
      </w:r>
      <w:r>
        <w:rPr>
          <w:rFonts w:ascii="Arial" w:cs="Arial" w:eastAsia="Arial" w:hAnsi="Arial"/>
          <w:sz w:val="20"/>
          <w:szCs w:val="20"/>
          <w:color w:val="auto"/>
        </w:rPr>
        <w:t>: This Policy does not restrict purchases of the Company’s securities pursuant to an employee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stock purchase plan resulting from your periodic contribution of money to the plan pursuant to the election you made at the time of your enrollment in the plan. This Policy also does not restrict purchases of the Company’s securities resulting from lump sum contributions to the plan, provided that you elected to participate by lump sum payment at the beginning of the applicable enrollment period. This Policy </w:t>
      </w:r>
      <w:r>
        <w:rPr>
          <w:rFonts w:ascii="Arial" w:cs="Arial" w:eastAsia="Arial" w:hAnsi="Arial"/>
          <w:sz w:val="20"/>
          <w:szCs w:val="20"/>
          <w:b w:val="1"/>
          <w:bCs w:val="1"/>
          <w:color w:val="auto"/>
        </w:rPr>
        <w:t>does apply</w:t>
      </w:r>
      <w:r>
        <w:rPr>
          <w:rFonts w:ascii="Arial" w:cs="Arial" w:eastAsia="Arial" w:hAnsi="Arial"/>
          <w:sz w:val="20"/>
          <w:szCs w:val="20"/>
          <w:color w:val="auto"/>
        </w:rPr>
        <w:t xml:space="preserve"> to your election to participate in the plan for any enrollment period and to your sales of the Company’s securities purchased pursuant to the plan.</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20"/>
          <w:szCs w:val="20"/>
          <w:b w:val="1"/>
          <w:bCs w:val="1"/>
          <w:i w:val="1"/>
          <w:iCs w:val="1"/>
          <w:u w:val="single" w:color="auto"/>
          <w:color w:val="auto"/>
        </w:rPr>
        <w:t>Dividend Reinvestment Plan</w:t>
      </w:r>
      <w:r>
        <w:rPr>
          <w:rFonts w:ascii="Arial" w:cs="Arial" w:eastAsia="Arial" w:hAnsi="Arial"/>
          <w:sz w:val="20"/>
          <w:szCs w:val="20"/>
          <w:color w:val="auto"/>
        </w:rPr>
        <w:t>: This Policy does not restrict purchases of the Company’s securities pursuant to a dividend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reinvestment plan resulting from your reinvestment of dividends paid on the Company’s securities. This Policy </w:t>
      </w:r>
      <w:r>
        <w:rPr>
          <w:rFonts w:ascii="Arial" w:cs="Arial" w:eastAsia="Arial" w:hAnsi="Arial"/>
          <w:sz w:val="20"/>
          <w:szCs w:val="20"/>
          <w:b w:val="1"/>
          <w:bCs w:val="1"/>
          <w:color w:val="auto"/>
        </w:rPr>
        <w:t>does apply</w:t>
      </w:r>
      <w:r>
        <w:rPr>
          <w:rFonts w:ascii="Arial" w:cs="Arial" w:eastAsia="Arial" w:hAnsi="Arial"/>
          <w:sz w:val="20"/>
          <w:szCs w:val="20"/>
          <w:color w:val="auto"/>
        </w:rPr>
        <w:t xml:space="preserve"> to voluntary purchases of the Company’s securities resulting from additional contributions you choose to make to the dividend reinvestment plan, to your election to participate in the plan or increase your level of participation in the plan and to your sales of the Company’s securities purchased pursuant to the plan.</w:t>
      </w:r>
    </w:p>
    <w:p>
      <w:pPr>
        <w:spacing w:after="0" w:line="214" w:lineRule="exact"/>
        <w:rPr>
          <w:sz w:val="20"/>
          <w:szCs w:val="20"/>
          <w:color w:val="auto"/>
        </w:rPr>
      </w:pPr>
    </w:p>
    <w:p>
      <w:pPr>
        <w:jc w:val="both"/>
        <w:spacing w:after="0" w:line="251" w:lineRule="auto"/>
        <w:rPr>
          <w:sz w:val="20"/>
          <w:szCs w:val="20"/>
          <w:color w:val="auto"/>
        </w:rPr>
      </w:pPr>
      <w:r>
        <w:rPr>
          <w:rFonts w:ascii="Arial" w:cs="Arial" w:eastAsia="Arial" w:hAnsi="Arial"/>
          <w:sz w:val="20"/>
          <w:szCs w:val="20"/>
          <w:b w:val="1"/>
          <w:bCs w:val="1"/>
          <w:i w:val="1"/>
          <w:iCs w:val="1"/>
          <w:u w:val="single" w:color="auto"/>
          <w:color w:val="auto"/>
        </w:rPr>
        <w:t>Rule 10b5-1 Plans</w:t>
      </w:r>
      <w:r>
        <w:rPr>
          <w:rFonts w:ascii="Arial" w:cs="Arial" w:eastAsia="Arial" w:hAnsi="Arial"/>
          <w:sz w:val="20"/>
          <w:szCs w:val="20"/>
          <w:color w:val="auto"/>
        </w:rPr>
        <w:t>: SEC Rule 10b5-1(c) of the Securities Exchange Act of 1934 permits corporate insiders to establish written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trading plans (commonly referred to as “10b5-1 plans”) that can be useful in enabling insiders to plan ahead without fear that they might become exposed to material non-public information that will prevent them from trading. Where a valid 10b5-1 plan has been established at a time when the insider was not in possession of material non-public information, trades executed as specified by the plan do not violate the securities laws or this Policy even if the insider is in possession of material non-public information at the time the trade is executed. Trades executed as specified by the plan are not subject to the pre-clearance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color w:val="auto"/>
        </w:rPr>
        <w:t>Powell Industries, Inc. Company Policy</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Governance Policies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Insider Trading Policy</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June 1, 2025</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Page 5 of 6</w:t>
      </w:r>
    </w:p>
    <w:p>
      <w:pPr>
        <w:sectPr>
          <w:pgSz w:w="11900" w:h="16838" w:orient="portrait"/>
          <w:cols w:equalWidth="0" w:num="1">
            <w:col w:w="11240"/>
          </w:cols>
          <w:pgMar w:left="320" w:top="78" w:right="339" w:bottom="1440" w:gutter="0" w:footer="0" w:header="0"/>
          <w:type w:val="continuous"/>
        </w:sectPr>
      </w:pPr>
    </w:p>
    <w:bookmarkStart w:id="93" w:name="page94"/>
    <w:bookmarkEnd w:id="93"/>
    <w:p>
      <w:pPr>
        <w:ind w:left="10240"/>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0350" cy="10287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0">
                      <a:extLst>
                        <a:ext uri="{28A0092B-C50C-407E-A947-70E740481C1C}"/>
                      </a:extLst>
                    </a:blip>
                    <a:srcRect/>
                    <a:stretch>
                      <a:fillRect/>
                    </a:stretch>
                  </pic:blipFill>
                  <pic:spPr bwMode="auto">
                    <a:xfrm>
                      <a:off x="0" y="0"/>
                      <a:ext cx="5340350" cy="1028700"/>
                    </a:xfrm>
                    <a:prstGeom prst="rect">
                      <a:avLst/>
                    </a:prstGeom>
                    <a:noFill/>
                  </pic:spPr>
                </pic:pic>
              </a:graphicData>
            </a:graphic>
          </wp:anchor>
        </w:drawing>
      </w:r>
    </w:p>
    <w:p>
      <w:pPr>
        <w:sectPr>
          <w:pgSz w:w="11900" w:h="16838" w:orient="portrait"/>
          <w:cols w:equalWidth="0" w:num="1">
            <w:col w:w="11240"/>
          </w:cols>
          <w:pgMar w:left="320" w:top="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To qualify as a 10b5-1 plan for purposes of this Policy, the plan must be approved in advance by the Chief Financial Officer, and you should allow at least five business days for approval.</w:t>
      </w:r>
    </w:p>
    <w:p>
      <w:pPr>
        <w:spacing w:after="0" w:line="140"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One of the factors that the Chief Financial Officer may consider in whether to approve a 10b5-1 plan is compliance with Powell’s applicable minimum stock ownership guidelines. These pre-planned trading programs are available only to corporate officers and such other Powell employees as may be designated from time to time by the Chief Executive Officer and the Chief Financial Officer. For more information about how to establish a 10b5-1 plan, please contact the Chief Financial Officer. Powell reserves the right to disapprove any submitted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Powell Industries, Inc. Company Policy</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Governance Policies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Insider Trading Policy</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June 1, 2025</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Page 6 of 6</w:t>
      </w:r>
    </w:p>
    <w:p>
      <w:pPr>
        <w:sectPr>
          <w:pgSz w:w="11900" w:h="16838" w:orient="portrait"/>
          <w:cols w:equalWidth="0" w:num="1">
            <w:col w:w="11240"/>
          </w:cols>
          <w:pgMar w:left="320" w:top="78" w:right="339" w:bottom="1440" w:gutter="0" w:footer="0" w:header="0"/>
          <w:type w:val="continuous"/>
        </w:sectPr>
      </w:pPr>
    </w:p>
    <w:bookmarkStart w:id="94" w:name="page95"/>
    <w:bookmarkEnd w:id="94"/>
    <w:p>
      <w:pPr>
        <w:ind w:left="10240"/>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0350" cy="10287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1">
                      <a:extLst>
                        <a:ext uri="{28A0092B-C50C-407E-A947-70E740481C1C}"/>
                      </a:extLst>
                    </a:blip>
                    <a:srcRect/>
                    <a:stretch>
                      <a:fillRect/>
                    </a:stretch>
                  </pic:blipFill>
                  <pic:spPr bwMode="auto">
                    <a:xfrm>
                      <a:off x="0" y="0"/>
                      <a:ext cx="5340350" cy="1028700"/>
                    </a:xfrm>
                    <a:prstGeom prst="rect">
                      <a:avLst/>
                    </a:prstGeom>
                    <a:noFill/>
                  </pic:spPr>
                </pic:pic>
              </a:graphicData>
            </a:graphic>
          </wp:anchor>
        </w:drawing>
      </w:r>
    </w:p>
    <w:p>
      <w:pPr>
        <w:sectPr>
          <w:pgSz w:w="11900" w:h="16838" w:orient="portrait"/>
          <w:cols w:equalWidth="0" w:num="1">
            <w:col w:w="11240"/>
          </w:cols>
          <w:pgMar w:left="320" w:top="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ADDENDUM</w:t>
      </w: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NOTIFICATION STATEMENT REGARDING</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PROPOSED TRANSACTIONS IN POWELL SECURITIES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With the submission of this Notification Statement, I hereby request acknowledgement from Powell Industries, Inc. (“the Company”) that the Company has no objections to my proposed transaction involving Powell stock. In connection with such transaction(s), I hereby confirm that I do not possess any material non-public information concerning the Company or any of its subsidiaries.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Upon completion of any transaction(s), I will provide the Company with transaction details as soon as practical.</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760" w:type="dxa"/>
            <w:vAlign w:val="bottom"/>
            <w:gridSpan w:val="3"/>
          </w:tcPr>
          <w:p>
            <w:pPr>
              <w:spacing w:after="0"/>
              <w:rPr>
                <w:sz w:val="20"/>
                <w:szCs w:val="20"/>
                <w:color w:val="auto"/>
              </w:rPr>
            </w:pPr>
            <w:r>
              <w:rPr>
                <w:rFonts w:ascii="Arial" w:cs="Arial" w:eastAsia="Arial" w:hAnsi="Arial"/>
                <w:sz w:val="20"/>
                <w:szCs w:val="20"/>
                <w:color w:val="auto"/>
              </w:rPr>
              <w:t>Please check one:</w:t>
            </w:r>
          </w:p>
        </w:tc>
        <w:tc>
          <w:tcPr>
            <w:tcW w:w="14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435"/>
        </w:trPr>
        <w:tc>
          <w:tcPr>
            <w:tcW w:w="1800" w:type="dxa"/>
            <w:vAlign w:val="bottom"/>
          </w:tcPr>
          <w:p>
            <w:pPr>
              <w:spacing w:after="0"/>
              <w:rPr>
                <w:sz w:val="24"/>
                <w:szCs w:val="24"/>
                <w:color w:val="auto"/>
              </w:rPr>
            </w:pPr>
          </w:p>
        </w:tc>
        <w:tc>
          <w:tcPr>
            <w:tcW w:w="204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7"/>
              </w:rPr>
              <w:t>Acquisition Transaction</w:t>
            </w:r>
          </w:p>
        </w:tc>
        <w:tc>
          <w:tcPr>
            <w:tcW w:w="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8"/>
              </w:rPr>
              <w:t>Disposition Transaction</w:t>
            </w:r>
          </w:p>
        </w:tc>
        <w:tc>
          <w:tcPr>
            <w:tcW w:w="1660" w:type="dxa"/>
            <w:vAlign w:val="bottom"/>
          </w:tcPr>
          <w:p>
            <w:pPr>
              <w:spacing w:after="0"/>
              <w:rPr>
                <w:sz w:val="24"/>
                <w:szCs w:val="24"/>
                <w:color w:val="auto"/>
              </w:rPr>
            </w:pPr>
          </w:p>
        </w:tc>
      </w:tr>
      <w:tr>
        <w:trPr>
          <w:trHeight w:val="301"/>
        </w:trPr>
        <w:tc>
          <w:tcPr>
            <w:tcW w:w="4760" w:type="dxa"/>
            <w:vAlign w:val="bottom"/>
            <w:gridSpan w:val="3"/>
          </w:tcPr>
          <w:p>
            <w:pPr>
              <w:ind w:left="80"/>
              <w:spacing w:after="0"/>
              <w:rPr>
                <w:sz w:val="20"/>
                <w:szCs w:val="20"/>
                <w:color w:val="auto"/>
              </w:rPr>
            </w:pPr>
            <w:r>
              <w:rPr>
                <w:rFonts w:ascii="Arial" w:cs="Arial" w:eastAsia="Arial" w:hAnsi="Arial"/>
                <w:sz w:val="20"/>
                <w:szCs w:val="20"/>
                <w:color w:val="auto"/>
              </w:rPr>
              <w:t>______ Purchase of _______ shares.</w:t>
            </w:r>
          </w:p>
        </w:tc>
        <w:tc>
          <w:tcPr>
            <w:tcW w:w="6360" w:type="dxa"/>
            <w:vAlign w:val="bottom"/>
            <w:gridSpan w:val="4"/>
          </w:tcPr>
          <w:p>
            <w:pPr>
              <w:ind w:left="940"/>
              <w:spacing w:after="0"/>
              <w:rPr>
                <w:sz w:val="20"/>
                <w:szCs w:val="20"/>
                <w:color w:val="auto"/>
              </w:rPr>
            </w:pPr>
            <w:r>
              <w:rPr>
                <w:rFonts w:ascii="Arial" w:cs="Arial" w:eastAsia="Arial" w:hAnsi="Arial"/>
                <w:sz w:val="20"/>
                <w:szCs w:val="20"/>
                <w:color w:val="auto"/>
              </w:rPr>
              <w:t>______ Sale of ________ shares.</w:t>
            </w:r>
          </w:p>
        </w:tc>
      </w:tr>
      <w:tr>
        <w:trPr>
          <w:trHeight w:val="441"/>
        </w:trPr>
        <w:tc>
          <w:tcPr>
            <w:tcW w:w="18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360" w:type="dxa"/>
            <w:vAlign w:val="bottom"/>
            <w:gridSpan w:val="4"/>
          </w:tcPr>
          <w:p>
            <w:pPr>
              <w:ind w:left="940"/>
              <w:spacing w:after="0"/>
              <w:rPr>
                <w:sz w:val="20"/>
                <w:szCs w:val="20"/>
                <w:color w:val="auto"/>
              </w:rPr>
            </w:pPr>
            <w:r>
              <w:rPr>
                <w:rFonts w:ascii="Arial" w:cs="Arial" w:eastAsia="Arial" w:hAnsi="Arial"/>
                <w:sz w:val="20"/>
                <w:szCs w:val="20"/>
                <w:color w:val="auto"/>
                <w:w w:val="98"/>
              </w:rPr>
              <w:t>______ Transfer of ______ shares to the following exchanged</w:t>
            </w:r>
          </w:p>
        </w:tc>
      </w:tr>
      <w:tr>
        <w:trPr>
          <w:trHeight w:val="230"/>
        </w:trPr>
        <w:tc>
          <w:tcPr>
            <w:tcW w:w="18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940" w:type="dxa"/>
            <w:vAlign w:val="bottom"/>
            <w:gridSpan w:val="3"/>
          </w:tcPr>
          <w:p>
            <w:pPr>
              <w:ind w:left="220"/>
              <w:spacing w:after="0"/>
              <w:rPr>
                <w:sz w:val="20"/>
                <w:szCs w:val="20"/>
                <w:color w:val="auto"/>
              </w:rPr>
            </w:pPr>
            <w:r>
              <w:rPr>
                <w:rFonts w:ascii="Arial" w:cs="Arial" w:eastAsia="Arial" w:hAnsi="Arial"/>
                <w:sz w:val="20"/>
                <w:szCs w:val="20"/>
                <w:color w:val="auto"/>
              </w:rPr>
              <w:t>fund:</w:t>
            </w:r>
          </w:p>
        </w:tc>
      </w:tr>
      <w:tr>
        <w:trPr>
          <w:trHeight w:val="261"/>
        </w:trPr>
        <w:tc>
          <w:tcPr>
            <w:tcW w:w="18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280" w:type="dxa"/>
            <w:vAlign w:val="bottom"/>
            <w:gridSpan w:val="2"/>
          </w:tcPr>
          <w:p>
            <w:pPr>
              <w:ind w:left="220"/>
              <w:spacing w:after="0"/>
              <w:rPr>
                <w:sz w:val="20"/>
                <w:szCs w:val="20"/>
                <w:color w:val="auto"/>
              </w:rPr>
            </w:pPr>
            <w:r>
              <w:rPr>
                <w:rFonts w:ascii="Arial" w:cs="Arial" w:eastAsia="Arial" w:hAnsi="Arial"/>
                <w:sz w:val="20"/>
                <w:szCs w:val="20"/>
                <w:color w:val="auto"/>
              </w:rPr>
              <w:t>_______________________</w:t>
            </w:r>
          </w:p>
        </w:tc>
        <w:tc>
          <w:tcPr>
            <w:tcW w:w="1660" w:type="dxa"/>
            <w:vAlign w:val="bottom"/>
          </w:tcPr>
          <w:p>
            <w:pPr>
              <w:spacing w:after="0"/>
              <w:rPr>
                <w:sz w:val="22"/>
                <w:szCs w:val="22"/>
                <w:color w:val="auto"/>
              </w:rPr>
            </w:pPr>
          </w:p>
        </w:tc>
      </w:tr>
      <w:tr>
        <w:trPr>
          <w:trHeight w:val="481"/>
        </w:trPr>
        <w:tc>
          <w:tcPr>
            <w:tcW w:w="18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20" w:type="dxa"/>
            <w:vAlign w:val="bottom"/>
          </w:tcPr>
          <w:p>
            <w:pPr>
              <w:ind w:left="940"/>
              <w:spacing w:after="0"/>
              <w:rPr>
                <w:sz w:val="20"/>
                <w:szCs w:val="20"/>
                <w:color w:val="auto"/>
              </w:rPr>
            </w:pPr>
            <w:r>
              <w:rPr>
                <w:rFonts w:ascii="Arial" w:cs="Arial" w:eastAsia="Arial" w:hAnsi="Arial"/>
                <w:sz w:val="20"/>
                <w:szCs w:val="20"/>
                <w:color w:val="auto"/>
              </w:rPr>
              <w:t>By:</w:t>
            </w:r>
          </w:p>
        </w:tc>
        <w:tc>
          <w:tcPr>
            <w:tcW w:w="3280" w:type="dxa"/>
            <w:vAlign w:val="bottom"/>
            <w:gridSpan w:val="2"/>
          </w:tcPr>
          <w:p>
            <w:pPr>
              <w:jc w:val="right"/>
              <w:ind w:right="641"/>
              <w:spacing w:after="0"/>
              <w:rPr>
                <w:sz w:val="20"/>
                <w:szCs w:val="20"/>
                <w:color w:val="auto"/>
              </w:rPr>
            </w:pPr>
            <w:r>
              <w:rPr>
                <w:rFonts w:ascii="Arial" w:cs="Arial" w:eastAsia="Arial" w:hAnsi="Arial"/>
                <w:sz w:val="20"/>
                <w:szCs w:val="20"/>
                <w:color w:val="auto"/>
                <w:w w:val="98"/>
              </w:rPr>
              <w:t>_______________________</w:t>
            </w:r>
          </w:p>
        </w:tc>
        <w:tc>
          <w:tcPr>
            <w:tcW w:w="1660" w:type="dxa"/>
            <w:vAlign w:val="bottom"/>
          </w:tcPr>
          <w:p>
            <w:pPr>
              <w:spacing w:after="0"/>
              <w:rPr>
                <w:sz w:val="24"/>
                <w:szCs w:val="24"/>
                <w:color w:val="auto"/>
              </w:rPr>
            </w:pPr>
          </w:p>
        </w:tc>
      </w:tr>
      <w:tr>
        <w:trPr>
          <w:trHeight w:val="243"/>
        </w:trPr>
        <w:tc>
          <w:tcPr>
            <w:tcW w:w="18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360" w:type="dxa"/>
            <w:vAlign w:val="bottom"/>
            <w:gridSpan w:val="4"/>
          </w:tcPr>
          <w:p>
            <w:pPr>
              <w:ind w:left="940"/>
              <w:spacing w:after="0"/>
              <w:rPr>
                <w:sz w:val="20"/>
                <w:szCs w:val="20"/>
                <w:color w:val="auto"/>
              </w:rPr>
            </w:pPr>
            <w:r>
              <w:rPr>
                <w:rFonts w:ascii="Arial" w:cs="Arial" w:eastAsia="Arial" w:hAnsi="Arial"/>
                <w:sz w:val="20"/>
                <w:szCs w:val="20"/>
                <w:color w:val="auto"/>
              </w:rPr>
              <w:t>Name:  _______________________</w:t>
            </w:r>
          </w:p>
        </w:tc>
      </w:tr>
      <w:tr>
        <w:trPr>
          <w:trHeight w:val="261"/>
        </w:trPr>
        <w:tc>
          <w:tcPr>
            <w:tcW w:w="18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20" w:type="dxa"/>
            <w:vAlign w:val="bottom"/>
          </w:tcPr>
          <w:p>
            <w:pPr>
              <w:ind w:left="940"/>
              <w:spacing w:after="0"/>
              <w:rPr>
                <w:sz w:val="20"/>
                <w:szCs w:val="20"/>
                <w:color w:val="auto"/>
              </w:rPr>
            </w:pPr>
            <w:r>
              <w:rPr>
                <w:rFonts w:ascii="Arial" w:cs="Arial" w:eastAsia="Arial" w:hAnsi="Arial"/>
                <w:sz w:val="20"/>
                <w:szCs w:val="20"/>
                <w:color w:val="auto"/>
                <w:w w:val="96"/>
              </w:rPr>
              <w:t>Date:</w:t>
            </w:r>
          </w:p>
        </w:tc>
        <w:tc>
          <w:tcPr>
            <w:tcW w:w="3280" w:type="dxa"/>
            <w:vAlign w:val="bottom"/>
            <w:gridSpan w:val="2"/>
          </w:tcPr>
          <w:p>
            <w:pPr>
              <w:ind w:left="200"/>
              <w:spacing w:after="0"/>
              <w:rPr>
                <w:sz w:val="20"/>
                <w:szCs w:val="20"/>
                <w:color w:val="auto"/>
              </w:rPr>
            </w:pPr>
            <w:r>
              <w:rPr>
                <w:rFonts w:ascii="Arial" w:cs="Arial" w:eastAsia="Arial" w:hAnsi="Arial"/>
                <w:sz w:val="20"/>
                <w:szCs w:val="20"/>
                <w:color w:val="auto"/>
              </w:rPr>
              <w:t>_______________________</w:t>
            </w:r>
          </w:p>
        </w:tc>
        <w:tc>
          <w:tcPr>
            <w:tcW w:w="1660" w:type="dxa"/>
            <w:vAlign w:val="bottom"/>
          </w:tcPr>
          <w:p>
            <w:pPr>
              <w:spacing w:after="0"/>
              <w:rPr>
                <w:sz w:val="22"/>
                <w:szCs w:val="22"/>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20"/>
          <w:szCs w:val="20"/>
          <w:color w:val="auto"/>
        </w:rPr>
        <w:t>ACKNOWLEDGEMENT: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Received and approved this ____ day of __________________, ____ for the open window through _____________________,</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_____.</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POWELL INDUSTRIES, INC.</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-11430</wp:posOffset>
            </wp:positionV>
            <wp:extent cx="139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2">
                      <a:extLst>
                        <a:ext uri="{28A0092B-C50C-407E-A947-70E740481C1C}"/>
                      </a:extLst>
                    </a:blip>
                    <a:srcRect/>
                    <a:stretch>
                      <a:fillRect/>
                    </a:stretch>
                  </pic:blipFill>
                  <pic:spPr bwMode="auto">
                    <a:xfrm>
                      <a:off x="0" y="0"/>
                      <a:ext cx="139700" cy="8890"/>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-11430</wp:posOffset>
            </wp:positionV>
            <wp:extent cx="1397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3">
                      <a:extLst>
                        <a:ext uri="{28A0092B-C50C-407E-A947-70E740481C1C}"/>
                      </a:extLst>
                    </a:blip>
                    <a:srcRect/>
                    <a:stretch>
                      <a:fillRect/>
                    </a:stretch>
                  </pic:blipFill>
                  <pic:spPr bwMode="auto">
                    <a:xfrm>
                      <a:off x="0" y="0"/>
                      <a:ext cx="139700" cy="825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-11430</wp:posOffset>
            </wp:positionV>
            <wp:extent cx="139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4">
                      <a:extLst>
                        <a:ext uri="{28A0092B-C50C-407E-A947-70E740481C1C}"/>
                      </a:extLst>
                    </a:blip>
                    <a:srcRect/>
                    <a:stretch>
                      <a:fillRect/>
                    </a:stretch>
                  </pic:blipFill>
                  <pic:spPr bwMode="auto">
                    <a:xfrm>
                      <a:off x="0" y="0"/>
                      <a:ext cx="139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color w:val="auto"/>
        </w:rPr>
        <w:t>Powell Industries, Inc. Company Policy</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Governance Policies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Insider Trading Policy</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June 1, 2025</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Page 7 of 6</w:t>
      </w:r>
    </w:p>
    <w:p>
      <w:pPr>
        <w:sectPr>
          <w:pgSz w:w="11900" w:h="16838" w:orient="portrait"/>
          <w:cols w:equalWidth="0" w:num="1">
            <w:col w:w="11240"/>
          </w:cols>
          <w:pgMar w:left="320" w:top="78" w:right="339" w:bottom="1440" w:gutter="0" w:footer="0" w:header="0"/>
          <w:type w:val="continuous"/>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gridSpan w:val="4"/>
          </w:tcPr>
          <w:p>
            <w:pPr>
              <w:ind w:left="2600"/>
              <w:spacing w:after="0"/>
              <w:rPr>
                <w:sz w:val="20"/>
                <w:szCs w:val="20"/>
                <w:color w:val="auto"/>
              </w:rPr>
            </w:pPr>
            <w:r>
              <w:rPr>
                <w:rFonts w:ascii="Times New Roman" w:cs="Times New Roman" w:eastAsia="Times New Roman" w:hAnsi="Times New Roman"/>
                <w:sz w:val="18"/>
                <w:szCs w:val="18"/>
                <w:b w:val="1"/>
                <w:bCs w:val="1"/>
                <w:color w:val="auto"/>
              </w:rPr>
              <w:t>SUBSIDIARIES OF POWELL INDUSTRIES, INC.</w:t>
            </w:r>
          </w:p>
        </w:tc>
        <w:tc>
          <w:tcPr>
            <w:tcW w:w="2560" w:type="dxa"/>
            <w:vAlign w:val="bottom"/>
          </w:tcPr>
          <w:p>
            <w:pPr>
              <w:spacing w:after="0"/>
              <w:rPr>
                <w:sz w:val="17"/>
                <w:szCs w:val="17"/>
                <w:color w:val="auto"/>
              </w:rPr>
            </w:pPr>
          </w:p>
        </w:tc>
      </w:tr>
      <w:tr>
        <w:trPr>
          <w:trHeight w:val="628"/>
        </w:trPr>
        <w:tc>
          <w:tcPr>
            <w:tcW w:w="2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362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5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Incorporated</w:t>
            </w:r>
          </w:p>
        </w:tc>
      </w:tr>
      <w:tr>
        <w:trPr>
          <w:trHeight w:val="250"/>
        </w:trPr>
        <w:tc>
          <w:tcPr>
            <w:tcW w:w="66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Powell Industries, Inc.</w:t>
            </w: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Powell Electrical Systems, Inc.</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6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Powell Industries International, Inc.</w:t>
            </w: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Powell Industries International Limited</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66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Powell (UK) Limited</w:t>
            </w: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6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Remsdaq Limited</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66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Powell Industries Asia, Pte, Ltd.</w:t>
            </w: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70"/>
        </w:trPr>
        <w:tc>
          <w:tcPr>
            <w:tcW w:w="6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Powell Canada Inc.</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70"/>
        </w:trPr>
        <w:tc>
          <w:tcPr>
            <w:tcW w:w="66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Powell Infinity Corporation</w:t>
            </w: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Alberta</w:t>
            </w:r>
          </w:p>
        </w:tc>
      </w:tr>
      <w:tr>
        <w:trPr>
          <w:trHeight w:val="270"/>
        </w:trPr>
        <w:tc>
          <w:tcPr>
            <w:tcW w:w="6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Powell Industries International B.V.</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66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Powell International B.V.</w:t>
            </w: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6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Powell Canada B.V.</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66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Powell (Middle East) B.V.</w:t>
            </w: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6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Powell B.V.</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66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Powell Equipment (Mexico) SA de CV</w:t>
            </w: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70"/>
        </w:trPr>
        <w:tc>
          <w:tcPr>
            <w:tcW w:w="6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Powell Trading (Mexico) SA de CV</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r>
    </w:tbl>
    <w:p>
      <w:pPr>
        <w:sectPr>
          <w:pgSz w:w="11900" w:h="16838" w:orient="portrait"/>
          <w:cols w:equalWidth="0" w:num="1">
            <w:col w:w="10220"/>
          </w:cols>
          <w:pgMar w:left="1340" w:top="117"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Georgia" w:cs="Georgia" w:eastAsia="Georgia" w:hAnsi="Georgia"/>
          <w:sz w:val="18"/>
          <w:szCs w:val="18"/>
          <w:b w:val="1"/>
          <w:bCs w:val="1"/>
          <w:color w:val="auto"/>
        </w:rPr>
        <w:t>CONSENT OF INDEPENDENT REGISTERED PUBLIC ACCOUNTING FIRM</w:t>
      </w:r>
    </w:p>
    <w:p>
      <w:pPr>
        <w:spacing w:after="0" w:line="200" w:lineRule="exact"/>
        <w:rPr>
          <w:sz w:val="20"/>
          <w:szCs w:val="20"/>
          <w:color w:val="auto"/>
        </w:rPr>
      </w:pPr>
    </w:p>
    <w:p>
      <w:pPr>
        <w:ind w:right="120"/>
        <w:spacing w:after="0" w:line="245" w:lineRule="exact"/>
        <w:rPr>
          <w:sz w:val="20"/>
          <w:szCs w:val="20"/>
          <w:color w:val="auto"/>
        </w:rPr>
      </w:pPr>
      <w:r>
        <w:rPr>
          <w:rFonts w:ascii="Georgia" w:cs="Georgia" w:eastAsia="Georgia" w:hAnsi="Georgia"/>
          <w:sz w:val="18"/>
          <w:szCs w:val="18"/>
          <w:color w:val="auto"/>
        </w:rPr>
        <w:t>We hereby consent to the incorporation by reference in the Registration Statements on Form S</w:t>
      </w:r>
      <w:r>
        <w:rPr>
          <w:rFonts w:ascii="MS PGothic" w:cs="MS PGothic" w:eastAsia="MS PGothic" w:hAnsi="MS PGothic"/>
          <w:sz w:val="18"/>
          <w:szCs w:val="18"/>
          <w:color w:val="auto"/>
        </w:rPr>
        <w:t>‑</w:t>
      </w:r>
      <w:r>
        <w:rPr>
          <w:rFonts w:ascii="Georgia" w:cs="Georgia" w:eastAsia="Georgia" w:hAnsi="Georgia"/>
          <w:sz w:val="18"/>
          <w:szCs w:val="18"/>
          <w:color w:val="auto"/>
        </w:rPr>
        <w:t xml:space="preserve">8 (Nos. 333-196171, 333-269662 and 333-272089) of Powell Industries, Inc. of our report dated </w:t>
      </w:r>
      <w:r>
        <w:rPr>
          <w:rFonts w:ascii="Times New Roman" w:cs="Times New Roman" w:eastAsia="Times New Roman" w:hAnsi="Times New Roman"/>
          <w:sz w:val="18"/>
          <w:szCs w:val="18"/>
          <w:color w:val="auto"/>
        </w:rPr>
        <w:t>November 19, 2025</w:t>
      </w:r>
      <w:r>
        <w:rPr>
          <w:rFonts w:ascii="Georgia" w:cs="Georgia" w:eastAsia="Georgia" w:hAnsi="Georgia"/>
          <w:sz w:val="18"/>
          <w:szCs w:val="18"/>
          <w:color w:val="auto"/>
        </w:rPr>
        <w:t xml:space="preserve"> relating to the financial statements and the effectiveness of internal control over financial reporting, which appears in this Form 10</w:t>
      </w:r>
      <w:r>
        <w:rPr>
          <w:rFonts w:ascii="MS PGothic" w:cs="MS PGothic" w:eastAsia="MS PGothic" w:hAnsi="MS PGothic"/>
          <w:sz w:val="18"/>
          <w:szCs w:val="18"/>
          <w:color w:val="auto"/>
        </w:rPr>
        <w:t>‑</w:t>
      </w:r>
      <w:r>
        <w:rPr>
          <w:rFonts w:ascii="Georgia" w:cs="Georgia" w:eastAsia="Georgia" w:hAnsi="Georgia"/>
          <w:sz w:val="18"/>
          <w:szCs w:val="18"/>
          <w:color w:val="auto"/>
        </w:rPr>
        <w:t>K.</w:t>
      </w:r>
    </w:p>
    <w:p>
      <w:pPr>
        <w:spacing w:after="0" w:line="400"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Houston, Texas</w:t>
      </w:r>
    </w:p>
    <w:p>
      <w:pPr>
        <w:spacing w:after="0"/>
        <w:rPr>
          <w:sz w:val="20"/>
          <w:szCs w:val="20"/>
          <w:color w:val="auto"/>
        </w:rPr>
      </w:pPr>
      <w:r>
        <w:rPr>
          <w:rFonts w:ascii="Times New Roman" w:cs="Times New Roman" w:eastAsia="Times New Roman" w:hAnsi="Times New Roman"/>
          <w:sz w:val="18"/>
          <w:szCs w:val="18"/>
          <w:color w:val="auto"/>
        </w:rPr>
        <w:t>November 19, 2025</w:t>
      </w:r>
    </w:p>
    <w:p>
      <w:pPr>
        <w:sectPr>
          <w:pgSz w:w="11900" w:h="16838" w:orient="portrait"/>
          <w:cols w:equalWidth="0" w:num="1">
            <w:col w:w="11240"/>
          </w:cols>
          <w:pgMar w:left="320" w:top="117"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Brett A. Cope, certify that:</w:t>
      </w:r>
    </w:p>
    <w:p>
      <w:pPr>
        <w:spacing w:after="0" w:line="225"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Powell Industries, Inc.;</w:t>
      </w:r>
    </w:p>
    <w:p>
      <w:pPr>
        <w:spacing w:after="0" w:line="252"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right="220" w:hanging="320"/>
        <w:spacing w:after="0" w:line="312" w:lineRule="auto"/>
        <w:tabs>
          <w:tab w:leader="none" w:pos="129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520" w:hanging="320"/>
        <w:spacing w:after="0" w:line="282" w:lineRule="auto"/>
        <w:tabs>
          <w:tab w:leader="none" w:pos="129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/s/ Brett A. Cope</w:t>
      </w:r>
    </w:p>
    <w:p>
      <w:pPr>
        <w:ind w:left="5640"/>
        <w:spacing w:after="0" w:line="203" w:lineRule="auto"/>
        <w:rPr>
          <w:sz w:val="20"/>
          <w:szCs w:val="20"/>
          <w:color w:val="auto"/>
        </w:rPr>
      </w:pPr>
      <w:r>
        <w:rPr>
          <w:rFonts w:ascii="Times New Roman" w:cs="Times New Roman" w:eastAsia="Times New Roman" w:hAnsi="Times New Roman"/>
          <w:sz w:val="18"/>
          <w:szCs w:val="18"/>
          <w:color w:val="auto"/>
        </w:rPr>
        <w:t>Brett A. Cope</w:t>
      </w:r>
    </w:p>
    <w:p>
      <w:pPr>
        <w:ind w:left="5640"/>
        <w:spacing w:after="0" w:line="219" w:lineRule="auto"/>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19, 2025</w:t>
      </w:r>
    </w:p>
    <w:p>
      <w:pPr>
        <w:sectPr>
          <w:pgSz w:w="11900" w:h="16838" w:orient="portrait"/>
          <w:cols w:equalWidth="0" w:num="1">
            <w:col w:w="11240"/>
          </w:cols>
          <w:pgMar w:left="320" w:top="124"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W. Metcalf, certify that:</w:t>
      </w:r>
    </w:p>
    <w:p>
      <w:pPr>
        <w:spacing w:after="0" w:line="225"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Powell Industries, Inc.;</w:t>
      </w:r>
    </w:p>
    <w:p>
      <w:pPr>
        <w:spacing w:after="0" w:line="252"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right="220" w:hanging="320"/>
        <w:spacing w:after="0" w:line="312" w:lineRule="auto"/>
        <w:tabs>
          <w:tab w:leader="none" w:pos="129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520" w:hanging="320"/>
        <w:spacing w:after="0" w:line="282" w:lineRule="auto"/>
        <w:tabs>
          <w:tab w:leader="none" w:pos="129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/s/ Michael W. Metcalf</w:t>
      </w:r>
    </w:p>
    <w:p>
      <w:pPr>
        <w:ind w:left="5640"/>
        <w:spacing w:after="0" w:line="203" w:lineRule="auto"/>
        <w:rPr>
          <w:sz w:val="20"/>
          <w:szCs w:val="20"/>
          <w:color w:val="auto"/>
        </w:rPr>
      </w:pPr>
      <w:r>
        <w:rPr>
          <w:rFonts w:ascii="Times New Roman" w:cs="Times New Roman" w:eastAsia="Times New Roman" w:hAnsi="Times New Roman"/>
          <w:sz w:val="18"/>
          <w:szCs w:val="18"/>
          <w:color w:val="auto"/>
        </w:rPr>
        <w:t>Michael W. Metcalf</w:t>
      </w:r>
    </w:p>
    <w:p>
      <w:pPr>
        <w:ind w:left="5640"/>
        <w:spacing w:after="0" w:line="219" w:lineRule="auto"/>
        <w:rPr>
          <w:sz w:val="20"/>
          <w:szCs w:val="20"/>
          <w:color w:val="auto"/>
        </w:rPr>
      </w:pPr>
      <w:r>
        <w:rPr>
          <w:rFonts w:ascii="Times New Roman" w:cs="Times New Roman" w:eastAsia="Times New Roman" w:hAnsi="Times New Roman"/>
          <w:sz w:val="18"/>
          <w:szCs w:val="18"/>
          <w:color w:val="auto"/>
        </w:rPr>
        <w:t>Executive Vice President</w:t>
      </w:r>
    </w:p>
    <w:p>
      <w:pPr>
        <w:ind w:left="5640"/>
        <w:spacing w:after="0" w:line="204" w:lineRule="auto"/>
        <w:rPr>
          <w:sz w:val="20"/>
          <w:szCs w:val="20"/>
          <w:color w:val="auto"/>
        </w:rPr>
      </w:pPr>
      <w:r>
        <w:rPr>
          <w:rFonts w:ascii="Times New Roman" w:cs="Times New Roman" w:eastAsia="Times New Roman" w:hAnsi="Times New Roman"/>
          <w:sz w:val="18"/>
          <w:szCs w:val="18"/>
          <w:color w:val="auto"/>
        </w:rPr>
        <w:t>Chief Financial and Principal Accounting Officer</w:t>
      </w:r>
    </w:p>
    <w:p>
      <w:pPr>
        <w:ind w:left="5640"/>
        <w:spacing w:after="0"/>
        <w:rPr>
          <w:sz w:val="20"/>
          <w:szCs w:val="20"/>
          <w:color w:val="auto"/>
        </w:rPr>
      </w:pPr>
      <w:r>
        <w:rPr>
          <w:rFonts w:ascii="Times New Roman" w:cs="Times New Roman" w:eastAsia="Times New Roman" w:hAnsi="Times New Roman"/>
          <w:sz w:val="18"/>
          <w:szCs w:val="18"/>
          <w:color w:val="auto"/>
        </w:rPr>
        <w:t>(Principal Financial and Principal Accounting Officer)</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19, 2025</w:t>
      </w:r>
    </w:p>
    <w:p>
      <w:pPr>
        <w:sectPr>
          <w:pgSz w:w="11900" w:h="16838" w:orient="portrait"/>
          <w:cols w:equalWidth="0" w:num="1">
            <w:col w:w="11240"/>
          </w:cols>
          <w:pgMar w:left="320" w:top="124"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this Annual Report (the “Report”) on Form 10-K of Powell Industries, Inc. (the “Company”) for the year ended September 30, 2025, as filed with the Securities and Exchange Commission on the date hereof, I, Brett A. Cope, Chief Executive Officer of the Company, certify, pursuant to 18 U.S.C. Section 1350, as adopted pursuant to Section 906 of the Sarbanes-Oxley Act of 2002, that:</w:t>
      </w:r>
    </w:p>
    <w:p>
      <w:pPr>
        <w:spacing w:after="0" w:line="176" w:lineRule="exact"/>
        <w:rPr>
          <w:sz w:val="20"/>
          <w:szCs w:val="20"/>
          <w:color w:val="auto"/>
        </w:rPr>
      </w:pPr>
    </w:p>
    <w:p>
      <w:pPr>
        <w:ind w:left="640" w:hanging="308"/>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represents, in all material respects, the financial condition and results of operations of the Company.</w:t>
      </w:r>
    </w:p>
    <w:p>
      <w:pPr>
        <w:spacing w:after="0" w:line="34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/s/ Brett A. Cope</w:t>
      </w:r>
    </w:p>
    <w:p>
      <w:pPr>
        <w:ind w:left="5640"/>
        <w:spacing w:after="0" w:line="219" w:lineRule="auto"/>
        <w:rPr>
          <w:sz w:val="20"/>
          <w:szCs w:val="20"/>
          <w:color w:val="auto"/>
        </w:rPr>
      </w:pPr>
      <w:r>
        <w:rPr>
          <w:rFonts w:ascii="Times New Roman" w:cs="Times New Roman" w:eastAsia="Times New Roman" w:hAnsi="Times New Roman"/>
          <w:sz w:val="18"/>
          <w:szCs w:val="18"/>
          <w:color w:val="auto"/>
        </w:rPr>
        <w:t>Brett A. Cope</w:t>
      </w:r>
    </w:p>
    <w:p>
      <w:pPr>
        <w:ind w:left="56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19, 2025</w:t>
      </w:r>
    </w:p>
    <w:p>
      <w:pPr>
        <w:sectPr>
          <w:pgSz w:w="11900" w:h="16838" w:orient="portrait"/>
          <w:cols w:equalWidth="0" w:num="1">
            <w:col w:w="11240"/>
          </w:cols>
          <w:pgMar w:left="320" w:top="124"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this Annual Report (the “Report”) on Form 10-K of Powell Industries, Inc. (the “Company”) for the year ended </w:t>
      </w:r>
      <w:r>
        <w:rPr>
          <w:rFonts w:ascii="Times New Roman" w:cs="Times New Roman" w:eastAsia="Times New Roman" w:hAnsi="Times New Roman"/>
          <w:sz w:val="16"/>
          <w:szCs w:val="16"/>
          <w:color w:val="auto"/>
        </w:rPr>
        <w:t>September 30, 2025</w:t>
      </w:r>
      <w:r>
        <w:rPr>
          <w:rFonts w:ascii="Times New Roman" w:cs="Times New Roman" w:eastAsia="Times New Roman" w:hAnsi="Times New Roman"/>
          <w:sz w:val="18"/>
          <w:szCs w:val="18"/>
          <w:color w:val="auto"/>
        </w:rPr>
        <w:t>, as filed with the Securities and Exchange Commission on the date hereof, I, Michael W. Metcalf, Executive Vice President and Chief Financial and Principal Accounting Officer of the Company, certify, pursuant to 18 U.S.C. Section 1350, as adopted pursuant to Section 906 of the Sarbanes-Oxley Act of 2002, that:</w:t>
      </w:r>
    </w:p>
    <w:p>
      <w:pPr>
        <w:spacing w:after="0" w:line="180" w:lineRule="exact"/>
        <w:rPr>
          <w:sz w:val="20"/>
          <w:szCs w:val="20"/>
          <w:color w:val="auto"/>
        </w:rPr>
      </w:pPr>
    </w:p>
    <w:p>
      <w:pPr>
        <w:ind w:left="640" w:hanging="308"/>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represents, in all material respects, the financial condition and results of operations of the Company.</w:t>
      </w:r>
    </w:p>
    <w:p>
      <w:pPr>
        <w:spacing w:after="0" w:line="3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 Michael W. Metcalf</w:t>
      </w:r>
    </w:p>
    <w:p>
      <w:pPr>
        <w:ind w:left="5620"/>
        <w:spacing w:after="0" w:line="203" w:lineRule="auto"/>
        <w:rPr>
          <w:sz w:val="20"/>
          <w:szCs w:val="20"/>
          <w:color w:val="auto"/>
        </w:rPr>
      </w:pPr>
      <w:r>
        <w:rPr>
          <w:rFonts w:ascii="Times New Roman" w:cs="Times New Roman" w:eastAsia="Times New Roman" w:hAnsi="Times New Roman"/>
          <w:sz w:val="18"/>
          <w:szCs w:val="18"/>
          <w:color w:val="auto"/>
        </w:rPr>
        <w:t>Michael W. Metcalf</w:t>
      </w:r>
    </w:p>
    <w:p>
      <w:pPr>
        <w:ind w:left="5620"/>
        <w:spacing w:after="0" w:line="219" w:lineRule="auto"/>
        <w:rPr>
          <w:sz w:val="20"/>
          <w:szCs w:val="20"/>
          <w:color w:val="auto"/>
        </w:rPr>
      </w:pPr>
      <w:r>
        <w:rPr>
          <w:rFonts w:ascii="Times New Roman" w:cs="Times New Roman" w:eastAsia="Times New Roman" w:hAnsi="Times New Roman"/>
          <w:sz w:val="18"/>
          <w:szCs w:val="18"/>
          <w:color w:val="auto"/>
        </w:rPr>
        <w:t>Executive Vice President</w:t>
      </w:r>
    </w:p>
    <w:p>
      <w:pPr>
        <w:ind w:left="5620"/>
        <w:spacing w:after="0" w:line="204" w:lineRule="auto"/>
        <w:rPr>
          <w:sz w:val="20"/>
          <w:szCs w:val="20"/>
          <w:color w:val="auto"/>
        </w:rPr>
      </w:pPr>
      <w:r>
        <w:rPr>
          <w:rFonts w:ascii="Times New Roman" w:cs="Times New Roman" w:eastAsia="Times New Roman" w:hAnsi="Times New Roman"/>
          <w:sz w:val="18"/>
          <w:szCs w:val="18"/>
          <w:color w:val="auto"/>
        </w:rPr>
        <w:t>Chief Financial and Principal Accounting Officer</w:t>
      </w:r>
    </w:p>
    <w:p>
      <w:pPr>
        <w:ind w:left="5620"/>
        <w:spacing w:after="0"/>
        <w:rPr>
          <w:sz w:val="20"/>
          <w:szCs w:val="20"/>
          <w:color w:val="auto"/>
        </w:rPr>
      </w:pPr>
      <w:r>
        <w:rPr>
          <w:rFonts w:ascii="Times New Roman" w:cs="Times New Roman" w:eastAsia="Times New Roman" w:hAnsi="Times New Roman"/>
          <w:sz w:val="18"/>
          <w:szCs w:val="18"/>
          <w:color w:val="auto"/>
        </w:rPr>
        <w:t>(Principal Financial and Principal Accounting Officer)</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6"/>
          <w:szCs w:val="16"/>
          <w:color w:val="auto"/>
        </w:rPr>
        <w:t>November 19, 2025</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1)"/>
      <w:numFmt w:val="lowerRoman"/>
      <w:start w:val="1"/>
    </w:lvl>
  </w:abstractNum>
  <w:abstractNum w:abstractNumId="6">
    <w:nsid w:val="8EDBDAB"/>
    <w:multiLevelType w:val="hybridMultilevel"/>
    <w:lvl w:ilvl="0">
      <w:lvlJc w:val="left"/>
      <w:lvlText w:val="(%1)"/>
      <w:numFmt w:val="decimal"/>
      <w:start w:val="1"/>
    </w:lvl>
  </w:abstractNum>
  <w:abstractNum w:abstractNumId="7">
    <w:nsid w:val="79838CB2"/>
    <w:multiLevelType w:val="hybridMultilevel"/>
    <w:lvl w:ilvl="0">
      <w:lvlJc w:val="left"/>
      <w:lvlText w:val="(%1)"/>
      <w:numFmt w:val="lowerLetter"/>
      <w:start w:val="1"/>
    </w:lvl>
  </w:abstractNum>
  <w:abstractNum w:abstractNumId="8">
    <w:nsid w:val="4353D0CD"/>
    <w:multiLevelType w:val="hybridMultilevel"/>
    <w:lvl w:ilvl="0">
      <w:lvlJc w:val="left"/>
      <w:lvlText w:val="(%1)"/>
      <w:numFmt w:val="decimal"/>
      <w:start w:val="1"/>
    </w:lvl>
  </w:abstractNum>
  <w:abstractNum w:abstractNumId="9">
    <w:nsid w:val="B03E0C6"/>
    <w:multiLevelType w:val="hybridMultilevel"/>
    <w:lvl w:ilvl="0">
      <w:lvlJc w:val="left"/>
      <w:lvlText w:val="(%1)"/>
      <w:numFmt w:val="decimal"/>
      <w:start w:val="1"/>
    </w:lvl>
  </w:abstractNum>
  <w:abstractNum w:abstractNumId="10">
    <w:nsid w:val="189A769B"/>
    <w:multiLevelType w:val="hybridMultilevel"/>
    <w:lvl w:ilvl="0">
      <w:lvlJc w:val="left"/>
      <w:lvlText w:val="(%1)"/>
      <w:numFmt w:val="decimal"/>
      <w:start w:val="1"/>
    </w:lvl>
  </w:abstractNum>
  <w:abstractNum w:abstractNumId="11">
    <w:nsid w:val="54E49EB4"/>
    <w:multiLevelType w:val="hybridMultilevel"/>
    <w:lvl w:ilvl="0">
      <w:lvlJc w:val="left"/>
      <w:lvlText w:val="(%1)"/>
      <w:numFmt w:val="decimal"/>
      <w:start w:val="1"/>
    </w:lvl>
  </w:abstractNum>
  <w:abstractNum w:abstractNumId="12">
    <w:nsid w:val="71F32454"/>
    <w:multiLevelType w:val="hybridMultilevel"/>
    <w:lvl w:ilvl="0">
      <w:lvlJc w:val="left"/>
      <w:lvlText w:val="%1."/>
      <w:numFmt w:val="decimal"/>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1."/>
      <w:numFmt w:val="upperLetter"/>
      <w:start w:val="1"/>
    </w:lvl>
  </w:abstractNum>
  <w:abstractNum w:abstractNumId="16">
    <w:nsid w:val="3A95F874"/>
    <w:multiLevelType w:val="hybridMultilevel"/>
    <w:lvl w:ilvl="0">
      <w:lvlJc w:val="left"/>
      <w:lvlText w:val="%1."/>
      <w:numFmt w:val="upperLetter"/>
      <w:start w:val="5"/>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1"/>
      <w:numFmt w:val="lowerLetter"/>
      <w:start w:val="1"/>
    </w:lvl>
    <w:lvl w:ilvl="1">
      <w:lvlJc w:val="left"/>
      <w:lvlText w:val="(%2)"/>
      <w:numFmt w:val="lowerLetter"/>
      <w:start w:val="1"/>
    </w:lvl>
  </w:abstractNum>
  <w:abstractNum w:abstractNumId="19">
    <w:nsid w:val="7C3DBD3D"/>
    <w:multiLevelType w:val="hybridMultilevel"/>
    <w:lvl w:ilvl="0">
      <w:lvlJc w:val="left"/>
      <w:lvlText w:val="(%1)"/>
      <w:numFmt w:val="lowerLetter"/>
      <w:start w:val="35"/>
    </w:lvl>
    <w:lvl w:ilvl="1">
      <w:lvlJc w:val="left"/>
      <w:lvlText w:val="(%2)"/>
      <w:numFmt w:val="lowerLetter"/>
      <w:start w:val="2"/>
    </w:lvl>
  </w:abstractNum>
  <w:abstractNum w:abstractNumId="20">
    <w:nsid w:val="737B8DDC"/>
    <w:multiLevelType w:val="hybridMultilevel"/>
    <w:lvl w:ilvl="0">
      <w:lvlJc w:val="left"/>
      <w:lvlText w:val="%1."/>
      <w:numFmt w:val="decimal"/>
      <w:start w:val="3"/>
    </w:lvl>
  </w:abstractNum>
  <w:abstractNum w:abstractNumId="21">
    <w:nsid w:val="6CEAF087"/>
    <w:multiLevelType w:val="hybridMultilevel"/>
    <w:lvl w:ilvl="0">
      <w:lvlJc w:val="left"/>
      <w:lvlText w:val="(%1)"/>
      <w:numFmt w:val="lowerLetter"/>
      <w:start w:val="1"/>
    </w:lvl>
  </w:abstractNum>
  <w:abstractNum w:abstractNumId="22">
    <w:nsid w:val="22221A70"/>
    <w:multiLevelType w:val="hybridMultilevel"/>
    <w:lvl w:ilvl="0">
      <w:lvlJc w:val="left"/>
      <w:lvlText w:val="(%1)"/>
      <w:numFmt w:val="lowerLetter"/>
      <w:start w:val="2"/>
    </w:lvl>
  </w:abstractNum>
  <w:abstractNum w:abstractNumId="23">
    <w:nsid w:val="4516DDE9"/>
    <w:multiLevelType w:val="hybridMultilevel"/>
    <w:lvl w:ilvl="0">
      <w:lvlJc w:val="left"/>
      <w:lvlText w:val="%1."/>
      <w:numFmt w:val="decimal"/>
      <w:start w:val="4"/>
    </w:lvl>
  </w:abstractNum>
  <w:abstractNum w:abstractNumId="24">
    <w:nsid w:val="3006C83E"/>
    <w:multiLevelType w:val="hybridMultilevel"/>
    <w:lvl w:ilvl="0">
      <w:lvlJc w:val="left"/>
      <w:lvlText w:val="(%1)"/>
      <w:numFmt w:val="lowerLetter"/>
      <w:start w:val="1"/>
    </w:lvl>
  </w:abstractNum>
  <w:abstractNum w:abstractNumId="25">
    <w:nsid w:val="614FD4A1"/>
    <w:multiLevelType w:val="hybridMultilevel"/>
    <w:lvl w:ilvl="0">
      <w:lvlJc w:val="left"/>
      <w:lvlText w:val="%1."/>
      <w:numFmt w:val="decimal"/>
      <w:start w:val="5"/>
    </w:lvl>
  </w:abstractNum>
  <w:abstractNum w:abstractNumId="26">
    <w:nsid w:val="419AC241"/>
    <w:multiLevelType w:val="hybridMultilevel"/>
    <w:lvl w:ilvl="0">
      <w:lvlJc w:val="left"/>
      <w:lvlText w:val="%1."/>
      <w:numFmt w:val="decimal"/>
      <w:start w:val="6"/>
    </w:lvl>
  </w:abstractNum>
  <w:abstractNum w:abstractNumId="27">
    <w:nsid w:val="5577F8E1"/>
    <w:multiLevelType w:val="hybridMultilevel"/>
    <w:lvl w:ilvl="0">
      <w:lvlJc w:val="left"/>
      <w:lvlText w:val="(%1)"/>
      <w:numFmt w:val="lowerLetter"/>
      <w:start w:val="1"/>
    </w:lvl>
  </w:abstractNum>
  <w:abstractNum w:abstractNumId="28">
    <w:nsid w:val="440BADFC"/>
    <w:multiLevelType w:val="hybridMultilevel"/>
    <w:lvl w:ilvl="0">
      <w:lvlJc w:val="left"/>
      <w:lvlText w:val="%1."/>
      <w:numFmt w:val="decimal"/>
      <w:start w:val="8"/>
    </w:lvl>
  </w:abstractNum>
  <w:abstractNum w:abstractNumId="29">
    <w:nsid w:val="5072367"/>
    <w:multiLevelType w:val="hybridMultilevel"/>
    <w:lvl w:ilvl="0">
      <w:lvlJc w:val="left"/>
      <w:lvlText w:val="(%1)"/>
      <w:numFmt w:val="lowerLetter"/>
      <w:start w:val="1"/>
    </w:lvl>
  </w:abstractNum>
  <w:abstractNum w:abstractNumId="30">
    <w:nsid w:val="3804823E"/>
    <w:multiLevelType w:val="hybridMultilevel"/>
    <w:lvl w:ilvl="0">
      <w:lvlJc w:val="left"/>
      <w:lvlText w:val="(%1)"/>
      <w:numFmt w:val="lowerLetter"/>
      <w:start w:val="3"/>
    </w:lvl>
  </w:abstractNum>
  <w:abstractNum w:abstractNumId="31">
    <w:nsid w:val="77465F01"/>
    <w:multiLevelType w:val="hybridMultilevel"/>
    <w:lvl w:ilvl="0">
      <w:lvlJc w:val="left"/>
      <w:lvlText w:val="%1."/>
      <w:numFmt w:val="decimal"/>
      <w:start w:val="9"/>
    </w:lvl>
  </w:abstractNum>
  <w:abstractNum w:abstractNumId="32">
    <w:nsid w:val="7724C67E"/>
    <w:multiLevelType w:val="hybridMultilevel"/>
    <w:lvl w:ilvl="0">
      <w:lvlJc w:val="left"/>
      <w:lvlText w:val="%1."/>
      <w:numFmt w:val="upperLetter"/>
      <w:start w:val="9"/>
    </w:lvl>
  </w:abstractNum>
  <w:abstractNum w:abstractNumId="33">
    <w:nsid w:val="5C482A97"/>
    <w:multiLevelType w:val="hybridMultilevel"/>
    <w:lvl w:ilvl="0">
      <w:lvlJc w:val="left"/>
      <w:lvlText w:val="%1."/>
      <w:numFmt w:val="upperLetter"/>
      <w:start w:val="35"/>
    </w:lvl>
  </w:abstractNum>
  <w:abstractNum w:abstractNumId="34">
    <w:nsid w:val="2463B9EA"/>
    <w:multiLevelType w:val="hybridMultilevel"/>
    <w:lvl w:ilvl="0">
      <w:lvlJc w:val="left"/>
      <w:lvlText w:val="%1."/>
      <w:numFmt w:val="upperLetter"/>
      <w:start w:val="6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1."/>
      <w:numFmt w:val="upperLetter"/>
      <w:start w:val="22"/>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113" Type="http://schemas.openxmlformats.org/officeDocument/2006/relationships/image" Target="media/image90.png"/><Relationship Id="rId122" Type="http://schemas.openxmlformats.org/officeDocument/2006/relationships/image" Target="media/image91.png"/><Relationship Id="rId123" Type="http://schemas.openxmlformats.org/officeDocument/2006/relationships/image" Target="media/image92.png"/><Relationship Id="rId124" Type="http://schemas.openxmlformats.org/officeDocument/2006/relationships/image" Target="media/image93.png"/><Relationship Id="rId125" Type="http://schemas.openxmlformats.org/officeDocument/2006/relationships/image" Target="media/image94.png"/><Relationship Id="rId126" Type="http://schemas.openxmlformats.org/officeDocument/2006/relationships/image" Target="media/image95.png"/><Relationship Id="rId127" Type="http://schemas.openxmlformats.org/officeDocument/2006/relationships/image" Target="media/image96.png"/><Relationship Id="rId128" Type="http://schemas.openxmlformats.org/officeDocument/2006/relationships/image" Target="media/image97.png"/><Relationship Id="rId129" Type="http://schemas.openxmlformats.org/officeDocument/2006/relationships/image" Target="media/image98.png"/><Relationship Id="rId130" Type="http://schemas.openxmlformats.org/officeDocument/2006/relationships/image" Target="media/image99.png"/><Relationship Id="rId131" Type="http://schemas.openxmlformats.org/officeDocument/2006/relationships/image" Target="media/image100.png"/><Relationship Id="rId132" Type="http://schemas.openxmlformats.org/officeDocument/2006/relationships/image" Target="media/image101.png"/><Relationship Id="rId133" Type="http://schemas.openxmlformats.org/officeDocument/2006/relationships/image" Target="media/image102.png"/><Relationship Id="rId134" Type="http://schemas.openxmlformats.org/officeDocument/2006/relationships/image" Target="media/image103.png"/><Relationship Id="rId135" Type="http://schemas.openxmlformats.org/officeDocument/2006/relationships/image" Target="media/image104.jpeg"/><Relationship Id="rId136" Type="http://schemas.openxmlformats.org/officeDocument/2006/relationships/image" Target="media/image105.jpeg"/><Relationship Id="rId137" Type="http://schemas.openxmlformats.org/officeDocument/2006/relationships/image" Target="media/image106.jpeg"/><Relationship Id="rId138" Type="http://schemas.openxmlformats.org/officeDocument/2006/relationships/image" Target="media/image107.jpeg"/><Relationship Id="rId139" Type="http://schemas.openxmlformats.org/officeDocument/2006/relationships/image" Target="media/image108.jpeg"/><Relationship Id="rId140" Type="http://schemas.openxmlformats.org/officeDocument/2006/relationships/image" Target="media/image109.jpeg"/><Relationship Id="rId141" Type="http://schemas.openxmlformats.org/officeDocument/2006/relationships/image" Target="media/image110.jpeg"/><Relationship Id="rId142" Type="http://schemas.openxmlformats.org/officeDocument/2006/relationships/image" Target="media/image111.png"/><Relationship Id="rId143" Type="http://schemas.openxmlformats.org/officeDocument/2006/relationships/image" Target="media/image112.png"/><Relationship Id="rId144" Type="http://schemas.openxmlformats.org/officeDocument/2006/relationships/image" Target="media/image113.png"/><Relationship Id="rId97" Type="http://schemas.openxmlformats.org/officeDocument/2006/relationships/hyperlink" Target="https://www.sec.gov/Archives/edgar/data/80420/000008042025000034/ex31-amendedandrestatedcer.htm" TargetMode="External"/><Relationship Id="rId98" Type="http://schemas.openxmlformats.org/officeDocument/2006/relationships/hyperlink" Target="https://www.sec.gov/Archives/edgar/data/80420/000008042025000044/ex31-secondamendedandresta.htm" TargetMode="External"/><Relationship Id="rId99" Type="http://schemas.openxmlformats.org/officeDocument/2006/relationships/hyperlink" Target="https://www.sec.gov/Archives/edgar/data/80420/000095012903000042/h02247exv10w9.txt" TargetMode="External"/><Relationship Id="rId100" Type="http://schemas.openxmlformats.org/officeDocument/2006/relationships/hyperlink" Target="https://www.sec.gov/Archives/edgar/data/80420/000156459014001858/powl-ex10_20140331386.htm" TargetMode="External"/><Relationship Id="rId101" Type="http://schemas.openxmlformats.org/officeDocument/2006/relationships/hyperlink" Target="https://www.sec.gov/Archives/edgar/data/80420/000156459014001858/powl-ex10_20140331532.htm" TargetMode="External"/><Relationship Id="rId102" Type="http://schemas.openxmlformats.org/officeDocument/2006/relationships/hyperlink" Target="https://www.sec.gov/Archives/edgar/data/80420/000156459014001858/powl-ex10_20140331533.htm" TargetMode="External"/><Relationship Id="rId103" Type="http://schemas.openxmlformats.org/officeDocument/2006/relationships/hyperlink" Target="https://www.sec.gov/Archives/edgar/data/80420/000156459014001858/powl-ex10_20140331387.htm" TargetMode="External"/><Relationship Id="rId104" Type="http://schemas.openxmlformats.org/officeDocument/2006/relationships/hyperlink" Target="https://www.sec.gov/Archives/edgar/data/80420/000156459014001858/powl-ex10_20140331534.htm" TargetMode="External"/><Relationship Id="rId105" Type="http://schemas.openxmlformats.org/officeDocument/2006/relationships/hyperlink" Target="https://www.sec.gov/Archives/edgar/data/80420/000156459014001858/powl-ex10_20140331535.htm" TargetMode="External"/><Relationship Id="rId106" Type="http://schemas.openxmlformats.org/officeDocument/2006/relationships/hyperlink" Target="https://www.sec.gov/Archives/edgar/data/80420/000156459014001858/powl-ex10_20140331388.htm" TargetMode="External"/><Relationship Id="rId107" Type="http://schemas.openxmlformats.org/officeDocument/2006/relationships/hyperlink" Target="https://www.sec.gov/Archives/edgar/data/80420/000156459014001858/powl-ex10_20140331536.htm" TargetMode="External"/><Relationship Id="rId108" Type="http://schemas.openxmlformats.org/officeDocument/2006/relationships/hyperlink" Target="https://www.sec.gov/Archives/edgar/data/80420/000119312516726999/d262942dex101.htm" TargetMode="External"/><Relationship Id="rId109" Type="http://schemas.openxmlformats.org/officeDocument/2006/relationships/hyperlink" Target="https://www.sec.gov/Archives/edgar/data/80420/000008042018000027/ex101-metcalfmichaelwxcfoe.htm" TargetMode="External"/><Relationship Id="rId110" Type="http://schemas.openxmlformats.org/officeDocument/2006/relationships/hyperlink" Target="https://www.sec.gov/Archives/edgar/data/80420/000008042019000039/exhibit102510k2019creditag.htm" TargetMode="External"/><Relationship Id="rId111" Type="http://schemas.openxmlformats.org/officeDocument/2006/relationships/hyperlink" Target="https://www.sec.gov/Archives/edgar/data/0000080420/000119312521082878/d130870dex101.htm" TargetMode="External"/><Relationship Id="rId112" Type="http://schemas.openxmlformats.org/officeDocument/2006/relationships/hyperlink" Target="https://www.sec.gov/Archives/edgar/data/80420/000008042022000007/powlex101q12022-libortrans.htm" TargetMode="External"/><Relationship Id="rId114" Type="http://schemas.openxmlformats.org/officeDocument/2006/relationships/hyperlink" Target="https://www.sec.gov/Archives/edgar/data/80420/000008042023000007/powlex101q12023-libortrans.htm" TargetMode="External"/><Relationship Id="rId115" Type="http://schemas.openxmlformats.org/officeDocument/2006/relationships/hyperlink" Target="https://www.sec.gov/Archives/edgar/data/80420/000008042023000020/secondamendmenttotheusrevo.htm" TargetMode="External"/><Relationship Id="rId116" Type="http://schemas.openxmlformats.org/officeDocument/2006/relationships/hyperlink" Target="https://www.sec.gov/Archives/edgar/data/80420/000119312523029998/d423291dex102.htm" TargetMode="External"/><Relationship Id="rId117" Type="http://schemas.openxmlformats.org/officeDocument/2006/relationships/hyperlink" Target="https://www.sec.gov/Archives/edgar/data/80420/000008042023000011/amendment1toequityincentiv.htm" TargetMode="External"/><Relationship Id="rId118" Type="http://schemas.openxmlformats.org/officeDocument/2006/relationships/hyperlink" Target="https://www.sec.gov/Archives/edgar/data/80420/000008042023000051/exhibit1029thirdamendmentt.htm" TargetMode="External"/><Relationship Id="rId119" Type="http://schemas.openxmlformats.org/officeDocument/2006/relationships/hyperlink" Target="https://www.sec.gov/Archives/edgar/data/80420/000008042024000059/powlex101-q32024cdorconfor.htm" TargetMode="External"/><Relationship Id="rId120" Type="http://schemas.openxmlformats.org/officeDocument/2006/relationships/hyperlink" Target="https://www.sec.gov/Archives/edgar/data/80420/000008042024000086/exhibit1021conformingchang.htm" TargetMode="External"/><Relationship Id="rId121" Type="http://schemas.openxmlformats.org/officeDocument/2006/relationships/hyperlink" Target="https://www.sec.gov/Archives/edgar/data/80420/000008042023000051/exhibit97executiverecoup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2025-11-19T11:48:25Z</dcterms:created>
  <dcterms:modified xsi:type="dcterms:W3CDTF">2025-11-19T11:48:25Z</dcterms:modified>
</cp:coreProperties>
</file>