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277495</wp:posOffset>
            </wp:positionH>
            <wp:positionV relativeFrom="page">
              <wp:posOffset>620395</wp:posOffset>
            </wp:positionV>
            <wp:extent cx="70148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4845" cy="17145"/>
                    </a:xfrm>
                    <a:prstGeom prst="rect">
                      <a:avLst/>
                    </a:prstGeom>
                    <a:noFill/>
                  </pic:spPr>
                </pic:pic>
              </a:graphicData>
            </a:graphic>
          </wp:anchor>
        </w:drawing>
        <w:drawing>
          <wp:anchor simplePos="0" relativeHeight="251657728" behindDoc="1" locked="0" layoutInCell="0" allowOverlap="1">
            <wp:simplePos x="0" y="0"/>
            <wp:positionH relativeFrom="page">
              <wp:posOffset>277495</wp:posOffset>
            </wp:positionH>
            <wp:positionV relativeFrom="page">
              <wp:posOffset>534670</wp:posOffset>
            </wp:positionV>
            <wp:extent cx="70148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484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107315</wp:posOffset>
            </wp:positionV>
            <wp:extent cx="2126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161290</wp:posOffset>
            </wp:positionV>
            <wp:extent cx="2126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right="4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2017</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2"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r>
      <w:tr>
        <w:trPr>
          <w:trHeight w:val="399"/>
        </w:trPr>
        <w:tc>
          <w:tcPr>
            <w:tcW w:w="3700" w:type="dxa"/>
            <w:vAlign w:val="bottom"/>
            <w:gridSpan w:val="4"/>
          </w:tcPr>
          <w:p>
            <w:pPr>
              <w:ind w:left="440"/>
              <w:spacing w:after="0"/>
              <w:rPr>
                <w:sz w:val="20"/>
                <w:szCs w:val="20"/>
                <w:color w:val="auto"/>
              </w:rPr>
            </w:pPr>
            <w:r>
              <w:rPr>
                <w:rFonts w:ascii="Arial" w:cs="Arial" w:eastAsia="Arial" w:hAnsi="Arial"/>
                <w:sz w:val="18"/>
                <w:szCs w:val="18"/>
                <w:b w:val="1"/>
                <w:bCs w:val="1"/>
                <w:color w:val="auto"/>
              </w:rPr>
              <w:t>Commission File Number 001-12488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102870</wp:posOffset>
            </wp:positionV>
            <wp:extent cx="2126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Powell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26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8"/>
                <w:szCs w:val="18"/>
                <w:b w:val="1"/>
                <w:bCs w:val="1"/>
                <w:color w:val="auto"/>
                <w:w w:val="93"/>
              </w:rPr>
              <w:t>Delaware</w:t>
            </w:r>
          </w:p>
        </w:tc>
        <w:tc>
          <w:tcPr>
            <w:tcW w:w="1300" w:type="dxa"/>
            <w:vAlign w:val="bottom"/>
          </w:tcPr>
          <w:p>
            <w:pPr>
              <w:jc w:val="center"/>
              <w:ind w:left="101"/>
              <w:spacing w:after="0"/>
              <w:rPr>
                <w:sz w:val="20"/>
                <w:szCs w:val="20"/>
                <w:color w:val="auto"/>
              </w:rPr>
            </w:pPr>
            <w:r>
              <w:rPr>
                <w:rFonts w:ascii="Arial" w:cs="Arial" w:eastAsia="Arial" w:hAnsi="Arial"/>
                <w:sz w:val="18"/>
                <w:szCs w:val="18"/>
                <w:b w:val="1"/>
                <w:bCs w:val="1"/>
                <w:color w:val="auto"/>
                <w:w w:val="91"/>
              </w:rPr>
              <w:t>88-0106100</w:t>
            </w:r>
          </w:p>
        </w:tc>
      </w:t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2"/>
              </w:rPr>
              <w:t>(State or other jurisdiction of</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3"/>
              </w:rPr>
              <w:t>incorporation or organization)</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6320" w:type="dxa"/>
            <w:vAlign w:val="bottom"/>
            <w:gridSpan w:val="3"/>
          </w:tcPr>
          <w:p>
            <w:pPr>
              <w:jc w:val="center"/>
              <w:ind w:right="3920"/>
              <w:spacing w:after="0"/>
              <w:rPr>
                <w:sz w:val="20"/>
                <w:szCs w:val="20"/>
                <w:color w:val="auto"/>
              </w:rPr>
            </w:pPr>
            <w:r>
              <w:rPr>
                <w:rFonts w:ascii="Arial" w:cs="Arial" w:eastAsia="Arial" w:hAnsi="Arial"/>
                <w:sz w:val="18"/>
                <w:szCs w:val="18"/>
                <w:b w:val="1"/>
                <w:bCs w:val="1"/>
                <w:color w:val="auto"/>
                <w:w w:val="89"/>
              </w:rPr>
              <w:t>8550 Mosley Road</w:t>
            </w:r>
          </w:p>
        </w:tc>
        <w:tc>
          <w:tcPr>
            <w:tcW w:w="1300" w:type="dxa"/>
            <w:vAlign w:val="bottom"/>
          </w:tcPr>
          <w:p>
            <w:pPr>
              <w:spacing w:after="0"/>
              <w:rPr>
                <w:sz w:val="20"/>
                <w:szCs w:val="20"/>
                <w:color w:val="auto"/>
              </w:rPr>
            </w:pPr>
          </w:p>
        </w:tc>
      </w:t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8"/>
                <w:szCs w:val="18"/>
                <w:b w:val="1"/>
                <w:bCs w:val="1"/>
                <w:color w:val="auto"/>
                <w:w w:val="88"/>
              </w:rPr>
              <w:t>Houston, Texas</w:t>
            </w:r>
          </w:p>
        </w:tc>
        <w:tc>
          <w:tcPr>
            <w:tcW w:w="1300" w:type="dxa"/>
            <w:vAlign w:val="bottom"/>
          </w:tcPr>
          <w:p>
            <w:pPr>
              <w:jc w:val="center"/>
              <w:ind w:left="121"/>
              <w:spacing w:after="0"/>
              <w:rPr>
                <w:sz w:val="20"/>
                <w:szCs w:val="20"/>
                <w:color w:val="auto"/>
              </w:rPr>
            </w:pPr>
            <w:r>
              <w:rPr>
                <w:rFonts w:ascii="Arial" w:cs="Arial" w:eastAsia="Arial" w:hAnsi="Arial"/>
                <w:sz w:val="18"/>
                <w:szCs w:val="18"/>
                <w:b w:val="1"/>
                <w:bCs w:val="1"/>
                <w:color w:val="auto"/>
                <w:w w:val="89"/>
              </w:rPr>
              <w:t>77075-1180</w:t>
            </w:r>
          </w:p>
        </w:tc>
      </w:tr>
      <w:tr>
        <w:trPr>
          <w:trHeight w:val="218"/>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0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277"/>
        </w:trPr>
        <w:tc>
          <w:tcPr>
            <w:tcW w:w="6320" w:type="dxa"/>
            <w:vAlign w:val="bottom"/>
            <w:gridSpan w:val="3"/>
          </w:tcPr>
          <w:p>
            <w:pPr>
              <w:jc w:val="center"/>
              <w:ind w:left="1917"/>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300" w:type="dxa"/>
            <w:vAlign w:val="bottom"/>
          </w:tcPr>
          <w:p>
            <w:pPr>
              <w:spacing w:after="0"/>
              <w:rPr>
                <w:sz w:val="24"/>
                <w:szCs w:val="24"/>
                <w:color w:val="auto"/>
              </w:rPr>
            </w:pPr>
          </w:p>
        </w:tc>
      </w:tr>
      <w:tr>
        <w:trPr>
          <w:trHeight w:val="234"/>
        </w:trPr>
        <w:tc>
          <w:tcPr>
            <w:tcW w:w="584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(713) 944-6900</w:t>
            </w: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35"/>
        </w:trPr>
        <w:tc>
          <w:tcPr>
            <w:tcW w:w="2480" w:type="dxa"/>
            <w:vAlign w:val="bottom"/>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r>
    </w:tbl>
    <w:p>
      <w:pPr>
        <w:spacing w:after="0" w:line="391" w:lineRule="exact"/>
        <w:rPr>
          <w:sz w:val="24"/>
          <w:szCs w:val="24"/>
          <w:color w:val="auto"/>
        </w:rPr>
      </w:pPr>
    </w:p>
    <w:p>
      <w:pPr>
        <w:jc w:val="both"/>
        <w:ind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5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04" w:lineRule="exact"/>
        <w:rPr>
          <w:sz w:val="24"/>
          <w:szCs w:val="24"/>
          <w:color w:val="auto"/>
        </w:rPr>
      </w:pPr>
    </w:p>
    <w:tbl>
      <w:tblPr>
        <w:tblLayout w:type="fixed"/>
        <w:tblInd w:w="360" w:type="dxa"/>
        <w:tblCellMar>
          <w:top w:w="0" w:type="dxa"/>
          <w:left w:w="0" w:type="dxa"/>
          <w:bottom w:w="0" w:type="dxa"/>
          <w:right w:w="0" w:type="dxa"/>
        </w:tblCellMar>
      </w:tblPr>
      <w:tr>
        <w:trPr>
          <w:trHeight w:val="207"/>
        </w:trPr>
        <w:tc>
          <w:tcPr>
            <w:tcW w:w="20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820" w:type="dxa"/>
            <w:vAlign w:val="bottom"/>
          </w:tcPr>
          <w:p>
            <w:pPr>
              <w:spacing w:after="0"/>
              <w:rPr>
                <w:sz w:val="18"/>
                <w:szCs w:val="18"/>
                <w:color w:val="auto"/>
              </w:rPr>
            </w:pPr>
          </w:p>
        </w:tc>
        <w:tc>
          <w:tcPr>
            <w:tcW w:w="2460" w:type="dxa"/>
            <w:vAlign w:val="bottom"/>
            <w:vMerge w:val="restart"/>
          </w:tcPr>
          <w:p>
            <w:pPr>
              <w:ind w:left="2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1720" w:type="dxa"/>
            <w:vAlign w:val="bottom"/>
          </w:tcPr>
          <w:p>
            <w:pPr>
              <w:jc w:val="center"/>
              <w:ind w:left="370"/>
              <w:spacing w:after="0"/>
              <w:rPr>
                <w:sz w:val="20"/>
                <w:szCs w:val="20"/>
                <w:color w:val="auto"/>
              </w:rPr>
            </w:pPr>
            <w:r>
              <w:rPr>
                <w:rFonts w:ascii="Arial" w:cs="Arial" w:eastAsia="Arial" w:hAnsi="Arial"/>
                <w:sz w:val="18"/>
                <w:szCs w:val="18"/>
                <w:color w:val="auto"/>
                <w:w w:val="92"/>
              </w:rPr>
              <w:t>Emerging growth</w:t>
            </w:r>
          </w:p>
        </w:tc>
        <w:tc>
          <w:tcPr>
            <w:tcW w:w="0" w:type="dxa"/>
            <w:vAlign w:val="bottom"/>
          </w:tcPr>
          <w:p>
            <w:pPr>
              <w:spacing w:after="0"/>
              <w:rPr>
                <w:sz w:val="1"/>
                <w:szCs w:val="1"/>
                <w:color w:val="auto"/>
              </w:rPr>
            </w:pPr>
          </w:p>
        </w:tc>
      </w:tr>
      <w:tr>
        <w:trPr>
          <w:trHeight w:val="283"/>
        </w:trPr>
        <w:tc>
          <w:tcPr>
            <w:tcW w:w="2040" w:type="dxa"/>
            <w:vAlign w:val="bottom"/>
            <w:vMerge w:val="continue"/>
          </w:tcPr>
          <w:p>
            <w:pPr>
              <w:spacing w:after="0"/>
              <w:rPr>
                <w:sz w:val="24"/>
                <w:szCs w:val="24"/>
                <w:color w:val="auto"/>
              </w:rPr>
            </w:pPr>
          </w:p>
        </w:tc>
        <w:tc>
          <w:tcPr>
            <w:tcW w:w="1820" w:type="dxa"/>
            <w:vAlign w:val="bottom"/>
          </w:tcPr>
          <w:p>
            <w:pPr>
              <w:ind w:left="180"/>
              <w:spacing w:after="0"/>
              <w:rPr>
                <w:sz w:val="20"/>
                <w:szCs w:val="20"/>
                <w:color w:val="auto"/>
              </w:rPr>
            </w:pPr>
            <w:r>
              <w:rPr>
                <w:rFonts w:ascii="Arial" w:cs="Arial" w:eastAsia="Arial" w:hAnsi="Arial"/>
                <w:sz w:val="18"/>
                <w:szCs w:val="18"/>
                <w:color w:val="auto"/>
              </w:rPr>
              <w:t>Accelerated filer x</w:t>
            </w:r>
          </w:p>
        </w:tc>
        <w:tc>
          <w:tcPr>
            <w:tcW w:w="2460" w:type="dxa"/>
            <w:vAlign w:val="bottom"/>
            <w:vMerge w:val="continue"/>
          </w:tcPr>
          <w:p>
            <w:pPr>
              <w:spacing w:after="0"/>
              <w:rPr>
                <w:sz w:val="24"/>
                <w:szCs w:val="24"/>
                <w:color w:val="auto"/>
              </w:rPr>
            </w:pPr>
          </w:p>
        </w:tc>
        <w:tc>
          <w:tcPr>
            <w:tcW w:w="2180" w:type="dxa"/>
            <w:vAlign w:val="bottom"/>
          </w:tcPr>
          <w:p>
            <w:pPr>
              <w:jc w:val="center"/>
              <w:spacing w:after="0" w:line="207" w:lineRule="exact"/>
              <w:rPr>
                <w:sz w:val="20"/>
                <w:szCs w:val="20"/>
                <w:color w:val="auto"/>
              </w:rPr>
            </w:pPr>
            <w:r>
              <w:rPr>
                <w:rFonts w:ascii="Arial" w:cs="Arial" w:eastAsia="Arial" w:hAnsi="Arial"/>
                <w:sz w:val="18"/>
                <w:szCs w:val="18"/>
                <w:color w:val="auto"/>
                <w:w w:val="93"/>
              </w:rPr>
              <w:t xml:space="preserve">company </w:t>
            </w:r>
            <w:r>
              <w:rPr>
                <w:rFonts w:ascii="MS PGothic" w:cs="MS PGothic" w:eastAsia="MS PGothic" w:hAnsi="MS PGothic"/>
                <w:sz w:val="18"/>
                <w:szCs w:val="18"/>
                <w:color w:val="auto"/>
                <w:w w:val="93"/>
              </w:rPr>
              <w:t>☐</w:t>
            </w:r>
          </w:p>
        </w:tc>
        <w:tc>
          <w:tcPr>
            <w:tcW w:w="1720" w:type="dxa"/>
            <w:vAlign w:val="bottom"/>
          </w:tcPr>
          <w:p>
            <w:pPr>
              <w:jc w:val="center"/>
              <w:ind w:left="370"/>
              <w:spacing w:after="0" w:line="207" w:lineRule="exact"/>
              <w:rPr>
                <w:sz w:val="20"/>
                <w:szCs w:val="20"/>
                <w:color w:val="auto"/>
              </w:rPr>
            </w:pPr>
            <w:r>
              <w:rPr>
                <w:rFonts w:ascii="Arial" w:cs="Arial" w:eastAsia="Arial" w:hAnsi="Arial"/>
                <w:sz w:val="18"/>
                <w:szCs w:val="18"/>
                <w:color w:val="auto"/>
                <w:w w:val="93"/>
              </w:rPr>
              <w:t xml:space="preserve">company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2580"/>
        <w:spacing w:after="0"/>
        <w:rPr>
          <w:sz w:val="20"/>
          <w:szCs w:val="20"/>
          <w:color w:val="auto"/>
        </w:rPr>
      </w:pPr>
      <w:r>
        <w:rPr>
          <w:rFonts w:ascii="Arial" w:cs="Arial" w:eastAsia="Arial" w:hAnsi="Arial"/>
          <w:sz w:val="18"/>
          <w:szCs w:val="18"/>
          <w:color w:val="auto"/>
        </w:rPr>
        <w:t>(Do not check if a smaller reporting company)</w:t>
      </w:r>
    </w:p>
    <w:p>
      <w:pPr>
        <w:spacing w:after="0" w:line="198" w:lineRule="exact"/>
        <w:rPr>
          <w:sz w:val="24"/>
          <w:szCs w:val="24"/>
          <w:color w:val="auto"/>
        </w:rPr>
      </w:pPr>
    </w:p>
    <w:p>
      <w:pPr>
        <w:ind w:firstLine="5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500" w:right="1400"/>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At February 2, 2018, there were 11,450,938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171450</wp:posOffset>
            </wp:positionV>
            <wp:extent cx="70148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48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85725</wp:posOffset>
            </wp:positionV>
            <wp:extent cx="7014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ectPr>
          <w:pgSz w:w="11900" w:h="16838" w:orient="portrait"/>
          <w:cols w:equalWidth="0" w:num="1">
            <w:col w:w="11420"/>
          </w:cols>
          <w:pgMar w:left="240" w:top="1044" w:right="239" w:bottom="705" w:gutter="0" w:footer="0" w:header="0"/>
        </w:sectPr>
      </w:pP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44" w:right="239" w:bottom="705"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03"/>
        </w:trPr>
        <w:tc>
          <w:tcPr>
            <w:tcW w:w="10700" w:type="dxa"/>
            <w:vAlign w:val="bottom"/>
            <w:gridSpan w:val="20"/>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680" w:type="dxa"/>
            <w:vAlign w:val="bottom"/>
          </w:tcPr>
          <w:p>
            <w:pPr>
              <w:jc w:val="right"/>
              <w:spacing w:after="0" w:line="202" w:lineRule="exact"/>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5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50"/>
        </w:trPr>
        <w:tc>
          <w:tcPr>
            <w:tcW w:w="14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680" w:type="dxa"/>
            <w:vAlign w:val="bottom"/>
            <w:tcBorders>
              <w:top w:val="single" w:sz="8" w:color="0000EE"/>
            </w:tcBorders>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6680" w:type="dxa"/>
            <w:vAlign w:val="bottom"/>
            <w:gridSpan w:val="6"/>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6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6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38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Loss</w:t>
              </w:r>
            </w:hyperlink>
          </w:p>
        </w:tc>
        <w:tc>
          <w:tcPr>
            <w:tcW w:w="6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360" w:type="dxa"/>
            <w:vAlign w:val="bottom"/>
            <w:tcBorders>
              <w:top w:val="single" w:sz="8" w:color="0000EE"/>
            </w:tcBorders>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6000" w:type="dxa"/>
            <w:vAlign w:val="bottom"/>
            <w:gridSpan w:val="3"/>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0"/>
        </w:trPr>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56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17</w:t>
              </w:r>
            </w:hyperlink>
          </w:p>
        </w:tc>
      </w:tr>
      <w:tr>
        <w:trPr>
          <w:trHeight w:val="250"/>
        </w:trPr>
        <w:tc>
          <w:tcPr>
            <w:tcW w:w="140" w:type="dxa"/>
            <w:vAlign w:val="bottom"/>
          </w:tcPr>
          <w:p>
            <w:pPr>
              <w:spacing w:after="0"/>
              <w:rPr>
                <w:sz w:val="21"/>
                <w:szCs w:val="21"/>
                <w:color w:val="auto"/>
              </w:rPr>
            </w:pPr>
          </w:p>
        </w:tc>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3.</w:t>
              </w:r>
            </w:hyperlink>
          </w:p>
        </w:tc>
        <w:tc>
          <w:tcPr>
            <w:tcW w:w="6480" w:type="dxa"/>
            <w:vAlign w:val="bottom"/>
            <w:tcBorders>
              <w:top w:val="single" w:sz="8" w:color="0000EE"/>
            </w:tcBorders>
            <w:gridSpan w:val="15"/>
          </w:tcPr>
          <w:p>
            <w:pPr>
              <w:ind w:left="20"/>
              <w:spacing w:after="0"/>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3560" w:type="dxa"/>
            <w:vAlign w:val="bottom"/>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r>
      <w:tr>
        <w:trPr>
          <w:trHeight w:val="250"/>
        </w:trPr>
        <w:tc>
          <w:tcPr>
            <w:tcW w:w="140" w:type="dxa"/>
            <w:vAlign w:val="bottom"/>
          </w:tcPr>
          <w:p>
            <w:pPr>
              <w:spacing w:after="0"/>
              <w:rPr>
                <w:sz w:val="21"/>
                <w:szCs w:val="21"/>
                <w:color w:val="auto"/>
              </w:rPr>
            </w:pPr>
          </w:p>
        </w:tc>
        <w:tc>
          <w:tcPr>
            <w:tcW w:w="5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4.</w:t>
              </w:r>
            </w:hyperlink>
          </w:p>
        </w:tc>
        <w:tc>
          <w:tcPr>
            <w:tcW w:w="1800" w:type="dxa"/>
            <w:vAlign w:val="bottom"/>
            <w:tcBorders>
              <w:top w:val="single" w:sz="8" w:color="0000EE"/>
              <w:bottom w:val="single" w:sz="8" w:color="0000EE"/>
            </w:tcBorders>
            <w:gridSpan w:val="7"/>
          </w:tcPr>
          <w:p>
            <w:pPr>
              <w:ind w:left="20"/>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7"/>
          </w:tcPr>
          <w:p>
            <w:pPr>
              <w:spacing w:after="0"/>
              <w:rPr>
                <w:sz w:val="21"/>
                <w:szCs w:val="21"/>
                <w:color w:val="auto"/>
              </w:rPr>
            </w:pPr>
          </w:p>
        </w:tc>
        <w:tc>
          <w:tcPr>
            <w:tcW w:w="5660" w:type="dxa"/>
            <w:vAlign w:val="bottom"/>
            <w:gridSpan w:val="2"/>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426"/>
        </w:trPr>
        <w:tc>
          <w:tcPr>
            <w:tcW w:w="2240" w:type="dxa"/>
            <w:vAlign w:val="bottom"/>
            <w:tcBorders>
              <w:bottom w:val="single" w:sz="8" w:color="0000EE"/>
            </w:tcBorders>
            <w:gridSpan w:val="9"/>
          </w:tcPr>
          <w:p>
            <w:pPr>
              <w:spacing w:after="0"/>
              <w:rPr>
                <w:rFonts w:ascii="Arial" w:cs="Arial" w:eastAsia="Arial" w:hAnsi="Arial"/>
                <w:sz w:val="18"/>
                <w:szCs w:val="18"/>
                <w:b w:val="1"/>
                <w:bCs w:val="1"/>
                <w:color w:val="0000EE"/>
                <w:w w:val="96"/>
              </w:rPr>
            </w:pPr>
            <w:hyperlink w:anchor="page21">
              <w:r>
                <w:rPr>
                  <w:rFonts w:ascii="Arial" w:cs="Arial" w:eastAsia="Arial" w:hAnsi="Arial"/>
                  <w:sz w:val="18"/>
                  <w:szCs w:val="18"/>
                  <w:b w:val="1"/>
                  <w:bCs w:val="1"/>
                  <w:color w:val="0000EE"/>
                  <w:w w:val="96"/>
                </w:rPr>
                <w:t>Part II — Other Information</w:t>
              </w:r>
            </w:hyperlink>
          </w:p>
        </w:tc>
        <w:tc>
          <w:tcPr>
            <w:tcW w:w="8460" w:type="dxa"/>
            <w:vAlign w:val="bottom"/>
            <w:gridSpan w:val="11"/>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50"/>
        </w:trPr>
        <w:tc>
          <w:tcPr>
            <w:tcW w:w="140" w:type="dxa"/>
            <w:vAlign w:val="bottom"/>
          </w:tcPr>
          <w:p>
            <w:pPr>
              <w:spacing w:after="0"/>
              <w:rPr>
                <w:sz w:val="21"/>
                <w:szCs w:val="21"/>
                <w:color w:val="auto"/>
              </w:rPr>
            </w:pPr>
          </w:p>
        </w:tc>
        <w:tc>
          <w:tcPr>
            <w:tcW w:w="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1.</w:t>
              </w:r>
            </w:hyperlink>
          </w:p>
        </w:tc>
        <w:tc>
          <w:tcPr>
            <w:tcW w:w="1360" w:type="dxa"/>
            <w:vAlign w:val="bottom"/>
            <w:tcBorders>
              <w:bottom w:val="single" w:sz="8" w:color="0000EE"/>
            </w:tcBorders>
            <w:gridSpan w:val="4"/>
          </w:tcPr>
          <w:p>
            <w:pPr>
              <w:ind w:left="20"/>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Legal Proceedings</w:t>
              </w:r>
            </w:hyperlink>
          </w:p>
        </w:tc>
        <w:tc>
          <w:tcPr>
            <w:tcW w:w="8680" w:type="dxa"/>
            <w:vAlign w:val="bottom"/>
            <w:gridSpan w:val="12"/>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50"/>
        </w:trPr>
        <w:tc>
          <w:tcPr>
            <w:tcW w:w="140" w:type="dxa"/>
            <w:vAlign w:val="bottom"/>
          </w:tcPr>
          <w:p>
            <w:pPr>
              <w:spacing w:after="0"/>
              <w:rPr>
                <w:sz w:val="21"/>
                <w:szCs w:val="21"/>
                <w:color w:val="auto"/>
              </w:rPr>
            </w:pPr>
          </w:p>
        </w:tc>
        <w:tc>
          <w:tcPr>
            <w:tcW w:w="15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1A. Risk Factors</w:t>
              </w:r>
            </w:hyperlink>
          </w:p>
        </w:tc>
        <w:tc>
          <w:tcPr>
            <w:tcW w:w="8980" w:type="dxa"/>
            <w:vAlign w:val="bottom"/>
            <w:gridSpan w:val="13"/>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r>
      <w:tr>
        <w:trPr>
          <w:trHeight w:val="250"/>
        </w:trPr>
        <w:tc>
          <w:tcPr>
            <w:tcW w:w="140" w:type="dxa"/>
            <w:vAlign w:val="bottom"/>
          </w:tcPr>
          <w:p>
            <w:pPr>
              <w:spacing w:after="0"/>
              <w:rPr>
                <w:sz w:val="21"/>
                <w:szCs w:val="21"/>
                <w:color w:val="auto"/>
              </w:rPr>
            </w:pPr>
          </w:p>
        </w:tc>
        <w:tc>
          <w:tcPr>
            <w:tcW w:w="520" w:type="dxa"/>
            <w:vAlign w:val="bottom"/>
            <w:gridSpan w:val="3"/>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6.</w:t>
              </w:r>
            </w:hyperlink>
          </w:p>
        </w:tc>
        <w:tc>
          <w:tcPr>
            <w:tcW w:w="10040" w:type="dxa"/>
            <w:vAlign w:val="bottom"/>
            <w:gridSpan w:val="16"/>
          </w:tcPr>
          <w:p>
            <w:pPr>
              <w:ind w:left="20"/>
              <w:spacing w:after="0"/>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68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r>
      <w:tr>
        <w:trPr>
          <w:trHeight w:val="250"/>
        </w:trPr>
        <w:tc>
          <w:tcPr>
            <w:tcW w:w="140" w:type="dxa"/>
            <w:vAlign w:val="bottom"/>
          </w:tcPr>
          <w:p>
            <w:pPr>
              <w:spacing w:after="0"/>
              <w:rPr>
                <w:sz w:val="21"/>
                <w:szCs w:val="21"/>
                <w:color w:val="auto"/>
              </w:rPr>
            </w:pPr>
          </w:p>
        </w:tc>
        <w:tc>
          <w:tcPr>
            <w:tcW w:w="1140" w:type="dxa"/>
            <w:vAlign w:val="bottom"/>
            <w:tcBorders>
              <w:top w:val="single" w:sz="8" w:color="0000EE"/>
            </w:tcBorders>
            <w:gridSpan w:val="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Signatures</w:t>
              </w:r>
            </w:hyperlink>
          </w:p>
        </w:tc>
        <w:tc>
          <w:tcPr>
            <w:tcW w:w="9420" w:type="dxa"/>
            <w:vAlign w:val="bottom"/>
            <w:gridSpan w:val="14"/>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723"/>
        </w:trPr>
        <w:tc>
          <w:tcPr>
            <w:tcW w:w="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260" w:type="dxa"/>
            <w:vAlign w:val="bottom"/>
            <w:gridSpan w:val="14"/>
          </w:tcPr>
          <w:p>
            <w:pPr>
              <w:jc w:val="right"/>
              <w:ind w:right="1420"/>
              <w:spacing w:after="0"/>
              <w:rPr>
                <w:sz w:val="20"/>
                <w:szCs w:val="20"/>
                <w:color w:val="auto"/>
              </w:rPr>
            </w:pPr>
            <w:r>
              <w:rPr>
                <w:rFonts w:ascii="Arial" w:cs="Arial" w:eastAsia="Arial" w:hAnsi="Arial"/>
                <w:sz w:val="18"/>
                <w:szCs w:val="18"/>
                <w:color w:val="auto"/>
              </w:rPr>
              <w:t>2</w:t>
            </w:r>
          </w:p>
        </w:tc>
        <w:tc>
          <w:tcPr>
            <w:tcW w:w="35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Condensed Consolidated Financial Statements</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September 30, 2017</w:t>
            </w:r>
          </w:p>
        </w:tc>
        <w:tc>
          <w:tcPr>
            <w:tcW w:w="0" w:type="dxa"/>
            <w:vAlign w:val="bottom"/>
          </w:tcPr>
          <w:p>
            <w:pPr>
              <w:spacing w:after="0"/>
              <w:rPr>
                <w:sz w:val="1"/>
                <w:szCs w:val="1"/>
                <w:color w:val="auto"/>
              </w:rPr>
            </w:pPr>
          </w:p>
        </w:tc>
      </w:tr>
      <w:tr>
        <w:trPr>
          <w:trHeight w:val="236"/>
        </w:trPr>
        <w:tc>
          <w:tcPr>
            <w:tcW w:w="7900" w:type="dxa"/>
            <w:vAlign w:val="bottom"/>
            <w:tcBorders>
              <w:top w:val="single" w:sz="8" w:color="CCEEFF"/>
              <w:bottom w:val="single" w:sz="8" w:color="CCEEFF"/>
            </w:tcBorders>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68,359</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23,101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26,829</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15,104</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Accounts receivable, less allowance for doubtful accounts of $158 and $179</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78,978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53,852</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Costs and estimated earnings in excess of billings on uncompleted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51,554</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18,535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18,448</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8,222</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3,539</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3,701</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47"/>
        </w:trPr>
        <w:tc>
          <w:tcPr>
            <w:tcW w:w="79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239,247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250,071</w:t>
            </w: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137,269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139,420</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9,747</w:t>
            </w: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Goodwill and intangible assets, net</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1,646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1,719</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13,800</w:t>
            </w: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5,060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47"/>
        </w:trPr>
        <w:tc>
          <w:tcPr>
            <w:tcW w:w="79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405,653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414,986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20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Current maturities of long-term debt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33,269</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Accrued salaries, bonuses and commissions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10,044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14,984</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26,166</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Accrued product warranty</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2,890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3,174</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1,219</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Other accrued expenses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4,371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5,860</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credit ─ short term</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84,651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85,579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 of current maturities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Deferred compensation</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5,628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5,314</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1,197</w:t>
            </w:r>
          </w:p>
        </w:tc>
        <w:tc>
          <w:tcPr>
            <w:tcW w:w="0" w:type="dxa"/>
            <w:vAlign w:val="bottom"/>
          </w:tcPr>
          <w:p>
            <w:pPr>
              <w:spacing w:after="0"/>
              <w:rPr>
                <w:sz w:val="1"/>
                <w:szCs w:val="1"/>
                <w:color w:val="auto"/>
              </w:rPr>
            </w:pP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92,679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93,690</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E)</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par value $.01; 5,000,000 shares authorized; none issued</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900" w:type="dxa"/>
            <w:vAlign w:val="bottom"/>
          </w:tcPr>
          <w:p>
            <w:pPr>
              <w:ind w:left="280"/>
              <w:spacing w:after="0"/>
              <w:rPr>
                <w:sz w:val="20"/>
                <w:szCs w:val="20"/>
                <w:color w:val="auto"/>
              </w:rPr>
            </w:pPr>
            <w:r>
              <w:rPr>
                <w:rFonts w:ascii="Arial" w:cs="Arial" w:eastAsia="Arial" w:hAnsi="Arial"/>
                <w:sz w:val="16"/>
                <w:szCs w:val="16"/>
                <w:color w:val="auto"/>
                <w:w w:val="97"/>
              </w:rPr>
              <w:t>Common stock, par value $.01; 30,000,000 shares authorized; 12,256,956 and 12,234,656 and shares issued,</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40"/>
              <w:spacing w:after="0"/>
              <w:rPr>
                <w:sz w:val="20"/>
                <w:szCs w:val="20"/>
                <w:color w:val="auto"/>
              </w:rPr>
            </w:pPr>
            <w:r>
              <w:rPr>
                <w:rFonts w:ascii="Arial" w:cs="Arial" w:eastAsia="Arial" w:hAnsi="Arial"/>
                <w:sz w:val="16"/>
                <w:szCs w:val="16"/>
                <w:color w:val="auto"/>
              </w:rPr>
              <w:t>respectively</w:t>
            </w:r>
          </w:p>
        </w:tc>
        <w:tc>
          <w:tcPr>
            <w:tcW w:w="20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54,329</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301,959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310,598</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Treasury stock, 806,018 shares at cost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(24,999)</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(19,068)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(18,754)</w:t>
            </w:r>
          </w:p>
        </w:tc>
        <w:tc>
          <w:tcPr>
            <w:tcW w:w="0" w:type="dxa"/>
            <w:vAlign w:val="bottom"/>
          </w:tcPr>
          <w:p>
            <w:pPr>
              <w:spacing w:after="0"/>
              <w:rPr>
                <w:sz w:val="1"/>
                <w:szCs w:val="1"/>
                <w:color w:val="auto"/>
              </w:rPr>
            </w:pPr>
          </w:p>
        </w:tc>
      </w:tr>
      <w:tr>
        <w:trPr>
          <w:trHeight w:val="47"/>
        </w:trPr>
        <w:tc>
          <w:tcPr>
            <w:tcW w:w="79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312,974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321,296</w:t>
            </w: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405,653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414,986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580" w:right="239" w:bottom="732"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732"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4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December 31,</w:t>
            </w:r>
          </w:p>
        </w:tc>
        <w:tc>
          <w:tcPr>
            <w:tcW w:w="84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840" w:type="dxa"/>
            <w:vAlign w:val="bottom"/>
            <w:tcBorders>
              <w:bottom w:val="single" w:sz="8" w:color="auto"/>
            </w:tcBorders>
          </w:tcPr>
          <w:p>
            <w:pPr>
              <w:spacing w:after="0"/>
              <w:rPr>
                <w:sz w:val="22"/>
                <w:szCs w:val="2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80" w:type="dxa"/>
            <w:vAlign w:val="bottom"/>
            <w:tcBorders>
              <w:bottom w:val="single" w:sz="8" w:color="CCEEFF"/>
            </w:tcBorders>
            <w:shd w:val="clear" w:color="auto" w:fill="CCEEFF"/>
          </w:tcPr>
          <w:p>
            <w:pPr>
              <w:jc w:val="right"/>
              <w:ind w:right="1275"/>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90,184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3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110,341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79,630</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95,342</w:t>
            </w:r>
          </w:p>
        </w:tc>
      </w:tr>
      <w:tr>
        <w:trPr>
          <w:trHeight w:val="27"/>
        </w:trPr>
        <w:tc>
          <w:tcPr>
            <w:tcW w:w="67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14,999</w:t>
            </w:r>
          </w:p>
        </w:tc>
      </w:tr>
      <w:tr>
        <w:trPr>
          <w:trHeight w:val="297"/>
        </w:trPr>
        <w:tc>
          <w:tcPr>
            <w:tcW w:w="6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1,469</w:t>
            </w:r>
          </w:p>
        </w:tc>
      </w:tr>
      <w:tr>
        <w:trPr>
          <w:trHeight w:val="27"/>
        </w:trPr>
        <w:tc>
          <w:tcPr>
            <w:tcW w:w="6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14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14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(7,392)</w:t>
            </w:r>
          </w:p>
        </w:tc>
        <w:tc>
          <w:tcPr>
            <w:tcW w:w="12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(2,256)</w:t>
            </w:r>
          </w:p>
        </w:tc>
      </w:tr>
      <w:tr>
        <w:trPr>
          <w:trHeight w:val="27"/>
        </w:trPr>
        <w:tc>
          <w:tcPr>
            <w:tcW w:w="6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97"/>
        </w:trPr>
        <w:tc>
          <w:tcPr>
            <w:tcW w:w="67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7"/>
        </w:trPr>
        <w:tc>
          <w:tcPr>
            <w:tcW w:w="6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67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r>
      <w:tr>
        <w:trPr>
          <w:trHeight w:val="297"/>
        </w:trPr>
        <w:tc>
          <w:tcPr>
            <w:tcW w:w="6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4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r>
      <w:tr>
        <w:trPr>
          <w:trHeight w:val="291"/>
        </w:trPr>
        <w:tc>
          <w:tcPr>
            <w:tcW w:w="674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480" w:type="dxa"/>
            <w:vAlign w:val="bottom"/>
            <w:tcBorders>
              <w:bottom w:val="single" w:sz="8" w:color="CCEEFF"/>
            </w:tcBorders>
            <w:shd w:val="clear" w:color="auto" w:fill="CCEEFF"/>
          </w:tcPr>
          <w:p>
            <w:pPr>
              <w:jc w:val="right"/>
              <w:ind w:right="1275"/>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3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per share:</w:t>
            </w: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Basic</w:t>
            </w:r>
          </w:p>
        </w:tc>
        <w:tc>
          <w:tcPr>
            <w:tcW w:w="1480" w:type="dxa"/>
            <w:vAlign w:val="bottom"/>
          </w:tcPr>
          <w:p>
            <w:pPr>
              <w:jc w:val="right"/>
              <w:ind w:right="1275"/>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1"/>
                <w:szCs w:val="21"/>
                <w:color w:val="auto"/>
              </w:rPr>
            </w:pPr>
          </w:p>
        </w:tc>
        <w:tc>
          <w:tcPr>
            <w:tcW w:w="1440" w:type="dxa"/>
            <w:vAlign w:val="bottom"/>
          </w:tcPr>
          <w:p>
            <w:pPr>
              <w:jc w:val="right"/>
              <w:ind w:right="1233"/>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67"/>
        </w:trPr>
        <w:tc>
          <w:tcPr>
            <w:tcW w:w="674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256"/>
        </w:trPr>
        <w:tc>
          <w:tcPr>
            <w:tcW w:w="6740" w:type="dxa"/>
            <w:vAlign w:val="bottom"/>
            <w:tcBorders>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Diluted</w:t>
            </w:r>
          </w:p>
        </w:tc>
        <w:tc>
          <w:tcPr>
            <w:tcW w:w="1480" w:type="dxa"/>
            <w:vAlign w:val="bottom"/>
            <w:tcBorders>
              <w:bottom w:val="single" w:sz="8" w:color="CCEEFF"/>
            </w:tcBorders>
            <w:shd w:val="clear" w:color="auto" w:fill="CCEEFF"/>
          </w:tcPr>
          <w:p>
            <w:pPr>
              <w:jc w:val="right"/>
              <w:ind w:right="1275"/>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3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Basic</w:t>
            </w:r>
          </w:p>
        </w:tc>
        <w:tc>
          <w:tcPr>
            <w:tcW w:w="1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11,497</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11,438</w:t>
            </w:r>
          </w:p>
        </w:tc>
      </w:tr>
      <w:tr>
        <w:trPr>
          <w:trHeight w:val="27"/>
        </w:trPr>
        <w:tc>
          <w:tcPr>
            <w:tcW w:w="6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11,438</w:t>
            </w:r>
          </w:p>
        </w:tc>
      </w:tr>
      <w:tr>
        <w:trPr>
          <w:trHeight w:val="297"/>
        </w:trPr>
        <w:tc>
          <w:tcPr>
            <w:tcW w:w="6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3"/>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Dividends per share</w:t>
            </w:r>
          </w:p>
        </w:tc>
        <w:tc>
          <w:tcPr>
            <w:tcW w:w="1480" w:type="dxa"/>
            <w:vAlign w:val="bottom"/>
            <w:shd w:val="clear" w:color="auto" w:fill="CCEEFF"/>
          </w:tcPr>
          <w:p>
            <w:pPr>
              <w:jc w:val="right"/>
              <w:ind w:right="1275"/>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233"/>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r>
      <w:tr>
        <w:trPr>
          <w:trHeight w:val="27"/>
        </w:trPr>
        <w:tc>
          <w:tcPr>
            <w:tcW w:w="67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90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Three months ended December 31,</w:t>
            </w:r>
          </w:p>
        </w:tc>
        <w:tc>
          <w:tcPr>
            <w:tcW w:w="7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22"/>
                <w:szCs w:val="2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5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(2,611)</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2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6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Three Months Ended December 31,</w:t>
            </w:r>
          </w:p>
        </w:tc>
        <w:tc>
          <w:tcPr>
            <w:tcW w:w="8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spacing w:after="0"/>
              <w:rPr>
                <w:sz w:val="22"/>
                <w:szCs w:val="2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 loss</w:t>
            </w:r>
          </w:p>
        </w:tc>
        <w:tc>
          <w:tcPr>
            <w:tcW w:w="1460" w:type="dxa"/>
            <w:vAlign w:val="bottom"/>
          </w:tcPr>
          <w:p>
            <w:pPr>
              <w:jc w:val="right"/>
              <w:ind w:right="1259"/>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(5,662)</w:t>
            </w:r>
          </w:p>
        </w:tc>
        <w:tc>
          <w:tcPr>
            <w:tcW w:w="120" w:type="dxa"/>
            <w:vAlign w:val="bottom"/>
          </w:tcPr>
          <w:p>
            <w:pPr>
              <w:spacing w:after="0"/>
              <w:rPr>
                <w:sz w:val="21"/>
                <w:szCs w:val="21"/>
                <w:color w:val="auto"/>
              </w:rPr>
            </w:pPr>
          </w:p>
        </w:tc>
        <w:tc>
          <w:tcPr>
            <w:tcW w:w="1460" w:type="dxa"/>
            <w:vAlign w:val="bottom"/>
          </w:tcPr>
          <w:p>
            <w:pPr>
              <w:jc w:val="right"/>
              <w:ind w:right="125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3,162</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3,063</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1,009</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Bad debt recovery</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Deferred income tax benefit</w:t>
            </w: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Gain on amended supply agreement</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 net</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12,234</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Costs and billings in excess of estimated earnings on uncompleted contracts</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23,155</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2,236</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2,444</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(1,319)</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(4,144)</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(2,085)</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(13,398)</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Other, net</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(525)</w:t>
            </w:r>
          </w:p>
        </w:tc>
      </w:tr>
      <w:tr>
        <w:trPr>
          <w:trHeight w:val="27"/>
        </w:trPr>
        <w:tc>
          <w:tcPr>
            <w:tcW w:w="6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operating activities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property, plant and equipment</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Purchases of short-term investments</w:t>
            </w: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(20,712)</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(14,874)</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Maturities of short-term investments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24,425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Changes in restricted cash</w:t>
            </w: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(2,925)</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1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(15,802)</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Payments on industrial development revenue bonds</w:t>
            </w: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withheld in lieu of employee tax withholding</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Dividends paid</w:t>
            </w: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(2,977)</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(2,966)</w:t>
            </w:r>
          </w:p>
        </w:tc>
      </w:tr>
      <w:tr>
        <w:trPr>
          <w:trHeight w:val="27"/>
        </w:trPr>
        <w:tc>
          <w:tcPr>
            <w:tcW w:w="6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(18,733)</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(16,192)</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68,359</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97,720</w:t>
            </w:r>
          </w:p>
        </w:tc>
      </w:tr>
      <w:tr>
        <w:trPr>
          <w:trHeight w:val="27"/>
        </w:trPr>
        <w:tc>
          <w:tcPr>
            <w:tcW w:w="6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460" w:type="dxa"/>
            <w:vAlign w:val="bottom"/>
            <w:tcBorders>
              <w:bottom w:val="single" w:sz="8" w:color="auto"/>
            </w:tcBorders>
            <w:shd w:val="clear" w:color="auto" w:fill="CCEEFF"/>
          </w:tcPr>
          <w:p>
            <w:pPr>
              <w:jc w:val="right"/>
              <w:ind w:right="1259"/>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49,587</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25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80,582</w:t>
            </w:r>
          </w:p>
        </w:tc>
      </w:tr>
      <w:tr>
        <w:trPr>
          <w:trHeight w:val="20"/>
        </w:trPr>
        <w:tc>
          <w:tcPr>
            <w:tcW w:w="67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ind w:right="5320"/>
        <w:spacing w:after="0" w:line="375" w:lineRule="auto"/>
        <w:rPr>
          <w:sz w:val="20"/>
          <w:szCs w:val="20"/>
          <w:color w:val="auto"/>
        </w:rPr>
      </w:pPr>
      <w:r>
        <w:rPr>
          <w:rFonts w:ascii="Arial" w:cs="Arial" w:eastAsia="Arial" w:hAnsi="Arial"/>
          <w:sz w:val="18"/>
          <w:szCs w:val="18"/>
          <w:color w:val="auto"/>
        </w:rPr>
        <w:t xml:space="preserve">A. OVERVIEW AND SUMMARY OF SIGNIFICANT ACCOUNTING POLICIES </w:t>
      </w:r>
      <w:r>
        <w:rPr>
          <w:rFonts w:ascii="Arial" w:cs="Arial" w:eastAsia="Arial" w:hAnsi="Arial"/>
          <w:sz w:val="18"/>
          <w:szCs w:val="18"/>
          <w:i w:val="1"/>
          <w:iCs w:val="1"/>
          <w:color w:val="auto"/>
        </w:rPr>
        <w:t>Overview</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Powell Industries, Inc. (we, us, our, Powell or the Company) was incorporated in the state of Delaware in 2004 as a successor to a Nevada company incorporated in 1968. The Nevada company was the successor to a company founded by William E. Powell in 1947, which merged into the Company in 1977. Our major subsidiaries, all of which are wholly owned, include: Powell Electrical Systems, Inc.; Powell (UK) Limited; Powell Canada Inc. and Powell Industries International, B.V.</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develop, design, manufacture and service custom-engineered products and systems for the distribution, control and monitoring of electrical energy. Headquartered in Houston, Texas, we serve the oil and gas refining, onshore and offshore oil and gas production, petrochemical, pipeline, terminal, mining and metals, light rail traction power, electric utility, pulp and paper and other heavy industrial markets.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unaudited condensed consolidated financial statements include the accounts of Powell and its wholly-owned subsidiaries. All significant intercompany accounts and transactions have been eliminated in consolidation.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audited consolidated financial statements and notes thereto of Powell and its subsidiaries included in Powell’s Annual Report on Form 10-K for the year ended September 30, 2017, which was filed with the Securities and Exchange Commission (SEC) on December 6, 2017.</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References to Fiscal 2018 and Fiscal 2017 used throughout this report shall mean our fiscal years ended September 30, 2018 and 2017,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and cost recognition for construction contracts, the allowance for doubtful accounts, provision for excess and obsolete inventory, warranty accruals and income taxes. The amounts recorded for warranties, legal, income taxes, impairment of long-lived assets (when applicable) and other contingent liabilities require judgments regarding the amount of expenses that will ultimately be incurred. We base our estimates on historical experience and on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Estimates routinely change as new events occur, additional information becomes available or operating environments change. Actual results may differ from our prior estimates.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2014, the Financial Accounting Standards Board (FASB) issued a new standard on revenue recognition that supersedes previously issued revenue recognition guidance. This standard provides a five-step approach to be applied to all contracts with customers and requires expanded disclosures about the nature, amount, timing and uncertainty of revenue (and the related cash flows) arising from customer contracts, significant judgments and changes in judgments used in applying the revenue model and the assets recognized from costs incurred to obtain or fulfill a contract. This standard is effective for fiscal years, and interim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both"/>
        <w:spacing w:after="0" w:line="279" w:lineRule="auto"/>
        <w:rPr>
          <w:sz w:val="20"/>
          <w:szCs w:val="20"/>
          <w:color w:val="auto"/>
        </w:rPr>
      </w:pPr>
      <w:r>
        <w:rPr>
          <w:rFonts w:ascii="Arial" w:cs="Arial" w:eastAsia="Arial" w:hAnsi="Arial"/>
          <w:sz w:val="17"/>
          <w:szCs w:val="17"/>
          <w:color w:val="auto"/>
        </w:rPr>
        <w:t>periods within those years, beginning after December 15, 2017, which would be our fiscal year ending September 30, 2019. We plan to use the modified retrospective basis upon adoption. While we are still evaluating the potential impact of this standard on our financial statements, we believe accounting for variable consideration and the number of performance obligations contained in each contract will have the greatest significance. The materiality of this guidance on our financial statements will be determined in large part by the contracts that are in progress as of the adoption date.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2015, the FASB issued an amendment to the topic regarding income taxes which requires an entity to separate deferred income tax liabilities and assets into current and noncurrent amounts in the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require that deferred income tax liabilities and assets be classified as noncurrent in a classified statement of financial position. We have adopted this topic prospectively in Fiscal 2018 and our statement of financial position at December 31, 2017 reflects this reclassification. We have not retrospectively adjusted prior periods.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 new topic on leases which requires lessees to recognize lease assets and lease liabilities on the balance sheet for all leases with terms longer than twelve months. Leases will be classified as either finance or operating, with classification affecting the pattern of expense recognition in the income statement. A modified retrospective transition approach is required for lessees for capital and operating leases existing at, or entered into after, the beginning of the earliest comparative period presented in the financial statements, with certain practical expedients available. The new standard is effective for fiscal years beginning after December 15, 2018, including interim periods within those fiscal years. This would be our fiscal year ending September 30, 2020. We are still evaluating the potential impact of this topic on our financial statements.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2016, the FASB issued new standards on the statement of cash flows and restricted cash that change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These standards are effective for public business entities for fiscal years beginning after December 15, 2017, and interim periods within those fiscal years, which would be our fiscal year ending September 30, 2019. We have no plans for early adoption. We are still evaluating these new standards, but we do not expect them to have a material impact on our consolidated financial position or results of operations.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January 2017, the FASB issued new guidance on goodwill impairment intended to simplify the testing for goodwill impairment by the elimination of Step 2 in the determination on whether goodwill should be considered impaired. The annual and/or interim assessments are still required to be completed. This guidance is effective for fiscal years (including interim periods) beginning after December 15, 2019, which would be our fiscal year ending September 30, 2021. The adoption of this guidance is not expected to have a material impact on our consolidated financial position or results of operations.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2017, the FASB issued a new topic on modification accounting with regards to stock based compensation. This new topic clarifies when a change to the terms or conditions of a share-based payment award should be accounted for as a modification. An entity should account for the effects of a modification unless the fair value, vesting conditions and classification, as an equity instrument or a liability instrument, of the modified award are the same before and after a change to the terms or conditions of the share-based payment award. This topic is effective for annual reporting periods beginning after December 15, 2017, which is our fiscal year ending September 30, 2019. We do not expect this topic to have a material impact on our consolidated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B. EARNINGS PER SHARE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compute basic earnings per share by dividing net income (loss) by the weighted average number of common shares outstanding during the period. Diluted earnings per common and potential common share includes the weighted average of additional shares associated with the incremental effect of dilutive restricted stock and restricted stock units, as prescribed by the FASB guidance on earnings per share.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The following table reconciles basic and diluted weighted average shares used in the computation of earnings per share (in thousands,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Three months ended December 31,</w:t>
            </w:r>
          </w:p>
        </w:tc>
        <w:tc>
          <w:tcPr>
            <w:tcW w:w="136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73"/>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w:t>
            </w:r>
          </w:p>
        </w:tc>
        <w:tc>
          <w:tcPr>
            <w:tcW w:w="1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304"/>
        </w:trPr>
        <w:tc>
          <w:tcPr>
            <w:tcW w:w="65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loss</w:t>
            </w:r>
          </w:p>
        </w:tc>
        <w:tc>
          <w:tcPr>
            <w:tcW w:w="1360" w:type="dxa"/>
            <w:vAlign w:val="bottom"/>
            <w:tcBorders>
              <w:bottom w:val="single" w:sz="8" w:color="auto"/>
            </w:tcBorders>
          </w:tcPr>
          <w:p>
            <w:pPr>
              <w:jc w:val="right"/>
              <w:ind w:right="115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(5,662)</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Denominator:</w:t>
            </w:r>
          </w:p>
        </w:tc>
        <w:tc>
          <w:tcPr>
            <w:tcW w:w="1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Weighted average basic shares</w:t>
            </w:r>
          </w:p>
        </w:tc>
        <w:tc>
          <w:tcPr>
            <w:tcW w:w="13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11,497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11,438</w:t>
            </w:r>
          </w:p>
        </w:tc>
      </w:tr>
      <w:tr>
        <w:trPr>
          <w:trHeight w:val="27"/>
        </w:trPr>
        <w:tc>
          <w:tcPr>
            <w:tcW w:w="6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Dilutive effect of restricted stock units</w:t>
            </w:r>
          </w:p>
        </w:tc>
        <w:tc>
          <w:tcPr>
            <w:tcW w:w="1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97"/>
        </w:trPr>
        <w:tc>
          <w:tcPr>
            <w:tcW w:w="65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diluted shares with assumed conversions</w:t>
            </w:r>
          </w:p>
        </w:tc>
        <w:tc>
          <w:tcPr>
            <w:tcW w:w="13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11,497</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11,438</w:t>
            </w: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loss per share:</w:t>
            </w:r>
          </w:p>
        </w:tc>
        <w:tc>
          <w:tcPr>
            <w:tcW w:w="1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304"/>
        </w:trPr>
        <w:tc>
          <w:tcPr>
            <w:tcW w:w="65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1360" w:type="dxa"/>
            <w:vAlign w:val="bottom"/>
            <w:tcBorders>
              <w:bottom w:val="single" w:sz="8" w:color="auto"/>
            </w:tcBorders>
          </w:tcPr>
          <w:p>
            <w:pPr>
              <w:jc w:val="right"/>
              <w:ind w:right="115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r>
      <w:tr>
        <w:trPr>
          <w:trHeight w:val="251"/>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360" w:type="dxa"/>
            <w:vAlign w:val="bottom"/>
            <w:tcBorders>
              <w:bottom w:val="single" w:sz="8" w:color="auto"/>
            </w:tcBorders>
            <w:shd w:val="clear" w:color="auto" w:fill="CCEEFF"/>
          </w:tcPr>
          <w:p>
            <w:pPr>
              <w:jc w:val="right"/>
              <w:ind w:right="115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0"/>
        </w:trPr>
        <w:tc>
          <w:tcPr>
            <w:tcW w:w="6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the quarters ended December 31, 2017 and 2016, we incurred net losses and therefore all potential common shares were deemed to be anti-dilutive.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 DETAIL OF SELECTED BALANCE SHEET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Activity in our allowance for doubtful accounts receivable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Three months ended December 31,</w:t>
            </w:r>
          </w:p>
        </w:tc>
        <w:tc>
          <w:tcPr>
            <w:tcW w:w="136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FF0FC"/>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73"/>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65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beginning of period</w:t>
            </w:r>
          </w:p>
        </w:tc>
        <w:tc>
          <w:tcPr>
            <w:tcW w:w="1360" w:type="dxa"/>
            <w:vAlign w:val="bottom"/>
            <w:tcBorders>
              <w:bottom w:val="single" w:sz="8" w:color="CFF0FC"/>
            </w:tcBorders>
            <w:shd w:val="clear" w:color="auto" w:fill="CFF0FC"/>
          </w:tcPr>
          <w:p>
            <w:pPr>
              <w:jc w:val="right"/>
              <w:ind w:right="115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811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Bad debt expense (recovery)</w:t>
            </w:r>
          </w:p>
        </w:tc>
        <w:tc>
          <w:tcPr>
            <w:tcW w:w="1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6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5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Uncollectible accounts written off, net of recoveries</w:t>
            </w:r>
          </w:p>
        </w:tc>
        <w:tc>
          <w:tcPr>
            <w:tcW w:w="13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13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52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end of period</w:t>
            </w:r>
          </w:p>
        </w:tc>
        <w:tc>
          <w:tcPr>
            <w:tcW w:w="1360" w:type="dxa"/>
            <w:vAlign w:val="bottom"/>
            <w:tcBorders>
              <w:bottom w:val="single" w:sz="8" w:color="auto"/>
            </w:tcBorders>
            <w:shd w:val="clear" w:color="auto" w:fill="CFF0FC"/>
          </w:tcPr>
          <w:p>
            <w:pPr>
              <w:jc w:val="right"/>
              <w:ind w:right="115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664</w:t>
            </w:r>
          </w:p>
        </w:tc>
      </w:tr>
      <w:tr>
        <w:trPr>
          <w:trHeight w:val="20"/>
        </w:trPr>
        <w:tc>
          <w:tcPr>
            <w:tcW w:w="6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are summarized below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September 30, 2017</w:t>
            </w:r>
          </w:p>
        </w:tc>
      </w:tr>
      <w:tr>
        <w:trPr>
          <w:trHeight w:val="250"/>
        </w:trPr>
        <w:tc>
          <w:tcPr>
            <w:tcW w:w="766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Raw materials, parts and subassemblies, net</w:t>
            </w:r>
          </w:p>
        </w:tc>
        <w:tc>
          <w:tcPr>
            <w:tcW w:w="220" w:type="dxa"/>
            <w:vAlign w:val="bottom"/>
            <w:tcBorders>
              <w:top w:val="single" w:sz="8" w:color="auto"/>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17,701</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17,848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600</w:t>
            </w:r>
          </w:p>
        </w:tc>
      </w:tr>
      <w:tr>
        <w:trPr>
          <w:trHeight w:val="27"/>
        </w:trPr>
        <w:tc>
          <w:tcPr>
            <w:tcW w:w="766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18,535</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18,448</w:t>
            </w:r>
          </w:p>
        </w:tc>
      </w:tr>
      <w:tr>
        <w:trPr>
          <w:trHeight w:val="20"/>
        </w:trPr>
        <w:tc>
          <w:tcPr>
            <w:tcW w:w="76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and Estimated Earnings on Uncompleted Contracts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costs and estimated earnings and related amounts billed on uncompleted contracts are summarized below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CFF0FC"/>
            </w:tcBorders>
          </w:tcPr>
          <w:p>
            <w:pPr>
              <w:spacing w:after="0"/>
              <w:rPr>
                <w:sz w:val="16"/>
                <w:szCs w:val="16"/>
                <w:color w:val="auto"/>
              </w:rPr>
            </w:pPr>
          </w:p>
        </w:tc>
        <w:tc>
          <w:tcPr>
            <w:tcW w:w="460" w:type="dxa"/>
            <w:vAlign w:val="bottom"/>
            <w:tcBorders>
              <w:bottom w:val="single" w:sz="8" w:color="CFF0FC"/>
            </w:tcBorders>
          </w:tcPr>
          <w:p>
            <w:pPr>
              <w:spacing w:after="0"/>
              <w:rPr>
                <w:sz w:val="16"/>
                <w:szCs w:val="16"/>
                <w:color w:val="auto"/>
              </w:rPr>
            </w:pPr>
          </w:p>
        </w:tc>
        <w:tc>
          <w:tcPr>
            <w:tcW w:w="2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9"/>
              </w:rPr>
              <w:t>December 31, 2017</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September 30, 2017</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Costs incurred on uncompleted contracts</w:t>
            </w:r>
          </w:p>
        </w:tc>
        <w:tc>
          <w:tcPr>
            <w:tcW w:w="86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FF0FC"/>
            </w:tcBorders>
            <w:gridSpan w:val="5"/>
            <w:shd w:val="clear" w:color="auto" w:fill="CFF0FC"/>
          </w:tcPr>
          <w:p>
            <w:pPr>
              <w:jc w:val="right"/>
              <w:ind w:right="100"/>
              <w:spacing w:after="0"/>
              <w:rPr>
                <w:sz w:val="20"/>
                <w:szCs w:val="20"/>
                <w:color w:val="auto"/>
              </w:rPr>
            </w:pPr>
            <w:r>
              <w:rPr>
                <w:rFonts w:ascii="Arial" w:cs="Arial" w:eastAsia="Arial" w:hAnsi="Arial"/>
                <w:sz w:val="18"/>
                <w:szCs w:val="18"/>
                <w:color w:val="auto"/>
              </w:rPr>
              <w:t>984,882</w:t>
            </w: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987,164</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Estimated earnings</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5"/>
          </w:tcPr>
          <w:p>
            <w:pPr>
              <w:jc w:val="right"/>
              <w:ind w:right="100"/>
              <w:spacing w:after="0"/>
              <w:rPr>
                <w:sz w:val="20"/>
                <w:szCs w:val="20"/>
                <w:color w:val="auto"/>
              </w:rPr>
            </w:pPr>
            <w:r>
              <w:rPr>
                <w:rFonts w:ascii="Arial" w:cs="Arial" w:eastAsia="Arial" w:hAnsi="Arial"/>
                <w:sz w:val="18"/>
                <w:szCs w:val="18"/>
                <w:color w:val="auto"/>
              </w:rPr>
              <w:t>311,391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316,970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FF0FC"/>
            </w:tcBorders>
          </w:tcPr>
          <w:p>
            <w:pPr>
              <w:spacing w:after="0"/>
              <w:rPr>
                <w:sz w:val="2"/>
                <w:szCs w:val="2"/>
                <w:color w:val="auto"/>
              </w:rPr>
            </w:pPr>
          </w:p>
        </w:tc>
        <w:tc>
          <w:tcPr>
            <w:tcW w:w="46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gridSpan w:val="5"/>
            <w:shd w:val="clear" w:color="auto" w:fill="CFF0FC"/>
          </w:tcPr>
          <w:p>
            <w:pPr>
              <w:jc w:val="right"/>
              <w:ind w:right="100"/>
              <w:spacing w:after="0"/>
              <w:rPr>
                <w:sz w:val="20"/>
                <w:szCs w:val="20"/>
                <w:color w:val="auto"/>
              </w:rPr>
            </w:pPr>
            <w:r>
              <w:rPr>
                <w:rFonts w:ascii="Arial" w:cs="Arial" w:eastAsia="Arial" w:hAnsi="Arial"/>
                <w:sz w:val="18"/>
                <w:szCs w:val="18"/>
                <w:color w:val="auto"/>
              </w:rPr>
              <w:t>1,296,273</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1,304,134</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Less: Billings to date</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5"/>
          </w:tcPr>
          <w:p>
            <w:pPr>
              <w:jc w:val="right"/>
              <w:ind w:right="40"/>
              <w:spacing w:after="0"/>
              <w:rPr>
                <w:sz w:val="20"/>
                <w:szCs w:val="20"/>
                <w:color w:val="auto"/>
              </w:rPr>
            </w:pPr>
            <w:r>
              <w:rPr>
                <w:rFonts w:ascii="Arial" w:cs="Arial" w:eastAsia="Arial" w:hAnsi="Arial"/>
                <w:sz w:val="18"/>
                <w:szCs w:val="18"/>
                <w:color w:val="auto"/>
              </w:rPr>
              <w:t>(1,294,017)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(1,278,746)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FF0FC"/>
            </w:tcBorders>
          </w:tcPr>
          <w:p>
            <w:pPr>
              <w:spacing w:after="0"/>
              <w:rPr>
                <w:sz w:val="2"/>
                <w:szCs w:val="2"/>
                <w:color w:val="auto"/>
              </w:rPr>
            </w:pPr>
          </w:p>
        </w:tc>
        <w:tc>
          <w:tcPr>
            <w:tcW w:w="46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underbilled position</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5"/>
            <w:shd w:val="clear" w:color="auto" w:fill="CFF0FC"/>
          </w:tcPr>
          <w:p>
            <w:pPr>
              <w:jc w:val="right"/>
              <w:ind w:right="100"/>
              <w:spacing w:after="0"/>
              <w:rPr>
                <w:sz w:val="20"/>
                <w:szCs w:val="20"/>
                <w:color w:val="auto"/>
              </w:rPr>
            </w:pPr>
            <w:r>
              <w:rPr>
                <w:rFonts w:ascii="Arial" w:cs="Arial" w:eastAsia="Arial" w:hAnsi="Arial"/>
                <w:sz w:val="18"/>
                <w:szCs w:val="18"/>
                <w:color w:val="auto"/>
              </w:rPr>
              <w:t>2,256</w:t>
            </w:r>
          </w:p>
        </w:tc>
        <w:tc>
          <w:tcPr>
            <w:tcW w:w="20" w:type="dxa"/>
            <w:vAlign w:val="bottom"/>
            <w:shd w:val="clear" w:color="auto" w:fill="CFF0FC"/>
          </w:tcPr>
          <w:p>
            <w:pPr>
              <w:spacing w:after="0"/>
              <w:rPr>
                <w:sz w:val="22"/>
                <w:szCs w:val="22"/>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25,388</w:t>
            </w:r>
          </w:p>
        </w:tc>
        <w:tc>
          <w:tcPr>
            <w:tcW w:w="0" w:type="dxa"/>
            <w:vAlign w:val="bottom"/>
          </w:tcPr>
          <w:p>
            <w:pPr>
              <w:spacing w:after="0"/>
              <w:rPr>
                <w:sz w:val="1"/>
                <w:szCs w:val="1"/>
                <w:color w:val="auto"/>
              </w:rPr>
            </w:pPr>
          </w:p>
        </w:tc>
      </w:tr>
      <w:tr>
        <w:trPr>
          <w:trHeight w:val="20"/>
        </w:trPr>
        <w:tc>
          <w:tcPr>
            <w:tcW w:w="7200" w:type="dxa"/>
            <w:vAlign w:val="bottom"/>
            <w:tcBorders>
              <w:top w:val="single" w:sz="8" w:color="CFF0FC"/>
              <w:bottom w:val="single" w:sz="8" w:color="CFF0FC"/>
            </w:tcBorders>
            <w:vMerge w:val="restart"/>
          </w:tcPr>
          <w:p>
            <w:pPr>
              <w:ind w:left="40"/>
              <w:spacing w:after="0"/>
              <w:rPr>
                <w:sz w:val="20"/>
                <w:szCs w:val="20"/>
                <w:color w:val="auto"/>
              </w:rPr>
            </w:pPr>
            <w:r>
              <w:rPr>
                <w:rFonts w:ascii="Arial" w:cs="Arial" w:eastAsia="Arial" w:hAnsi="Arial"/>
                <w:sz w:val="18"/>
                <w:szCs w:val="18"/>
                <w:color w:val="auto"/>
              </w:rPr>
              <w:t>Included in the accompanying balance sheets under the following captions:</w:t>
            </w:r>
          </w:p>
        </w:tc>
        <w:tc>
          <w:tcPr>
            <w:tcW w:w="4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86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FF0FC"/>
            </w:tcBorders>
            <w:gridSpan w:val="5"/>
            <w:shd w:val="clear" w:color="auto" w:fill="CFF0FC"/>
          </w:tcPr>
          <w:p>
            <w:pPr>
              <w:jc w:val="right"/>
              <w:ind w:right="100"/>
              <w:spacing w:after="0"/>
              <w:rPr>
                <w:sz w:val="20"/>
                <w:szCs w:val="20"/>
                <w:color w:val="auto"/>
              </w:rPr>
            </w:pPr>
            <w:r>
              <w:rPr>
                <w:rFonts w:ascii="Arial" w:cs="Arial" w:eastAsia="Arial" w:hAnsi="Arial"/>
                <w:sz w:val="18"/>
                <w:szCs w:val="18"/>
                <w:color w:val="auto"/>
              </w:rPr>
              <w:t>38,985</w:t>
            </w: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51,554</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5"/>
          </w:tcPr>
          <w:p>
            <w:pPr>
              <w:jc w:val="right"/>
              <w:ind w:right="40"/>
              <w:spacing w:after="0"/>
              <w:rPr>
                <w:sz w:val="20"/>
                <w:szCs w:val="20"/>
                <w:color w:val="auto"/>
              </w:rPr>
            </w:pPr>
            <w:r>
              <w:rPr>
                <w:rFonts w:ascii="Arial" w:cs="Arial" w:eastAsia="Arial" w:hAnsi="Arial"/>
                <w:sz w:val="18"/>
                <w:szCs w:val="18"/>
                <w:color w:val="auto"/>
              </w:rPr>
              <w:t>(36,729)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(26,166)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FF0FC"/>
            </w:tcBorders>
          </w:tcPr>
          <w:p>
            <w:pPr>
              <w:spacing w:after="0"/>
              <w:rPr>
                <w:sz w:val="2"/>
                <w:szCs w:val="2"/>
                <w:color w:val="auto"/>
              </w:rPr>
            </w:pPr>
          </w:p>
        </w:tc>
        <w:tc>
          <w:tcPr>
            <w:tcW w:w="46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underbilled position</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5"/>
            <w:shd w:val="clear" w:color="auto" w:fill="CFF0FC"/>
          </w:tcPr>
          <w:p>
            <w:pPr>
              <w:jc w:val="right"/>
              <w:ind w:right="100"/>
              <w:spacing w:after="0"/>
              <w:rPr>
                <w:sz w:val="20"/>
                <w:szCs w:val="20"/>
                <w:color w:val="auto"/>
              </w:rPr>
            </w:pPr>
            <w:r>
              <w:rPr>
                <w:rFonts w:ascii="Arial" w:cs="Arial" w:eastAsia="Arial" w:hAnsi="Arial"/>
                <w:sz w:val="18"/>
                <w:szCs w:val="18"/>
                <w:color w:val="auto"/>
              </w:rPr>
              <w:t>2,256</w:t>
            </w:r>
          </w:p>
        </w:tc>
        <w:tc>
          <w:tcPr>
            <w:tcW w:w="20" w:type="dxa"/>
            <w:vAlign w:val="bottom"/>
            <w:shd w:val="clear" w:color="auto" w:fill="CFF0FC"/>
          </w:tcPr>
          <w:p>
            <w:pPr>
              <w:spacing w:after="0"/>
              <w:rPr>
                <w:sz w:val="22"/>
                <w:szCs w:val="22"/>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25,388</w:t>
            </w:r>
          </w:p>
        </w:tc>
        <w:tc>
          <w:tcPr>
            <w:tcW w:w="0" w:type="dxa"/>
            <w:vAlign w:val="bottom"/>
          </w:tcPr>
          <w:p>
            <w:pPr>
              <w:spacing w:after="0"/>
              <w:rPr>
                <w:sz w:val="1"/>
                <w:szCs w:val="1"/>
                <w:color w:val="auto"/>
              </w:rPr>
            </w:pPr>
          </w:p>
        </w:tc>
      </w:tr>
      <w:tr>
        <w:trPr>
          <w:trHeight w:val="20"/>
        </w:trPr>
        <w:tc>
          <w:tcPr>
            <w:tcW w:w="7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i w:val="1"/>
                <w:iCs w:val="1"/>
                <w:color w:val="auto"/>
              </w:rPr>
              <w:t>Accrued Product Warranty</w:t>
            </w:r>
          </w:p>
        </w:tc>
        <w:tc>
          <w:tcPr>
            <w:tcW w:w="4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2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0" w:type="dxa"/>
            <w:vAlign w:val="bottom"/>
          </w:tcPr>
          <w:p>
            <w:pPr>
              <w:spacing w:after="0"/>
              <w:rPr>
                <w:sz w:val="20"/>
                <w:szCs w:val="20"/>
                <w:color w:val="auto"/>
              </w:rPr>
            </w:pPr>
            <w:r>
              <w:rPr>
                <w:rFonts w:ascii="Arial" w:cs="Arial" w:eastAsia="Arial" w:hAnsi="Arial"/>
                <w:sz w:val="18"/>
                <w:szCs w:val="18"/>
                <w:color w:val="auto"/>
              </w:rPr>
              <w:t>Activity in our product warranty accrual consisted of the following (in thousands):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2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9"/>
          </w:tcPr>
          <w:p>
            <w:pPr>
              <w:jc w:val="right"/>
              <w:ind w:right="933"/>
              <w:spacing w:after="0"/>
              <w:rPr>
                <w:sz w:val="20"/>
                <w:szCs w:val="20"/>
                <w:color w:val="auto"/>
              </w:rPr>
            </w:pPr>
            <w:r>
              <w:rPr>
                <w:rFonts w:ascii="Arial" w:cs="Arial" w:eastAsia="Arial" w:hAnsi="Arial"/>
                <w:sz w:val="14"/>
                <w:szCs w:val="14"/>
                <w:b w:val="1"/>
                <w:bCs w:val="1"/>
                <w:color w:val="auto"/>
                <w:w w:val="99"/>
              </w:rPr>
              <w:t>Three months ended December 31,</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FF0FC"/>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beginning of period</w:t>
            </w: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3,174</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Increase to warranty expense</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Deduction for warranty charges</w:t>
            </w:r>
          </w:p>
        </w:tc>
        <w:tc>
          <w:tcPr>
            <w:tcW w:w="4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end of period</w:t>
            </w: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5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D. LONG-TERM DEBT</w:t>
            </w: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2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0" w:type="dxa"/>
            <w:vAlign w:val="bottom"/>
          </w:tcPr>
          <w:p>
            <w:pPr>
              <w:spacing w:after="0"/>
              <w:rPr>
                <w:sz w:val="20"/>
                <w:szCs w:val="20"/>
                <w:color w:val="auto"/>
              </w:rPr>
            </w:pPr>
            <w:r>
              <w:rPr>
                <w:rFonts w:ascii="Arial" w:cs="Arial" w:eastAsia="Arial" w:hAnsi="Arial"/>
                <w:sz w:val="18"/>
                <w:szCs w:val="18"/>
                <w:color w:val="auto"/>
              </w:rPr>
              <w:t>Long-term debt consisted of the following (in thousands):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200" w:type="dxa"/>
            <w:vAlign w:val="bottom"/>
            <w:tcBorders>
              <w:bottom w:val="single" w:sz="8" w:color="CFF0FC"/>
            </w:tcBorders>
          </w:tcPr>
          <w:p>
            <w:pPr>
              <w:spacing w:after="0"/>
              <w:rPr>
                <w:sz w:val="24"/>
                <w:szCs w:val="24"/>
                <w:color w:val="auto"/>
              </w:rPr>
            </w:pPr>
          </w:p>
        </w:tc>
        <w:tc>
          <w:tcPr>
            <w:tcW w:w="46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8"/>
              </w:rPr>
              <w:t>December 31, 2017</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1"/>
              </w:rPr>
              <w:t>September 30, 2017</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Industrial development revenue bonds</w:t>
            </w:r>
          </w:p>
        </w:tc>
        <w:tc>
          <w:tcPr>
            <w:tcW w:w="7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FF0FC"/>
            </w:tcBorders>
          </w:tcPr>
          <w:p>
            <w:pPr>
              <w:spacing w:after="0"/>
              <w:rPr>
                <w:sz w:val="2"/>
                <w:szCs w:val="2"/>
                <w:color w:val="auto"/>
              </w:rPr>
            </w:pPr>
          </w:p>
        </w:tc>
        <w:tc>
          <w:tcPr>
            <w:tcW w:w="46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long-term debt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22"/>
                <w:szCs w:val="22"/>
                <w:color w:val="auto"/>
              </w:rPr>
            </w:pPr>
          </w:p>
        </w:tc>
        <w:tc>
          <w:tcPr>
            <w:tcW w:w="15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0"/>
        </w:trPr>
        <w:tc>
          <w:tcPr>
            <w:tcW w:w="72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Revolver</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 $75.0 million revolving credit facility (U.S. Revolver) to provide working capital support and letters of credit which expires on June 27, 2022. The amount available under the U.S. Revolver at December 31, 2017 was reduced by $27.0 million for our outstanding letters of credit. There were no loans outstanding under the U.S. Revolver as of December 31, 2017. Amounts available under the U.S. Revolver were $48.0 million at December 31, 2017.</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 the terms of the U.S. Revolver, we are required to maintain a cash balance in a pledged cash collateral account equal to 102% of the outstanding amount of any loans and letter of credit obligations until we meet certain financial ratios. As of December 31, 2017, the balance in the pledged account was $27.8 million. The cash collateral associated with the outstanding letters of credit that are due to expire beyond twelve months has been classified as non-current restricted cash on the balance sheet as of December 31, 2017.</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interest rate for amounts outstanding under the U.S. Revolver is a floating rate based upon the higher of the Federal Funds Rate plus 0.5%, the bank’s prime rate, or the Eurocurrency rate plus 1.00%. Once the applicable rate is determined, a margin ranging up to 1.25% is added to the applicable rate.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outstanding under the U.S. Revolver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6" w:right="239" w:bottom="1440" w:gutter="0" w:footer="0" w:header="0"/>
        </w:sectPr>
      </w:pPr>
    </w:p>
    <w:bookmarkStart w:id="10" w:name="page11"/>
    <w:bookmarkEnd w:id="10"/>
    <w:p>
      <w:pPr>
        <w:jc w:val="both"/>
        <w:spacing w:after="0" w:line="279" w:lineRule="auto"/>
        <w:rPr>
          <w:sz w:val="20"/>
          <w:szCs w:val="20"/>
          <w:color w:val="auto"/>
        </w:rPr>
      </w:pPr>
      <w:r>
        <w:rPr>
          <w:rFonts w:ascii="Arial" w:cs="Arial" w:eastAsia="Arial" w:hAnsi="Arial"/>
          <w:sz w:val="17"/>
          <w:szCs w:val="17"/>
          <w:color w:val="auto"/>
        </w:rPr>
        <w:t>may be accelerated and may become immediately due and payable. It also contains financial covenants defining various financial measures and the levels of these measures with which we must comply, as well as a “material adverse change” clause. A “material adverse change” is defined as a material change in our operations, business, properties, liabilities or condition (financial or otherwise) or a material impairment of our ability to perform our obligations under our credit agreements. As of December 31, 2017, we were in compliance with all of the financial covenants of the U.S. Revolver.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Development Revenue Bonds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borrowed $8.0 million in October 2001 through a loan agreement funded with proceeds from tax-exempt industrial development revenue bonds (Bonds). These Bonds were issued by the Illinois Development Finance Authority and were used for the completion of our Northlake, Illinois facility. Pursuant to the Bond issuance, a reimbursement agreement between us and a major domestic bank required an issuance by the bank of an irrevocable direct-pay letter of credit (Bond LC), as collateral, to the Bonds’ trustee to guarantee payment of the Bonds’ principal and interest when due. The Bond LC is subject to both early termination and extension provisions customary to such agreements, as well as various covenants, for which we were in compliance at December 31, 2017. While the Bonds mature in 2021, the reimbursement agreement requires annual redemptions of $0.4 million that commenced on October 25, 2002. A sinking fund is used for the redemption of the Bonds. The Bonds bear interest at a floating rate determined weekly by the Bonds’ remarketing agent, which was the underwriter for the Bonds and is an affiliate of the bank. This interest rate was 1.90% as of December 31, 2017.</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E.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 Surety Bonds and Bank Guarantees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customers require us to post letters of credit or surety bonds which assure that we will perform under the terms of our contract. In the event of default, the counterparty may demand payment from the bank under a letter of credit or performance by the surety under a bond. To date, there have been no significant expenses related to either letters of credit or surety bonds for the periods reported. We were contingently liable for letters of credit of $27.0 million as of December 31, 2017. We also had surety bonds totaling $217.0 million that were outstanding, with additional bonding capacity of $533.0 million available, at December 31, 2017.</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we have a $6.7 million facility agreement (Facility Agreement) between Powell (UK) Limited and a large international bank. This Facility Agreement provides Powell (UK) Limited the ability to enter into bank guarantees as well as forward exchange contracts and currency options. At December 31, 2017, we had outstanding guarantees totaling $3.9 million under this Facility Agreement and amounts available under this Facility Agreement were $2.8 million. This facility expires in May 2018. The Facility Agreement provides for financial covenants and customary events of default, and carries cross-default provisions with our U.S. Revolver. If an event of default (as defined in the Facility Agreement) occurs and is continuing, per the terms and subject to the conditions set forth therein, obligations outstanding under the Facility Agreement may be accelerated and declared immediately due and payable. As of December 31, 2017, we were in compliance with all of the financial covenants of the Facility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Liquidated Damages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of our customer contracts have schedule and performance obligation clauses that, if we fail to meet them, could require us to pay liquidated damages. Each individual contract defines the conditions under which the customer may make a claim against us. As of December 31, 2017, our exposure to possible liquidated damages was $2.4 million, of which approximately $1.5 million is probable. Based on our actual or projected failure to meet these various contractual commitments, $1.4 million has been recorded as a reduction to revenue. We will attempt to obtain change orders, contract extensions or accelerate project completion which may resolve the potential for any unaccrued liquidated damage. Should we fail to achieve relief on some or all of these contractual obligations, we could be required to pay additional liquidated damages, which could negatively impact our future operating results.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F. STOCK-BASED COMPENSATION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Refer to our Annual Report on Form 10-K for the fiscal year ended September 30, 2017 for a full description of our existing stock-based compensation plans.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issue restricted stock units (RSUs) to certain officers and key employees of the Company. The fair value of the RSUs is based on the closing price of our common stock as reported on the NASDAQ Global Market on the grant dates. The typical annual grant vests over a three-year period from the date of issuance. Sixty percent of those grants are time-based and vest over a three-year period on each anniversary of the grant date, based on continued employment. The remaining forty percent of the grant will be earned based on the three-year earnings performance of the Company following the grant date. At December 31, 2017, there were 206,584 RSUs outstanding. The RSUs do not have voting rights but do receive dividend equivalents upon vesting; additionally, the shares of common stock underlying the RSUs are not considered issued and outstanding until vested and common stock is issued.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RSU activity (number of shares) for the three months ended December 31, 2017 is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85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Restricted</w:t>
            </w:r>
          </w:p>
        </w:tc>
        <w:tc>
          <w:tcPr>
            <w:tcW w:w="22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85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8"/>
              </w:rPr>
              <w:t>Fair Value</w:t>
            </w:r>
          </w:p>
        </w:tc>
      </w:tr>
      <w:tr>
        <w:trPr>
          <w:trHeight w:val="192"/>
        </w:trPr>
        <w:tc>
          <w:tcPr>
            <w:tcW w:w="85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w:t>
            </w:r>
          </w:p>
        </w:tc>
        <w:tc>
          <w:tcPr>
            <w:tcW w:w="22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Per Share</w:t>
            </w:r>
          </w:p>
        </w:tc>
      </w:tr>
      <w:tr>
        <w:trPr>
          <w:trHeight w:val="250"/>
        </w:trPr>
        <w:tc>
          <w:tcPr>
            <w:tcW w:w="850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September 30, 2017</w:t>
            </w:r>
          </w:p>
        </w:tc>
        <w:tc>
          <w:tcPr>
            <w:tcW w:w="1360" w:type="dxa"/>
            <w:vAlign w:val="bottom"/>
            <w:tcBorders>
              <w:top w:val="single" w:sz="8" w:color="auto"/>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177,737</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37.00</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86,500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29.88</w:t>
            </w:r>
          </w:p>
        </w:tc>
      </w:tr>
      <w:tr>
        <w:trPr>
          <w:trHeight w:val="27"/>
        </w:trPr>
        <w:tc>
          <w:tcPr>
            <w:tcW w:w="8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(34,853)</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35.64</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Forfeited/canceled</w:t>
            </w:r>
          </w:p>
        </w:tc>
        <w:tc>
          <w:tcPr>
            <w:tcW w:w="1360" w:type="dxa"/>
            <w:vAlign w:val="bottom"/>
          </w:tcPr>
          <w:p>
            <w:pPr>
              <w:jc w:val="right"/>
              <w:spacing w:after="0"/>
              <w:rPr>
                <w:sz w:val="20"/>
                <w:szCs w:val="20"/>
                <w:color w:val="auto"/>
              </w:rPr>
            </w:pPr>
            <w:r>
              <w:rPr>
                <w:rFonts w:ascii="Arial" w:cs="Arial" w:eastAsia="Arial" w:hAnsi="Arial"/>
                <w:sz w:val="18"/>
                <w:szCs w:val="18"/>
                <w:color w:val="auto"/>
              </w:rPr>
              <w:t>(22,800)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41.88</w:t>
            </w:r>
          </w:p>
        </w:tc>
      </w:tr>
      <w:tr>
        <w:trPr>
          <w:trHeight w:val="27"/>
        </w:trPr>
        <w:tc>
          <w:tcPr>
            <w:tcW w:w="850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December 31, 2017</w:t>
            </w:r>
          </w:p>
        </w:tc>
        <w:tc>
          <w:tcPr>
            <w:tcW w:w="13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206,584</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33.71</w:t>
            </w:r>
          </w:p>
        </w:tc>
      </w:tr>
      <w:tr>
        <w:trPr>
          <w:trHeight w:val="20"/>
        </w:trPr>
        <w:tc>
          <w:tcPr>
            <w:tcW w:w="8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December 31, 2017 and 2016, we recorded compensation expense of $1.0 million and $0.9 million, respectively, related to the RSUs.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non-employee director receives 2,000 restricted shares of the Company’s common stock annually. Fifty-percent of the restricted stock granted to each of our non-employee directors vests immediately, while the remaining fifty-percent will vest on the first anniversary of the grant date. Compensation expense is recognized immediately for the first fifty-percent of the restricted stock granted, while compensation expense for the remaining fifty-percent is recognized over the remaining vesting period based on the price per share on the grant date. During the first quarter of Fiscal 2017 and Fiscal 2016, there were no restricted shares granted.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December 31, 2017 and 2016, we recorded compensation expense of $0.1 million, respectively, related to restricted stock.</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G. FAIR VALUE MEASUREMENTS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December 31, 2017 (in thousands):</w:t>
      </w:r>
    </w:p>
    <w:p>
      <w:pPr>
        <w:spacing w:after="0" w:line="200" w:lineRule="exact"/>
        <w:rPr>
          <w:sz w:val="20"/>
          <w:szCs w:val="20"/>
          <w:color w:val="auto"/>
        </w:rPr>
      </w:pPr>
    </w:p>
    <w:p>
      <w:pPr>
        <w:spacing w:after="0" w:line="219"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Fair Value Measurements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Significant Other</w:t>
            </w:r>
          </w:p>
        </w:tc>
        <w:tc>
          <w:tcPr>
            <w:tcW w:w="17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Significant</w:t>
            </w:r>
          </w:p>
        </w:tc>
        <w:tc>
          <w:tcPr>
            <w:tcW w:w="136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Inputs</w:t>
            </w:r>
          </w:p>
        </w:tc>
        <w:tc>
          <w:tcPr>
            <w:tcW w:w="136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(Level 2)</w:t>
            </w:r>
          </w:p>
        </w:tc>
        <w:tc>
          <w:tcPr>
            <w:tcW w:w="17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(Level 3)</w:t>
            </w:r>
          </w:p>
        </w:tc>
        <w:tc>
          <w:tcPr>
            <w:tcW w:w="136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49,587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700" w:type="dxa"/>
            <w:vAlign w:val="bottom"/>
            <w:gridSpan w:val="3"/>
          </w:tcPr>
          <w:p>
            <w:pPr>
              <w:ind w:left="1080"/>
              <w:spacing w:after="0"/>
              <w:rPr>
                <w:sz w:val="20"/>
                <w:szCs w:val="20"/>
                <w:color w:val="auto"/>
              </w:rPr>
            </w:pPr>
            <w:r>
              <w:rPr>
                <w:rFonts w:ascii="Arial" w:cs="Arial" w:eastAsia="Arial" w:hAnsi="Arial"/>
                <w:sz w:val="18"/>
                <w:szCs w:val="18"/>
                <w:color w:val="auto"/>
              </w:rPr>
              <w:t>—   $</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49,587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23,101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27,776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70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27,776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6,641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6,641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5,322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5,322</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September 30, 2017 (in thousands):</w:t>
      </w:r>
    </w:p>
    <w:p>
      <w:pPr>
        <w:spacing w:after="0" w:line="176"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Fair Value Measurements at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Significant Other</w:t>
            </w:r>
          </w:p>
        </w:tc>
        <w:tc>
          <w:tcPr>
            <w:tcW w:w="17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Significant</w:t>
            </w:r>
          </w:p>
        </w:tc>
        <w:tc>
          <w:tcPr>
            <w:tcW w:w="136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Inputs</w:t>
            </w:r>
          </w:p>
        </w:tc>
        <w:tc>
          <w:tcPr>
            <w:tcW w:w="136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(Level 2)</w:t>
            </w:r>
          </w:p>
        </w:tc>
        <w:tc>
          <w:tcPr>
            <w:tcW w:w="17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(Level 3)</w:t>
            </w:r>
          </w:p>
        </w:tc>
        <w:tc>
          <w:tcPr>
            <w:tcW w:w="136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68,359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700" w:type="dxa"/>
            <w:vAlign w:val="bottom"/>
            <w:gridSpan w:val="3"/>
          </w:tcPr>
          <w:p>
            <w:pPr>
              <w:ind w:left="1080"/>
              <w:spacing w:after="0"/>
              <w:rPr>
                <w:sz w:val="20"/>
                <w:szCs w:val="20"/>
                <w:color w:val="auto"/>
              </w:rPr>
            </w:pPr>
            <w:r>
              <w:rPr>
                <w:rFonts w:ascii="Arial" w:cs="Arial" w:eastAsia="Arial" w:hAnsi="Arial"/>
                <w:sz w:val="18"/>
                <w:szCs w:val="18"/>
                <w:color w:val="auto"/>
              </w:rPr>
              <w:t>—   $</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68,359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26,829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26,829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24,851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24,851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6,442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6,442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4,991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and cash equivalents, primarily funds held in money market savings instruments, are reported at their current carrying value which approximates fair value due to the short-term nature of these instruments and are included in cash and cash equivalents in our Condensed Consolidated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 Restricted cash represents a pledged cash collateral balance which is required under our U.S. Revolver and is held in an interest-bearing</w:t>
      </w:r>
      <w:r>
        <w:rPr>
          <w:rFonts w:ascii="Arial" w:cs="Arial" w:eastAsia="Arial" w:hAnsi="Arial"/>
          <w:sz w:val="18"/>
          <w:szCs w:val="18"/>
          <w:i w:val="1"/>
          <w:iCs w:val="1"/>
          <w:color w:val="auto"/>
        </w:rPr>
        <w:t xml:space="preserve"> </w:t>
      </w:r>
      <w:r>
        <w:rPr>
          <w:rFonts w:ascii="Arial" w:cs="Arial" w:eastAsia="Arial" w:hAnsi="Arial"/>
          <w:sz w:val="18"/>
          <w:szCs w:val="18"/>
          <w:color w:val="auto"/>
        </w:rPr>
        <w:t>savings account. See Note D for further discussion on restricted cash.</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 We hold investments in an irrevocable Rabbi Trust for our deferred compensation plan. These assets include both mutual fund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company-owned life insurance policies. Under the plan, participants designate investment options to serve as the basis for measurement of the notional value of their accounts. The mutual funds and company-owned life insurance policies are combined in the plan and are therefore categorized as Level 2 in the fair value measurement hierarchy.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There were no transfers between levels within the fair value measurement hierarchy during the three months ended December 31,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the effective tax rate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2"/>
              </w:rPr>
              <w:t>Three months ended December 31,</w:t>
            </w:r>
          </w:p>
        </w:tc>
        <w:tc>
          <w:tcPr>
            <w:tcW w:w="14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994"/>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1420" w:type="dxa"/>
            <w:vAlign w:val="bottom"/>
            <w:tcBorders>
              <w:bottom w:val="single" w:sz="8" w:color="CCEEFF"/>
            </w:tcBorders>
            <w:shd w:val="clear" w:color="auto" w:fill="CCEEFF"/>
          </w:tcPr>
          <w:p>
            <w:pPr>
              <w:jc w:val="right"/>
              <w:ind w:right="12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(6,733)</w:t>
            </w:r>
          </w:p>
        </w:tc>
        <w:tc>
          <w:tcPr>
            <w:tcW w:w="116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(1,741)</w:t>
            </w:r>
          </w:p>
        </w:tc>
      </w:tr>
      <w:tr>
        <w:trPr>
          <w:trHeight w:val="270"/>
        </w:trPr>
        <w:tc>
          <w:tcPr>
            <w:tcW w:w="6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(1,441)</w:t>
            </w:r>
          </w:p>
        </w:tc>
      </w:tr>
      <w:tr>
        <w:trPr>
          <w:trHeight w:val="230"/>
        </w:trPr>
        <w:tc>
          <w:tcPr>
            <w:tcW w:w="64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420" w:type="dxa"/>
            <w:vAlign w:val="bottom"/>
            <w:tcBorders>
              <w:bottom w:val="single" w:sz="8" w:color="CCEEFF"/>
            </w:tcBorders>
            <w:shd w:val="clear" w:color="auto" w:fill="CCEEFF"/>
          </w:tcPr>
          <w:p>
            <w:pPr>
              <w:jc w:val="right"/>
              <w:ind w:right="12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(5,662)</w:t>
            </w:r>
          </w:p>
        </w:tc>
        <w:tc>
          <w:tcPr>
            <w:tcW w:w="116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64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the U.S. Tax Cuts and Jobs Act (the Act) was signed into law. The Act lowers the corporate tax rate for C corporations from 35% to 21% effective January 1, 2018. As a result, the effective tax rate for the three months ended December 31, 2017 represents a reduced blended U.S. tax rate of 24.5%, but was partially offset by deferred tax expense of $0.7 million due to the re-measurement of our U.S. deferred tax assets, which are not expected to be realized prior to the end of Fiscal 2018. The final impact of the Act may differ from our estimates based on changes in interpretations or assumptions we make, as well as the issuance of additional guidance. Additionally, our effective tax rate for the three months ended December 31, 2017 was reduced by a $0.2 million foreign tax loss which is reserved with a valuation allowance.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tax rate for the three months ended December 31, 2016 was favorably impacted by the lower tax rate in the United Kingdom, the relative amounts of income/loss recognized in various jurisdictions, as well as the utilization of net operating loss carryforwards in Canada that are fully reserved with a valuation allowance. We also completed an IRS audit during the three months ended December 2016, which favorably impacted the effective tax rate due to the release of a $0.3 million FIN 48 reserve relating to the Research and Development Tax Credit.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 SUBSEQUENT EVENTS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5, 2018, our Board of Directors declared a quarterly cash dividend on our common stock in the amount of $0.26 per share. The dividend is payable on March 21, 2018 to shareholders of record at the close of business on February 21,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including the following discussion to inform our existing and potential shareholders generally of some of the risks and uncertainties that can affect our Company and to take advantage of the “safe harbor” protection for forward-looking statements that applicable federal securities law affords.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our management or persons acting on our behalf make forward-looking statements to inform existing and potential shareholders about our Company. These statements may include projections and estimates concerning the timing and success of specific projects and our future backlog, revenues, income, acquisitions and capital spending.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In addition, sometimes we will specifically describe a statement as being a forward-looking statement and refer to this cautionary statement.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various statements in this Quarterly Report on Form 10-Q, including those that express a belief, expectation or intention, as well as those that are not statements of historical fact, are forward-looking statements. These forward-looking statements speak only as of the date of this report; we disclaim any obligation to update these statements unless required by securities law,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risks, contingencies and uncertainties relate to, among other matters, the following:</w:t>
      </w:r>
    </w:p>
    <w:p>
      <w:pPr>
        <w:spacing w:after="0" w:line="81" w:lineRule="exact"/>
        <w:rPr>
          <w:sz w:val="20"/>
          <w:szCs w:val="20"/>
          <w:color w:val="auto"/>
        </w:rPr>
      </w:pPr>
    </w:p>
    <w:p>
      <w:pPr>
        <w:jc w:val="both"/>
        <w:ind w:left="600" w:hanging="322"/>
        <w:spacing w:after="0" w:line="264"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largely dependent on customers in the oil and gas markets and we are adversely impacted by extended periods of low oil or gas prices, which decrease our customers' spending, the demand for our products and services and the prices we are able to charge. This has had, and may continue to have, an adverse effect on our future operating results.</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and financial market conditions may impact our customer base, suppliers and backlog.</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backlog is subject to unexpected adjustments and cancellations and, therefore, may not be a reliable indicator of our future earnings.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percentage-of-completion accounting on our fixed-price contracts could result in volatility in our results of operations.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majority of our contracts contain performance obligations that may subject us to penalties or additional liabilities.</w:t>
      </w:r>
    </w:p>
    <w:p>
      <w:pPr>
        <w:spacing w:after="0" w:line="117"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price and supply of materials used to manufacture our products may reduce our profits and could adversely impact our ability to meet commitments to our customers.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industry is highly competitive.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operations could be adversely impacted by the effects of government regulations.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laws and regulations may change our effective tax rate and could have a material effect on our financial results.</w:t>
      </w:r>
    </w:p>
    <w:p>
      <w:pPr>
        <w:spacing w:after="0" w:line="117"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operations expose us to risks that are different from, or possibly greater than, the risks we are exposed to domestically and may adversely affect our operations.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departure of key personnel could disrupt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requires skilled labor and we may be unable to attract and retain qualified employees.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exposed to risks relating to the use of subcontractors on some of our projects.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Actual and potential claims, lawsuits and proceedings could ultimately reduce our profitability and liquidity and weaken our financial condition.</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Quality problems with our products could harm our reputation and erode our competitive position.</w:t>
      </w:r>
    </w:p>
    <w:p>
      <w:pPr>
        <w:spacing w:after="0" w:line="117"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failure in our business systems or cyber security attacks on any of our facilities, or those of third parties, could adversely affect our business and our internal controls.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carry insurance against many potential liabilities, but our management of risk may leave us exposed to unidentified or unanticipated risks.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environmental laws could adversely impact our financial results.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innovations by competitors may make existing products and production methods obsolete.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Catastrophic events could disrupt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difficulties with expansions, relocations or consolidations of existing facilities could adversely affect our operations.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and product diversification through strategic acquisitions involves a number of risks.</w:t>
      </w:r>
    </w:p>
    <w:p>
      <w:pPr>
        <w:spacing w:after="0" w:line="117"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62"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could decline or fluctuate significantly due to unforeseen circumstances. These fluctuations may cause our stockholders to incur losses.</w:t>
      </w:r>
    </w:p>
    <w:p>
      <w:pPr>
        <w:spacing w:after="0" w:line="62"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Obtaining surety bonds, letters of credit, bank guarantees, or other financial assurances, may be necessary for us to successfully bid on and obtain certain contracts.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to remain in compliance with covenants or obtain waivers or amendments under our credit agreement could adversely impact our business.</w:t>
      </w:r>
    </w:p>
    <w:p>
      <w:pPr>
        <w:spacing w:after="0" w:line="140" w:lineRule="exact"/>
        <w:rPr>
          <w:rFonts w:ascii="Arial" w:cs="Arial" w:eastAsia="Arial" w:hAnsi="Arial"/>
          <w:sz w:val="16"/>
          <w:szCs w:val="16"/>
          <w:color w:val="auto"/>
        </w:rPr>
      </w:pPr>
    </w:p>
    <w:p>
      <w:pPr>
        <w:ind w:left="600" w:right="2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Failures or weaknesses in our internal controls over financial reporting could adversely affect our ability to report on our financial condition and results of operations accurately and/or on a timely basis.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the items we have outlined above are important factors that could cause estimates included in our financial statements to differ materially from actual results and those expressed in a forward-looking statement made in this report or elsewhere by us or on our behalf. We have discussed these factors in more detail in our Annual Report on Form 10-K for the year ended September 30, 2017. These factors are not necessarily all of the factors that could affect us. Unpredictable or unanticipated factors we have not discussed in this report could also have material adverse effects on actual results. We do not intend to update our description of important factors each time a potential important factor arises, except as required by applicable securities laws and regulations. We advise our shareholders that they should (1) be aware that factors not referred to above could affect the accuracy of our forward-looking statements and (2) use caution when considering our forward-looking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 and with our Annual Report on Form 10-K for the year ended September 30, 2017 which was filed with the Securities and Exchange Commission (SEC) on December 6, 2017 and is available on the SEC’s website at 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spacing w:after="0" w:line="354" w:lineRule="auto"/>
        <w:rPr>
          <w:sz w:val="20"/>
          <w:szCs w:val="20"/>
          <w:color w:val="auto"/>
        </w:rPr>
      </w:pPr>
      <w:r>
        <w:rPr>
          <w:rFonts w:ascii="Arial" w:cs="Arial" w:eastAsia="Arial" w:hAnsi="Arial"/>
          <w:sz w:val="16"/>
          <w:szCs w:val="16"/>
          <w:color w:val="auto"/>
        </w:rPr>
        <w:t>We develop, design, manufacture and service custom-engineered equipment and systems for the distribution, control and monitoring of electrical energy. Headquartered in Houston, Texas, we serve the oil and gas refining, onshore and offshore oil and gas production, petrochemical, pipeline, terminal, mining and metals, light rail traction power, electric utility, pulp and paper and other heavy industrial markets. Revenues and costs are primarily related to custom engineered-to-order equipment and systems and are accounted for under percentage-of-completion accounting which precludes us from providing detailed price and volume information. Our backlog includes various projects that typically take a number of months to produce.</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markets in which we participate are capital intensive and cyclical in nature. Cyclicality is predominantly driven by customer demand, global economic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the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significant decline in oil and gas prices from peak 2014 levels, many of our customers have reduced their capital budgets and cut costs, and in certain instances have delayed or cancelled projects that we were pursuing. As a result, our revenues and project backlog have declined, and may continue to decline, which may further negatively impact our operations. In response to our reduced project backlog and the challenging market outlook in our core oil, gas and petrochemical markets, we took steps in Fiscal 2016 and 2017 to reduce our overall cost structure and better align our costs with future production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December 31, 2017 Compared to the Quarter Ended December 31, 2016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Gross Profit</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Revenues decreased by 18%, or $20.2 million, to $90.2 million in the first quarter of Fiscal 2018, compared to the first quarter of Fiscal 2017, primarily due to the continued decrease in our project backlog as we complete existing projects and continue to see lower demand from our customers in our core oil, gas and petrochemical markets. Domestic revenues decreased by 30%, or $25.6 million, to $60.1 million in the first quarter of Fiscal 2018, compared to the first quarter of Fiscal 2017, and international revenues increased by 22%, or $5.4 million, to $30.1 million in the first quarter of Fiscal 2018, compared to the first quarter of Fiscal 2017. The reduction in domestic revenues year over year was driven by the decline in our project backlog mentioned above. However, short-term, high demand remediation efforts following Hurricane Harvey resulted in approximately $7 million of revenue which partially offset the market challenges discussed above. Revenues from commercial and industrial customers decreased by 16%, or $11.9 million, to $60.8 million in the first quarter of Fiscal 2018, compared to the first quarter of Fiscal 2017, primarily due to lower demand in our core oil, gas and petrochemical markets. Revenues from public and private utilities increased by 53%, or $8.7 million, to $25.3 million in the first quarter of Fiscal 2018, compared to the first quarter of Fiscal 2017. Revenues from municipal and transit projects decreased by 80%, or $17.0 million, to $4.1 million in the first quarter of Fiscal 2018, compared to the first quarter of Fiscal 2017. The increase in public and private utilities and the decrease in municipal and transit revenues were primarily due to the timing of projects.</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Gross profit for the first quarter of Fiscal 2018 decreased by 30%, or $4.4 million, to $10.6 million, compared to the first quarter of Fiscal 2017. Gross profit as a percentage of revenues decreased to 12% in the first quarter of Fiscal 2018, compared to 14% in the first quarter of Fiscal 2017. Gross profit and margins continued to be negatively impacted by our reduced volume resulting in under absorption of our manufacturing facility costs and a shift in project mix to smaller projects. This decline in volume and margins is primarily due to the decline in our project backlogs at the beginning of the respective periods resulting from depressed market conditions and competitive pricing pressures primarily in our core oil, gas and petrochemical markets. Gross profit and margins were also negatively impacted by costs incurred on an oil and gas project for which change orders have not been finalized.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Selling, general and administrative expenses increased by 3%, or $0.5 million, to $16.2 million during the first quarter of Fiscal 2018, compared to the first quarter of Fiscal 2017 primarily due to the timing of variable performance based compensation. Selling, general and administrative expenses, as a percentage of revenues, increased to 18% during the first quarter of Fiscal 2018, compared to 14% during the first quarter of Fiscal 2017, primarily due to the reduction in revenue and slight increase in costs quarter over quarter.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recorded an income tax benefit of $1.1 million in the first quarter of Fiscal 2018, compared to an income tax benefit of $1.4 million in the first quarter of Fiscal 2017. The effective tax rate for the first quarter of Fiscal 2018 was 16% compared to an effective tax rate of 83% in the first quarter of Fiscal 2017. The effective tax rate for the first quarter of Fiscal 2018 was reduced by the U.S. Tax Cuts and Jobs Act (the Act). The Act lowers the corporate tax rate for C corporations from 35% to 21% effective January 1, 2018. As a result, the effective tax rate for the first quarter of Fiscal 2018 represents a reduced blended U.S. tax rate of 24.5% for Fiscal 2018, but was partially offset by deferred tax expense of $0.7 million due to the re-measurement of our U.S. deferred tax assets, which are not expected to be realized prior to the end of Fiscal 2018. The final impact of the Act may differ from our estimates based on changes in interpretations or assumptions we make, as well as the issuance of additional guidance. Additionally our effective tax rate for the first quarter of Fiscal 2018 was reduced by a $0.2 million foreign tax loss which is reserved with a valuation allowance.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tax rate for the first quarter of Fiscal 2017 was favorably impacted by the lower tax rate in the United Kingdom, the relative amounts of income/loss recognized in various jurisdictions, as well as the utilization of net operating loss carryforwards in Canada that are fully reserved with a valuation allowance. We also completed an IRS audit during the first quarter of Fiscal 2017, which favorably impacted the effective tax rate due to the release of a $0.3 million FIN 48 reserve relating to the Research and Development Tax Credit.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Fiscal 2018, we recorded a loss of $5.7 million, or $0.49 per diluted share compared to a net loss of $0.3 million, or $0.03 per diluted share, in the first quarter of Fiscal 2017. The increase in our net loss compared to the prior year was primarily due to a decline in our project backlog due to depressed market conditions and competitive pricing pressures, primarily in our core oil, gas and petrochemical markets and the reduction in our effective tax rate as a result of the Act.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order backlog at December 31, 2017 was $260.3 million, an increase from the $250.1 million at September 30, 2017, primarily due to an increase in commercial and industrial projects. New orders increased during the first quarter of Fiscal 2018 to $100.0 million, compared to $90.8 million in the first quarter of Fiscal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current assets exceeded current liabilities by 2.8 times and our debt to total capitalization was 0.51%.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cash equivalents and short-term investments decreased to $72.7 million at December 31, 2017, compared to $95.2 million at September 30, 2017. We had restricted cash held in a pledged collateral account related to our U.S. Revolver of $27.8 million at December 31, 2017 and $24.9 million at September 30, 2017. For further information regarding our U.S. Revolver, see Note D of Notes to Condensed Consolidated Financial Statements.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U.S. Revolver is a $75.0 million revolving credit facility in the U.S. As of December 31, 2017, there were no amounts borrowed under this facility. Total letters of credit outstanding under our U.S. Revolver, which reduce our availability, were $27.0 million at December 31, 2017 and $24.1 million at September 30, 2017. The amount available under our U.S. Revolver at December 31, 2017 was $48.0 million. Total long-term debt, including current maturities, totaled $1.6 million at December 31, 2017, compared to $2.0 million at September 30, 2017. For further information regarding our debt, see Notes D and E of Notes to Condensed Consolidated Financial Statements.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$35 million of our cash and short-term investments at December 31, 2017 was held outside of the United States for international operations. It is our intention to indefinitely reinvest all current and future foreign earnings internationally in order to ensure sufficient working capital to support our international operations. In the event that we elect to repatriate some 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all of the foreign earnings that were previously deemed to be indefinitely reinvested outside the U.S., under current tax laws we would incur additional tax expense upon such repatriation.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believe that cash and short-term investments available and borrowing capacity under our U.S. Revolver should be sufficient to finance future operating activities, capital improvements and debt repayments for the foreseeable future. We continue to monitor the factors that drive our markets and will continue to strive to maintain our leadership and competitive advantage in the markets we serve while aligning our cost structures with market conditions.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used by operating activities decreased to $14.1 million for the first quarter of Fiscal 2018, compared to cash provided by operating activities of $3.4 million during the same period in Fiscal 2017. This decrease in operating cash flow for the first quarter of Fiscal 2018 was primarily due to the reduction in earnings year over year and increases in accounts receivable, partially offset by project billings. Cash flow from operations is primarily influenced by project volume, the timing of milestone payments from our customers and the payment terms with our suppliers.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Net cash used in investing activities during the first quarter of Fiscal 2018 totaled $0.9 million compared to $15.8 million during the same period in Fiscal 2017. For the first quarter of Fiscal 2018, our net short-term investment activity was $3.7 million and we spent approximately $1.7 million on purchases of plant improvements and equipment. In the first quarter of Fiscal 2017, we had purchases of short-term investments of $14.9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was $3.8 million for the both the first quarter of Fiscal 2018 and Fiscal 2017. This was primarily for cash dividends of $3.0 million in both periods.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A of Notes to Condensed Consolidated Financial Statements included in this report for information on new accounting standards.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as disclosed in our Annual Report on Form 10-K for the year ended September 30, 2017.</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December 31, 2017, our operating loss was positively impacted by $2.0 million, as a result of changes in contract estimates related to projects in progress at the beginning of the respective periods. These changes in estimates resulted primarily from, among other things, successful execution and close-out improvements, as well as other changes in facts and circumstances during these periods.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markets in which we participate are capital-intensive and cyclical in nature. Cyclicality is predominantly driven by customer demand, global economic conditions and anticipated environmental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Projects typically take a number of months to produce, and schedules may change during the course of any particular project.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revenues have historically been from the oil, gas and petrochemical markets. Unfavorable oil and gas commodity price levels have caused, and we anticipate will continue to cause, our customers to delay their investments. The reduction in available projects across the markets we serve has increased price pressures during this market cycle. This reduction in new business opportunities and increased market price pressures have impacted, and may continue to negatively impact, our backlog, revenues and operating results.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operating results have been, and we anticipate will continue to be, negatively impacted by factors such as the timing of new order awards, customer approval of final engineering and design specifications and delays in customer construction schedules, all of which have and will continue to have, a negative impact on the timing of project execution. Our operating results also have been, and will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These factors may result in periods of underutilization of our resources and facilities and negatively impact our ability to cover our fixed costs. If our core oil, gas and petrochemical markets do not improve, or decline further, our project backlog and revenue could continue to decline and negatively impact our operations. In response to our reduced project backlog and depressed market outlook, we took steps in Fiscal 2016 and 2017 to reduce our overall cost structure and better align our costs with future production requirements. We continue to assess our cost structure, operating performance and service offerings as the oil, gas and petrochemical markets remain challenging and uncertain. We anticipate that in Fiscal 2018, additional actions may be necessary.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strong working capital position, cash available, low debt position and borrowing capacity under our existing credit facility should be sufficient to finance future operating activities, research and development initiatives, capital improvements and debt repayments for the foreseeable future. We continue to monitor the factors that drive our markets and will continue to strive to maintain our leadership and competitive advantage in the markets we serve while aligning our cost structures with market conditions.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market risks arising from transactions we have entered into in the normal course of business. These risks primarily relate to fluctuations in market conditions, commodity prices, foreign exchange rates and interest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and their industries are typically engineering, procurement and construction firms, oil and gas refining, offshore oil and gas production, petrochemical, pipeline, terminal, mining and metals, light rail traction power, electric utility, pulp and paper and other heavy industrial customers. We maintain ongoing discussions with customers regarding contract status with respect to payment status, change orders and billing terms in an effort to monitor collections of amounts billed.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profit margin. While we may do so in the future, we have not currently entered into any derivative contracts to hedge our exposure to commodity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90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Foreign Currency Transaction Risk</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operations that expose us to currency risk in the British Pound Sterling, the Canadian Dollar and to a lesser extent the Euro. Amounts invested in our foreign operations are translated into U.S. Dollars at the exchange rates in effect at the balance sheet date. The resulting translation adjustments are recorded as accumulated other comprehensive income (loss), a component of stockholders’ equity in our condensed consolidated balance sheets. We believe the exposure to the effects that fluctuating foreign currencies have on our consolidated results of operations is limited because the foreign operations primarily invoice customers and collect obligations in their respective currencies or U.S. Dollars. Additionally, expenses associated with these transactions are generally contracted and paid for in the same local currencies. For the three months ended December 31, 2017, our realized foreign exchange losses were $0.2 million and are included in selling, general and administrative expenses in the Condensed Consolidated Statements of Operations.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accumulated other comprehensive loss, which is included as a component of stockholders’ equity, was $19.1 million as of December 31, 2017, a decrease of $0.3 million compared to September 30, 2017. This decrease in comprehensive loss was primarily a result of fluctuations in the currency exchange rates for the Canadian Dollar and British Pound Sterling as we remeasured the foreign operations of those divisions.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hedge our exposure to potential foreign currency translation adjustments.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decide to borrow under our credit facility, we will be subject to market risk resulting from changes in interest rates related to our floating rate bank credit facility. If we were to make such borrowings, a hypothetical 100 basis point increase in variable interest rates may result in a material impact to our financial statements. While we do not currently have any derivative contracts to hedge our exposure to interest rate risk, in the past we have entered and may in the future enter into such contracts. During each of the periods presented, we have not experienced a significant effect on our business due to changes in interest rates.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last fiscal quarter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material changes from the risk factors previously disclosed in the Company’s Annual Report on Form 10-K for the fiscal year ended September 30,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ind w:left="1420" w:right="20" w:hanging="818"/>
        <w:spacing w:after="0" w:line="293" w:lineRule="auto"/>
        <w:tabs>
          <w:tab w:leader="none" w:pos="1400" w:val="left"/>
        </w:tabs>
        <w:rPr>
          <w:sz w:val="20"/>
          <w:szCs w:val="20"/>
          <w:color w:val="auto"/>
        </w:rPr>
      </w:pPr>
      <w:r>
        <w:rPr>
          <w:rFonts w:ascii="Arial" w:cs="Arial" w:eastAsia="Arial" w:hAnsi="Arial"/>
          <w:sz w:val="18"/>
          <w:szCs w:val="18"/>
          <w:color w:val="auto"/>
        </w:rPr>
        <w:t>3.1</w:t>
        <w:tab/>
        <w:t>— Certificate of Incorporation of Powell Industries, Inc. filed with the Secretary of State of the State of Delaware on February 11, 2004 (filed as Exhibit 3.1 to our Form 8-A/A filed November 1, 2004, and incorporated herein by reference).</w:t>
      </w:r>
    </w:p>
    <w:p>
      <w:pPr>
        <w:spacing w:after="0" w:line="210" w:lineRule="exact"/>
        <w:rPr>
          <w:sz w:val="20"/>
          <w:szCs w:val="20"/>
          <w:color w:val="auto"/>
        </w:rPr>
      </w:pPr>
    </w:p>
    <w:p>
      <w:pPr>
        <w:ind w:left="1420" w:hanging="818"/>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3.2</w:t>
        <w:tab/>
        <w:t xml:space="preserve">— </w:t>
      </w:r>
      <w:hyperlink r:id="rId19">
        <w:r>
          <w:rPr>
            <w:rFonts w:ascii="Arial" w:cs="Arial" w:eastAsia="Arial" w:hAnsi="Arial"/>
            <w:sz w:val="18"/>
            <w:szCs w:val="18"/>
            <w:u w:val="single" w:color="auto"/>
            <w:color w:val="0000FF"/>
          </w:rPr>
          <w:t>Amended and Restated Bylaws of Powell Industries, Inc. (filed as Exhibit 3.1 to our Form 8-K filed October 12, 2012, and</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FF"/>
          </w:rPr>
          <w:t>incorporated herein by reference).</w:t>
        </w:r>
      </w:hyperlink>
    </w:p>
    <w:p>
      <w:pPr>
        <w:spacing w:after="0" w:line="238" w:lineRule="exact"/>
        <w:rPr>
          <w:sz w:val="20"/>
          <w:szCs w:val="20"/>
          <w:color w:val="auto"/>
        </w:rPr>
      </w:pPr>
    </w:p>
    <w:p>
      <w:pPr>
        <w:ind w:left="760"/>
        <w:spacing w:after="0"/>
        <w:tabs>
          <w:tab w:leader="none" w:pos="140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*31.1</w:t>
        <w:tab/>
        <w:t>—</w:t>
      </w:r>
      <w:r>
        <w:rPr>
          <w:sz w:val="20"/>
          <w:szCs w:val="20"/>
          <w:color w:val="auto"/>
        </w:rPr>
        <w:tab/>
      </w:r>
      <w:hyperlink w:anchor="page24">
        <w:r>
          <w:rPr>
            <w:rFonts w:ascii="Arial" w:cs="Arial" w:eastAsia="Arial" w:hAnsi="Arial"/>
            <w:sz w:val="16"/>
            <w:szCs w:val="16"/>
            <w:u w:val="single" w:color="auto"/>
            <w:color w:val="0000FF"/>
          </w:rPr>
          <w:t>Certification of Chief Executive Officer pursuant to Rule 13a-14(a)/15d-14(a).</w:t>
        </w:r>
      </w:hyperlink>
    </w:p>
    <w:p>
      <w:pPr>
        <w:spacing w:after="0" w:line="279" w:lineRule="exact"/>
        <w:rPr>
          <w:sz w:val="20"/>
          <w:szCs w:val="20"/>
          <w:color w:val="auto"/>
        </w:rPr>
      </w:pPr>
    </w:p>
    <w:p>
      <w:pPr>
        <w:ind w:left="760"/>
        <w:spacing w:after="0"/>
        <w:tabs>
          <w:tab w:leader="none" w:pos="140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*31.2</w:t>
        <w:tab/>
        <w:t>—</w:t>
      </w:r>
      <w:r>
        <w:rPr>
          <w:sz w:val="20"/>
          <w:szCs w:val="20"/>
          <w:color w:val="auto"/>
        </w:rPr>
        <w:tab/>
      </w:r>
      <w:hyperlink w:anchor="page25">
        <w:r>
          <w:rPr>
            <w:rFonts w:ascii="Arial" w:cs="Arial" w:eastAsia="Arial" w:hAnsi="Arial"/>
            <w:sz w:val="16"/>
            <w:szCs w:val="16"/>
            <w:u w:val="single" w:color="auto"/>
            <w:color w:val="0000FF"/>
          </w:rPr>
          <w:t>Certification of Chief Financial Officer pursuant to Rule 13a-14(a)/15d-14(a).</w:t>
        </w:r>
      </w:hyperlink>
    </w:p>
    <w:p>
      <w:pPr>
        <w:spacing w:after="0" w:line="279" w:lineRule="exact"/>
        <w:rPr>
          <w:sz w:val="20"/>
          <w:szCs w:val="20"/>
          <w:color w:val="auto"/>
        </w:rPr>
      </w:pPr>
    </w:p>
    <w:p>
      <w:pPr>
        <w:ind w:left="1420" w:right="20" w:hanging="998"/>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*32.1</w:t>
        <w:tab/>
        <w:t xml:space="preserve">— </w:t>
      </w:r>
      <w:hyperlink w:anchor="page26">
        <w:r>
          <w:rPr>
            <w:rFonts w:ascii="Arial" w:cs="Arial" w:eastAsia="Arial" w:hAnsi="Arial"/>
            <w:sz w:val="18"/>
            <w:szCs w:val="18"/>
            <w:u w:val="single" w:color="auto"/>
            <w:color w:val="0000FF"/>
          </w:rPr>
          <w:t>Certification of Chief Executive Officer Pursuant to Section 18 U.S.C. Section 1350, as Adopted Pursuant to Section 906 of the</w:t>
        </w:r>
      </w:hyperlink>
      <w:r>
        <w:rPr>
          <w:rFonts w:ascii="Arial" w:cs="Arial" w:eastAsia="Arial" w:hAnsi="Arial"/>
          <w:sz w:val="18"/>
          <w:szCs w:val="18"/>
          <w:color w:val="auto"/>
        </w:rPr>
        <w:t xml:space="preserve"> </w:t>
      </w:r>
      <w:hyperlink w:anchor="page26">
        <w:r>
          <w:rPr>
            <w:rFonts w:ascii="Arial" w:cs="Arial" w:eastAsia="Arial" w:hAnsi="Arial"/>
            <w:sz w:val="18"/>
            <w:szCs w:val="18"/>
            <w:u w:val="single" w:color="auto"/>
            <w:color w:val="0000FF"/>
          </w:rPr>
          <w:t>Sarbanes-Oxley Act of 2002.</w:t>
        </w:r>
      </w:hyperlink>
    </w:p>
    <w:p>
      <w:pPr>
        <w:spacing w:after="0" w:line="224" w:lineRule="exact"/>
        <w:rPr>
          <w:sz w:val="20"/>
          <w:szCs w:val="20"/>
          <w:color w:val="auto"/>
        </w:rPr>
      </w:pPr>
    </w:p>
    <w:p>
      <w:pPr>
        <w:ind w:left="1420" w:hanging="998"/>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*32.2</w:t>
        <w:tab/>
        <w:t xml:space="preserve">— </w:t>
      </w:r>
      <w:hyperlink w:anchor="page27">
        <w:r>
          <w:rPr>
            <w:rFonts w:ascii="Arial" w:cs="Arial" w:eastAsia="Arial" w:hAnsi="Arial"/>
            <w:sz w:val="18"/>
            <w:szCs w:val="18"/>
            <w:u w:val="single" w:color="auto"/>
            <w:color w:val="0000FF"/>
          </w:rPr>
          <w:t>Certification of Chief Financial Officer Pursuant to Section 18 U.S.C. Section 1350, as Adopted Pursuant to Section 906 of the</w:t>
        </w:r>
      </w:hyperlink>
      <w:r>
        <w:rPr>
          <w:rFonts w:ascii="Arial" w:cs="Arial" w:eastAsia="Arial" w:hAnsi="Arial"/>
          <w:sz w:val="18"/>
          <w:szCs w:val="18"/>
          <w:color w:val="auto"/>
        </w:rPr>
        <w:t xml:space="preserve"> </w:t>
      </w:r>
      <w:hyperlink w:anchor="page27">
        <w:r>
          <w:rPr>
            <w:rFonts w:ascii="Arial" w:cs="Arial" w:eastAsia="Arial" w:hAnsi="Arial"/>
            <w:sz w:val="18"/>
            <w:szCs w:val="18"/>
            <w:u w:val="single" w:color="auto"/>
            <w:color w:val="0000FF"/>
          </w:rPr>
          <w:t>Sarbanes-Oxley Act of 2002.</w:t>
        </w:r>
      </w:hyperlink>
    </w:p>
    <w:p>
      <w:pPr>
        <w:spacing w:after="0" w:line="224" w:lineRule="exact"/>
        <w:rPr>
          <w:sz w:val="20"/>
          <w:szCs w:val="20"/>
          <w:color w:val="auto"/>
        </w:rPr>
      </w:pPr>
    </w:p>
    <w:p>
      <w:pPr>
        <w:ind w:left="460"/>
        <w:spacing w:after="0"/>
        <w:tabs>
          <w:tab w:leader="none" w:pos="1400" w:val="left"/>
          <w:tab w:leader="none" w:pos="1740" w:val="left"/>
        </w:tabs>
        <w:rPr>
          <w:sz w:val="20"/>
          <w:szCs w:val="20"/>
          <w:color w:val="auto"/>
        </w:rPr>
      </w:pPr>
      <w:r>
        <w:rPr>
          <w:rFonts w:ascii="Arial" w:cs="Arial" w:eastAsia="Arial" w:hAnsi="Arial"/>
          <w:sz w:val="18"/>
          <w:szCs w:val="18"/>
          <w:color w:val="auto"/>
        </w:rPr>
        <w:t>*101.INS</w:t>
        <w:tab/>
        <w:t>—</w:t>
      </w:r>
      <w:r>
        <w:rPr>
          <w:sz w:val="20"/>
          <w:szCs w:val="20"/>
          <w:color w:val="auto"/>
        </w:rPr>
        <w:tab/>
      </w:r>
      <w:r>
        <w:rPr>
          <w:rFonts w:ascii="Arial" w:cs="Arial" w:eastAsia="Arial" w:hAnsi="Arial"/>
          <w:sz w:val="16"/>
          <w:szCs w:val="16"/>
          <w:color w:val="auto"/>
        </w:rPr>
        <w:t>XBRL Instance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*101.SCH</w:t>
        <w:tab/>
        <w:t>—</w:t>
      </w:r>
      <w:r>
        <w:rPr>
          <w:sz w:val="20"/>
          <w:szCs w:val="20"/>
          <w:color w:val="auto"/>
        </w:rPr>
        <w:tab/>
      </w:r>
      <w:r>
        <w:rPr>
          <w:rFonts w:ascii="Arial" w:cs="Arial" w:eastAsia="Arial" w:hAnsi="Arial"/>
          <w:sz w:val="16"/>
          <w:szCs w:val="16"/>
          <w:color w:val="auto"/>
        </w:rPr>
        <w:t>XBRL Taxonomy Extension Schema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*101.CAL</w:t>
        <w:tab/>
        <w:t>—</w:t>
      </w:r>
      <w:r>
        <w:rPr>
          <w:sz w:val="20"/>
          <w:szCs w:val="20"/>
          <w:color w:val="auto"/>
        </w:rPr>
        <w:tab/>
      </w:r>
      <w:r>
        <w:rPr>
          <w:rFonts w:ascii="Arial" w:cs="Arial" w:eastAsia="Arial" w:hAnsi="Arial"/>
          <w:sz w:val="16"/>
          <w:szCs w:val="16"/>
          <w:color w:val="auto"/>
        </w:rPr>
        <w:t>XBRL Taxonomy Extension Calculation Linkbase Document</w:t>
      </w:r>
    </w:p>
    <w:p>
      <w:pPr>
        <w:spacing w:after="0" w:line="279" w:lineRule="exact"/>
        <w:rPr>
          <w:sz w:val="20"/>
          <w:szCs w:val="20"/>
          <w:color w:val="auto"/>
        </w:rPr>
      </w:pPr>
    </w:p>
    <w:p>
      <w:pPr>
        <w:ind w:left="420"/>
        <w:spacing w:after="0"/>
        <w:tabs>
          <w:tab w:leader="none" w:pos="1400" w:val="left"/>
          <w:tab w:leader="none" w:pos="1740" w:val="left"/>
        </w:tabs>
        <w:rPr>
          <w:sz w:val="20"/>
          <w:szCs w:val="20"/>
          <w:color w:val="auto"/>
        </w:rPr>
      </w:pPr>
      <w:r>
        <w:rPr>
          <w:rFonts w:ascii="Arial" w:cs="Arial" w:eastAsia="Arial" w:hAnsi="Arial"/>
          <w:sz w:val="18"/>
          <w:szCs w:val="18"/>
          <w:color w:val="auto"/>
        </w:rPr>
        <w:t>*101.DEF</w:t>
        <w:tab/>
        <w:t>—</w:t>
      </w:r>
      <w:r>
        <w:rPr>
          <w:sz w:val="20"/>
          <w:szCs w:val="20"/>
          <w:color w:val="auto"/>
        </w:rPr>
        <w:tab/>
      </w:r>
      <w:r>
        <w:rPr>
          <w:rFonts w:ascii="Arial" w:cs="Arial" w:eastAsia="Arial" w:hAnsi="Arial"/>
          <w:sz w:val="16"/>
          <w:szCs w:val="16"/>
          <w:color w:val="auto"/>
        </w:rPr>
        <w:t>XBRL Taxonomy Extension Definition Linkbase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*101.LAB</w:t>
        <w:tab/>
        <w:t>—</w:t>
      </w:r>
      <w:r>
        <w:rPr>
          <w:sz w:val="20"/>
          <w:szCs w:val="20"/>
          <w:color w:val="auto"/>
        </w:rPr>
        <w:tab/>
      </w:r>
      <w:r>
        <w:rPr>
          <w:rFonts w:ascii="Arial" w:cs="Arial" w:eastAsia="Arial" w:hAnsi="Arial"/>
          <w:sz w:val="16"/>
          <w:szCs w:val="16"/>
          <w:color w:val="auto"/>
        </w:rPr>
        <w:t>XBRL Taxonomy Extension Label Linkbase Document</w:t>
      </w:r>
    </w:p>
    <w:p>
      <w:pPr>
        <w:spacing w:after="0" w:line="279" w:lineRule="exact"/>
        <w:rPr>
          <w:sz w:val="20"/>
          <w:szCs w:val="20"/>
          <w:color w:val="auto"/>
        </w:rPr>
      </w:pPr>
    </w:p>
    <w:p>
      <w:pPr>
        <w:ind w:left="420"/>
        <w:spacing w:after="0"/>
        <w:tabs>
          <w:tab w:leader="none" w:pos="1400" w:val="left"/>
          <w:tab w:leader="none" w:pos="1740" w:val="left"/>
        </w:tabs>
        <w:rPr>
          <w:sz w:val="20"/>
          <w:szCs w:val="20"/>
          <w:color w:val="auto"/>
        </w:rPr>
      </w:pPr>
      <w:r>
        <w:rPr>
          <w:rFonts w:ascii="Arial" w:cs="Arial" w:eastAsia="Arial" w:hAnsi="Arial"/>
          <w:sz w:val="18"/>
          <w:szCs w:val="18"/>
          <w:color w:val="auto"/>
        </w:rPr>
        <w:t>*101.PRE</w:t>
        <w:tab/>
        <w:t>—</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089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931"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860" w:type="dxa"/>
            <w:vAlign w:val="bottom"/>
            <w:gridSpan w:val="2"/>
          </w:tcPr>
          <w:p>
            <w:pPr>
              <w:ind w:left="1860"/>
              <w:spacing w:after="0"/>
              <w:rPr>
                <w:sz w:val="20"/>
                <w:szCs w:val="20"/>
                <w:color w:val="auto"/>
              </w:rPr>
            </w:pPr>
            <w:r>
              <w:rPr>
                <w:rFonts w:ascii="Arial" w:cs="Arial" w:eastAsia="Arial" w:hAnsi="Arial"/>
                <w:sz w:val="18"/>
                <w:szCs w:val="18"/>
                <w:color w:val="auto"/>
              </w:rPr>
              <w:t>POWELL INDUSTRIES, INC.</w:t>
            </w:r>
          </w:p>
        </w:tc>
      </w:tr>
      <w:tr>
        <w:trPr>
          <w:trHeight w:val="270"/>
        </w:trPr>
        <w:tc>
          <w:tcPr>
            <w:tcW w:w="3520" w:type="dxa"/>
            <w:vAlign w:val="bottom"/>
          </w:tcPr>
          <w:p>
            <w:pPr>
              <w:spacing w:after="0"/>
              <w:rPr>
                <w:sz w:val="23"/>
                <w:szCs w:val="23"/>
                <w:color w:val="auto"/>
              </w:rPr>
            </w:pPr>
          </w:p>
        </w:tc>
        <w:tc>
          <w:tcPr>
            <w:tcW w:w="7860" w:type="dxa"/>
            <w:vAlign w:val="bottom"/>
            <w:gridSpan w:val="2"/>
          </w:tcPr>
          <w:p>
            <w:pPr>
              <w:ind w:left="1860"/>
              <w:spacing w:after="0"/>
              <w:rPr>
                <w:sz w:val="20"/>
                <w:szCs w:val="20"/>
                <w:color w:val="auto"/>
              </w:rPr>
            </w:pPr>
            <w:r>
              <w:rPr>
                <w:rFonts w:ascii="Arial" w:cs="Arial" w:eastAsia="Arial" w:hAnsi="Arial"/>
                <w:sz w:val="18"/>
                <w:szCs w:val="18"/>
                <w:color w:val="auto"/>
              </w:rPr>
              <w:t>(Registrant)</w:t>
            </w:r>
          </w:p>
        </w:tc>
      </w:tr>
      <w:tr>
        <w:trPr>
          <w:trHeight w:val="540"/>
        </w:trPr>
        <w:tc>
          <w:tcPr>
            <w:tcW w:w="3520" w:type="dxa"/>
            <w:vAlign w:val="bottom"/>
          </w:tcPr>
          <w:p>
            <w:pPr>
              <w:spacing w:after="0"/>
              <w:rPr>
                <w:sz w:val="20"/>
                <w:szCs w:val="20"/>
                <w:color w:val="auto"/>
              </w:rPr>
            </w:pPr>
            <w:r>
              <w:rPr>
                <w:rFonts w:ascii="Arial" w:cs="Arial" w:eastAsia="Arial" w:hAnsi="Arial"/>
                <w:sz w:val="18"/>
                <w:szCs w:val="18"/>
                <w:color w:val="auto"/>
              </w:rPr>
              <w:t>Date: February 7, 2018</w:t>
            </w:r>
          </w:p>
        </w:tc>
        <w:tc>
          <w:tcPr>
            <w:tcW w:w="2620" w:type="dxa"/>
            <w:vAlign w:val="bottom"/>
          </w:tcPr>
          <w:p>
            <w:pPr>
              <w:ind w:left="186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Brett A. Cope</w:t>
            </w:r>
          </w:p>
        </w:tc>
      </w:tr>
      <w:tr>
        <w:trPr>
          <w:trHeight w:val="27"/>
        </w:trPr>
        <w:tc>
          <w:tcPr>
            <w:tcW w:w="3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Brett A. Cope</w:t>
            </w:r>
          </w:p>
        </w:tc>
      </w:tr>
      <w:tr>
        <w:trPr>
          <w:trHeight w:val="270"/>
        </w:trPr>
        <w:tc>
          <w:tcPr>
            <w:tcW w:w="35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5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3520" w:type="dxa"/>
            <w:vAlign w:val="bottom"/>
          </w:tcPr>
          <w:p>
            <w:pPr>
              <w:spacing w:after="0"/>
              <w:rPr>
                <w:sz w:val="24"/>
                <w:szCs w:val="24"/>
                <w:color w:val="auto"/>
              </w:rPr>
            </w:pPr>
          </w:p>
        </w:tc>
        <w:tc>
          <w:tcPr>
            <w:tcW w:w="2620" w:type="dxa"/>
            <w:vAlign w:val="bottom"/>
          </w:tcPr>
          <w:p>
            <w:pPr>
              <w:ind w:left="186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Don R. Madison</w:t>
            </w:r>
          </w:p>
        </w:tc>
      </w:tr>
      <w:tr>
        <w:trPr>
          <w:trHeight w:val="27"/>
        </w:trPr>
        <w:tc>
          <w:tcPr>
            <w:tcW w:w="3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Don R. Madison</w:t>
            </w:r>
          </w:p>
        </w:tc>
      </w:tr>
      <w:tr>
        <w:trPr>
          <w:trHeight w:val="270"/>
        </w:trPr>
        <w:tc>
          <w:tcPr>
            <w:tcW w:w="35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r>
        <w:trPr>
          <w:trHeight w:val="270"/>
        </w:trPr>
        <w:tc>
          <w:tcPr>
            <w:tcW w:w="35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Chief Financial and Administrative Officer</w:t>
            </w:r>
          </w:p>
        </w:tc>
      </w:tr>
      <w:tr>
        <w:trPr>
          <w:trHeight w:val="270"/>
        </w:trPr>
        <w:tc>
          <w:tcPr>
            <w:tcW w:w="35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3520" w:type="dxa"/>
            <w:vAlign w:val="bottom"/>
          </w:tcPr>
          <w:p>
            <w:pPr>
              <w:spacing w:after="0"/>
              <w:rPr>
                <w:sz w:val="24"/>
                <w:szCs w:val="24"/>
                <w:color w:val="auto"/>
              </w:rPr>
            </w:pPr>
          </w:p>
        </w:tc>
        <w:tc>
          <w:tcPr>
            <w:tcW w:w="2620" w:type="dxa"/>
            <w:vAlign w:val="bottom"/>
          </w:tcPr>
          <w:p>
            <w:pPr>
              <w:ind w:left="2060"/>
              <w:spacing w:after="0"/>
              <w:rPr>
                <w:sz w:val="20"/>
                <w:szCs w:val="20"/>
                <w:color w:val="auto"/>
              </w:rPr>
            </w:pPr>
            <w:r>
              <w:rPr>
                <w:rFonts w:ascii="Arial" w:cs="Arial" w:eastAsia="Arial" w:hAnsi="Arial"/>
                <w:sz w:val="18"/>
                <w:szCs w:val="18"/>
                <w:color w:val="auto"/>
              </w:rPr>
              <w:t>23</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Brett A. Cope, certify that:</w:t>
      </w:r>
    </w:p>
    <w:p>
      <w:pPr>
        <w:spacing w:after="0" w:line="19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1" w:lineRule="exact"/>
        <w:rPr>
          <w:rFonts w:ascii="Arial" w:cs="Arial" w:eastAsia="Arial" w:hAnsi="Arial"/>
          <w:sz w:val="14"/>
          <w:szCs w:val="14"/>
          <w:color w:val="auto"/>
        </w:rPr>
      </w:pPr>
    </w:p>
    <w:p>
      <w:pPr>
        <w:ind w:left="1300" w:right="20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1300" w:right="8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1300" w:right="10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jc w:val="both"/>
        <w:ind w:left="1300" w:right="6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30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1300" w:right="52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Brett A. Cope</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Brett A. Cope</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(Principal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7, 2018</w:t>
      </w:r>
    </w:p>
    <w:p>
      <w:pPr>
        <w:sectPr>
          <w:pgSz w:w="11900" w:h="16838" w:orient="portrait"/>
          <w:cols w:equalWidth="0" w:num="1">
            <w:col w:w="11420"/>
          </w:cols>
          <w:pgMar w:left="240" w:top="58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Don R. Madison, certify that:</w:t>
      </w:r>
    </w:p>
    <w:p>
      <w:pPr>
        <w:spacing w:after="0" w:line="19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1" w:lineRule="exact"/>
        <w:rPr>
          <w:rFonts w:ascii="Arial" w:cs="Arial" w:eastAsia="Arial" w:hAnsi="Arial"/>
          <w:sz w:val="14"/>
          <w:szCs w:val="14"/>
          <w:color w:val="auto"/>
        </w:rPr>
      </w:pPr>
    </w:p>
    <w:p>
      <w:pPr>
        <w:ind w:left="1300" w:right="20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1300" w:right="8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1300" w:right="10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jc w:val="both"/>
        <w:ind w:left="1300" w:right="6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30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1300" w:right="52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Don R. Madison</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Don R. Madison</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Executive Vice President</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Chief Financial and Administrative Officer</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(Principal Financial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7, 2018</w:t>
      </w:r>
    </w:p>
    <w:p>
      <w:pPr>
        <w:sectPr>
          <w:pgSz w:w="11900" w:h="16838" w:orient="portrait"/>
          <w:cols w:equalWidth="0" w:num="1">
            <w:col w:w="11420"/>
          </w:cols>
          <w:pgMar w:left="240" w:top="58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In connection with this Quarterly Report (the “Report”) on Form 10-Q of Powell Industries, Inc. (the “Company”) for the quarter ended December 31, 2017, as filed with the Securities and Exchange Commission on the date hereof, I, Brett A. Cope,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56"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Brett A. Cope</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Brett A. Cope</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President and Chief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7, 2018</w:t>
      </w:r>
    </w:p>
    <w:p>
      <w:pPr>
        <w:sectPr>
          <w:pgSz w:w="11900" w:h="16838" w:orient="portrait"/>
          <w:cols w:equalWidth="0" w:num="1">
            <w:col w:w="11420"/>
          </w:cols>
          <w:pgMar w:left="240" w:top="58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this Quarterly Report (the “Report”) on Form 10-Q of Powell Industries, Inc. (the “Company”) for the quarter ended December 31, 2017, as filed with the Securities and Exchange Commission on the date hereof, I, Don R. Madison, Executive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8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Don R. Madison</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Don R. Madison</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Executive Vice President</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Chief Financial and Administrative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7, 2018</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19" Type="http://schemas.openxmlformats.org/officeDocument/2006/relationships/hyperlink" Target="http://www.sec.gov/Archives/edgar/data/80420/000119312512421889/d424375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2019-12-29T01:41:08Z</dcterms:created>
  <dcterms:modified xsi:type="dcterms:W3CDTF">2019-12-29T01:41:08Z</dcterms:modified>
</cp:coreProperties>
</file>