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414655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389255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64135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100965</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00" w:right="2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00" w:right="40" w:hanging="674"/>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94615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3"/>
              </w:rPr>
              <w:t>Delaware</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88-0106100</w:t>
            </w:r>
          </w:p>
        </w:tc>
      </w:tr>
      <w:tr>
        <w:trPr>
          <w:trHeight w:val="189"/>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Arial" w:cs="Arial" w:eastAsia="Arial" w:hAnsi="Arial"/>
                <w:sz w:val="14"/>
                <w:szCs w:val="14"/>
                <w:b w:val="1"/>
                <w:bCs w:val="1"/>
                <w:color w:val="auto"/>
                <w:w w:val="94"/>
              </w:rPr>
              <w:t>Identification No.)</w:t>
            </w:r>
          </w:p>
        </w:tc>
      </w:tr>
      <w:tr>
        <w:trPr>
          <w:trHeight w:val="230"/>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8550 Mosley Road</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90"/>
              </w:rPr>
              <w:t>Houston</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8"/>
                <w:szCs w:val="18"/>
                <w:b w:val="1"/>
                <w:bCs w:val="1"/>
                <w:color w:val="auto"/>
                <w:w w:val="82"/>
              </w:rPr>
              <w:t>Texas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jc w:val="center"/>
              <w:ind w:right="1378"/>
              <w:spacing w:after="0"/>
              <w:rPr>
                <w:sz w:val="20"/>
                <w:szCs w:val="20"/>
                <w:color w:val="auto"/>
              </w:rPr>
            </w:pPr>
            <w:r>
              <w:rPr>
                <w:rFonts w:ascii="Arial" w:cs="Arial" w:eastAsia="Arial" w:hAnsi="Arial"/>
                <w:sz w:val="18"/>
                <w:szCs w:val="18"/>
                <w:b w:val="1"/>
                <w:bCs w:val="1"/>
                <w:color w:val="auto"/>
                <w:w w:val="89"/>
              </w:rPr>
              <w:t>77075-1180</w:t>
            </w:r>
          </w:p>
        </w:tc>
      </w:tr>
      <w:tr>
        <w:trPr>
          <w:trHeight w:val="186"/>
        </w:trPr>
        <w:tc>
          <w:tcPr>
            <w:tcW w:w="20" w:type="dxa"/>
            <w:vAlign w:val="bottom"/>
          </w:tcPr>
          <w:p>
            <w:pPr>
              <w:spacing w:after="0"/>
              <w:rPr>
                <w:sz w:val="16"/>
                <w:szCs w:val="16"/>
                <w:color w:val="auto"/>
              </w:rPr>
            </w:pPr>
          </w:p>
        </w:tc>
        <w:tc>
          <w:tcPr>
            <w:tcW w:w="47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78"/>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20" w:type="dxa"/>
            <w:vAlign w:val="bottom"/>
          </w:tcPr>
          <w:p>
            <w:pPr>
              <w:spacing w:after="0"/>
              <w:rPr>
                <w:sz w:val="24"/>
                <w:szCs w:val="24"/>
                <w:color w:val="auto"/>
              </w:rPr>
            </w:pPr>
          </w:p>
        </w:tc>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(713) 944-6900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r>
      <w:tr>
        <w:trPr>
          <w:trHeight w:val="331"/>
        </w:trPr>
        <w:tc>
          <w:tcPr>
            <w:tcW w:w="47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3"/>
          </w:tcPr>
          <w:p>
            <w:pPr>
              <w:jc w:val="center"/>
              <w:ind w:right="820"/>
              <w:spacing w:after="0"/>
              <w:rPr>
                <w:sz w:val="20"/>
                <w:szCs w:val="20"/>
                <w:color w:val="auto"/>
              </w:rPr>
            </w:pPr>
            <w:r>
              <w:rPr>
                <w:rFonts w:ascii="Arial" w:cs="Arial" w:eastAsia="Arial" w:hAnsi="Arial"/>
                <w:sz w:val="18"/>
                <w:szCs w:val="18"/>
                <w:color w:val="auto"/>
                <w:w w:val="93"/>
              </w:rPr>
              <w:t>Trading Symbol</w:t>
            </w:r>
          </w:p>
        </w:tc>
        <w:tc>
          <w:tcPr>
            <w:tcW w:w="3960" w:type="dxa"/>
            <w:vAlign w:val="bottom"/>
          </w:tcPr>
          <w:p>
            <w:pPr>
              <w:jc w:val="center"/>
              <w:ind w:right="418"/>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jc w:val="center"/>
              <w:ind w:right="418"/>
              <w:spacing w:after="0"/>
              <w:rPr>
                <w:sz w:val="20"/>
                <w:szCs w:val="20"/>
                <w:color w:val="auto"/>
              </w:rPr>
            </w:pPr>
            <w:r>
              <w:rPr>
                <w:rFonts w:ascii="Arial" w:cs="Arial" w:eastAsia="Arial" w:hAnsi="Arial"/>
                <w:sz w:val="18"/>
                <w:szCs w:val="18"/>
                <w:color w:val="auto"/>
                <w:w w:val="96"/>
              </w:rPr>
              <w:t>NASDAQ Global Market</w:t>
            </w:r>
          </w:p>
        </w:tc>
      </w:tr>
    </w:tbl>
    <w:p>
      <w:pPr>
        <w:spacing w:after="0" w:line="14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572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At February 7, 2022, there were 11,763,843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102870</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89"/>
        </w:trPr>
        <w:tc>
          <w:tcPr>
            <w:tcW w:w="2440" w:type="dxa"/>
            <w:vAlign w:val="bottom"/>
            <w:tcBorders>
              <w:bottom w:val="single" w:sz="8" w:color="0000FF"/>
            </w:tcBorders>
            <w:gridSpan w:val="9"/>
          </w:tcPr>
          <w:p>
            <w:pPr>
              <w:spacing w:after="0" w:line="189"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 Financial Information</w:t>
              </w:r>
            </w:hyperlink>
          </w:p>
        </w:tc>
        <w:tc>
          <w:tcPr>
            <w:tcW w:w="8040" w:type="dxa"/>
            <w:vAlign w:val="bottom"/>
            <w:gridSpan w:val="11"/>
          </w:tcPr>
          <w:p>
            <w:pPr>
              <w:spacing w:after="0"/>
              <w:rPr>
                <w:sz w:val="16"/>
                <w:szCs w:val="16"/>
                <w:color w:val="auto"/>
              </w:rPr>
            </w:pPr>
          </w:p>
        </w:tc>
        <w:tc>
          <w:tcPr>
            <w:tcW w:w="720" w:type="dxa"/>
            <w:vAlign w:val="bottom"/>
          </w:tcPr>
          <w:p>
            <w:pPr>
              <w:jc w:val="right"/>
              <w:spacing w:after="0" w:line="189" w:lineRule="exact"/>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(Unaudited)</w:t>
              </w:r>
            </w:hyperlink>
          </w:p>
        </w:tc>
        <w:tc>
          <w:tcPr>
            <w:tcW w:w="6300" w:type="dxa"/>
            <w:vAlign w:val="bottom"/>
            <w:gridSpan w:val="8"/>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7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tcBorders>
              <w:bottom w:val="single" w:sz="8" w:color="0000FF"/>
            </w:tcBorders>
            <w:gridSpan w:val="16"/>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(Loss) (Unaudited)</w:t>
              </w:r>
            </w:hyperlink>
          </w:p>
        </w:tc>
        <w:tc>
          <w:tcPr>
            <w:tcW w:w="4140" w:type="dxa"/>
            <w:vAlign w:val="bottom"/>
            <w:gridSpan w:val="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(Unaudited)</w:t>
              </w:r>
            </w:hyperlink>
          </w:p>
        </w:tc>
        <w:tc>
          <w:tcPr>
            <w:tcW w:w="7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(Unaudited)</w:t>
              </w:r>
            </w:hyperlink>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Condensed Consolidated Financial Statements (Unaudited)</w:t>
              </w:r>
            </w:hyperlink>
          </w:p>
        </w:tc>
        <w:tc>
          <w:tcPr>
            <w:tcW w:w="5240" w:type="dxa"/>
            <w:vAlign w:val="bottom"/>
            <w:gridSpan w:val="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10"/>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Item 2. Management’s Discussion and Analysis of Financial Condition and Results of Operations</w:t>
              </w:r>
            </w:hyperlink>
          </w:p>
        </w:tc>
        <w:tc>
          <w:tcPr>
            <w:tcW w:w="3340" w:type="dxa"/>
            <w:vAlign w:val="bottom"/>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r>
      <w:tr>
        <w:trPr>
          <w:trHeight w:val="209"/>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4">
              <w:r>
                <w:rPr>
                  <w:rFonts w:ascii="Arial" w:cs="Arial" w:eastAsia="Arial" w:hAnsi="Arial"/>
                  <w:sz w:val="18"/>
                  <w:szCs w:val="18"/>
                  <w:color w:val="0000FF"/>
                  <w:w w:val="94"/>
                </w:rPr>
                <w:t>Item 3.</w:t>
              </w:r>
            </w:hyperlink>
          </w:p>
        </w:tc>
        <w:tc>
          <w:tcPr>
            <w:tcW w:w="438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5440" w:type="dxa"/>
            <w:vAlign w:val="bottom"/>
            <w:gridSpan w:val="5"/>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Item 4.</w:t>
              </w:r>
            </w:hyperlink>
          </w:p>
        </w:tc>
        <w:tc>
          <w:tcPr>
            <w:tcW w:w="1800" w:type="dxa"/>
            <w:vAlign w:val="bottom"/>
            <w:tcBorders>
              <w:bottom w:val="single" w:sz="8" w:color="0000FF"/>
            </w:tcBorders>
            <w:gridSpan w:val="7"/>
          </w:tcPr>
          <w:p>
            <w:pPr>
              <w:ind w:left="20"/>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Controls and Procedures</w:t>
              </w:r>
            </w:hyperlink>
          </w:p>
        </w:tc>
        <w:tc>
          <w:tcPr>
            <w:tcW w:w="8020" w:type="dxa"/>
            <w:vAlign w:val="bottom"/>
            <w:gridSpan w:val="10"/>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1"/>
        </w:trPr>
        <w:tc>
          <w:tcPr>
            <w:tcW w:w="10480" w:type="dxa"/>
            <w:vAlign w:val="bottom"/>
            <w:gridSpan w:val="20"/>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 Other Information</w:t>
              </w:r>
            </w:hyperlink>
          </w:p>
        </w:tc>
        <w:tc>
          <w:tcPr>
            <w:tcW w:w="7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r>
      <w:tr>
        <w:trPr>
          <w:trHeight w:val="210"/>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1.</w:t>
              </w:r>
            </w:hyperlink>
          </w:p>
        </w:tc>
        <w:tc>
          <w:tcPr>
            <w:tcW w:w="136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9"/>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 1A. Risk Factors</w:t>
              </w:r>
            </w:hyperlink>
          </w:p>
        </w:tc>
        <w:tc>
          <w:tcPr>
            <w:tcW w:w="8760" w:type="dxa"/>
            <w:vAlign w:val="bottom"/>
            <w:gridSpan w:val="14"/>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6.</w:t>
              </w:r>
            </w:hyperlink>
          </w:p>
        </w:tc>
        <w:tc>
          <w:tcPr>
            <w:tcW w:w="9820" w:type="dxa"/>
            <w:vAlign w:val="bottom"/>
            <w:gridSpan w:val="17"/>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7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9200" w:type="dxa"/>
            <w:vAlign w:val="bottom"/>
            <w:gridSpan w:val="15"/>
          </w:tcPr>
          <w:p>
            <w:pPr>
              <w:spacing w:after="0"/>
              <w:rPr>
                <w:sz w:val="18"/>
                <w:szCs w:val="18"/>
                <w:color w:val="auto"/>
              </w:rPr>
            </w:pPr>
          </w:p>
        </w:tc>
        <w:tc>
          <w:tcPr>
            <w:tcW w:w="7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3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16"/>
        </w:trPr>
        <w:tc>
          <w:tcPr>
            <w:tcW w:w="764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114,314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23,622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19,667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less allowance for credit losses of $411 and $333</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78,304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67,904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54,199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302,461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109,457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15,179</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49,396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42,433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Accrued product warranty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113,668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121,156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134,969</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 (Note F)</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Preferred stock, par value $0.01; 5,000,000 shares authorized; none issued</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Common stock, par value $0.01; 30,000,000 shares authorized; 12,569,861 and 12,497,691 shares issued,</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63,948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Treasury stock, 806,018 shares at cost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(20,356)</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295,579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301,223</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93,133</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6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(4,287)</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auto"/>
            </w:tcBorders>
          </w:tcPr>
          <w:p>
            <w:pPr>
              <w:jc w:val="right"/>
              <w:ind w:right="117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1175"/>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ind w:right="1193"/>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11,765</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per share</w:t>
            </w:r>
          </w:p>
        </w:tc>
        <w:tc>
          <w:tcPr>
            <w:tcW w:w="1380" w:type="dxa"/>
            <w:vAlign w:val="bottom"/>
            <w:shd w:val="clear" w:color="auto" w:fill="CCEEFF"/>
          </w:tcPr>
          <w:p>
            <w:pPr>
              <w:jc w:val="right"/>
              <w:ind w:right="117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left="340" w:right="244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8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December 31,</w:t>
            </w:r>
          </w:p>
        </w:tc>
        <w:tc>
          <w:tcPr>
            <w:tcW w:w="720" w:type="dxa"/>
            <w:vAlign w:val="bottom"/>
            <w:tcBorders>
              <w:bottom w:val="single" w:sz="8" w:color="auto"/>
            </w:tcBorders>
          </w:tcPr>
          <w:p>
            <w:pPr>
              <w:spacing w:after="0"/>
              <w:rPr>
                <w:sz w:val="16"/>
                <w:szCs w:val="16"/>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40" w:type="dxa"/>
            <w:vAlign w:val="bottom"/>
            <w:tcBorders>
              <w:bottom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2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2021</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12,498</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63,948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282,505</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(20,356)</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301,223</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(2,846)</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(3,269)</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214"/>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2021</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64,364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295,579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30,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12,422</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294,016</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(24,513)</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306,626</w:t>
            </w: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w w:val="93"/>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95"/>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(3,028)</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213"/>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31, 2020</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290,624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(24,999)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307,845</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891" w:right="1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6"/>
                <w:szCs w:val="16"/>
                <w:color w:val="auto"/>
              </w:rPr>
            </w:pPr>
          </w:p>
        </w:tc>
      </w:tr>
      <w:tr>
        <w:trPr>
          <w:trHeight w:val="209"/>
        </w:trPr>
        <w:tc>
          <w:tcPr>
            <w:tcW w:w="68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113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2,630</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Bad debt expense (recovery),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r>
      <w:tr>
        <w:trPr>
          <w:trHeight w:val="230"/>
        </w:trPr>
        <w:tc>
          <w:tcPr>
            <w:tcW w:w="6860" w:type="dxa"/>
            <w:vAlign w:val="bottom"/>
          </w:tcPr>
          <w:p>
            <w:pPr>
              <w:ind w:left="460"/>
              <w:spacing w:after="0"/>
              <w:rPr>
                <w:sz w:val="20"/>
                <w:szCs w:val="20"/>
                <w:color w:val="auto"/>
              </w:rPr>
            </w:pPr>
            <w:r>
              <w:rPr>
                <w:rFonts w:ascii="Arial" w:cs="Arial" w:eastAsia="Arial" w:hAnsi="Arial"/>
                <w:sz w:val="18"/>
                <w:szCs w:val="18"/>
                <w:color w:val="auto"/>
              </w:rPr>
              <w:t>Contract assets and liabilities,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(4,955)</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8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(7,387)</w:t>
            </w:r>
          </w:p>
        </w:tc>
      </w:tr>
      <w:tr>
        <w:trPr>
          <w:trHeight w:val="229"/>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r>
      <w:tr>
        <w:trPr>
          <w:trHeight w:val="230"/>
        </w:trPr>
        <w:tc>
          <w:tcPr>
            <w:tcW w:w="6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net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13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7,847</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23"/>
        </w:trPr>
        <w:tc>
          <w:tcPr>
            <w:tcW w:w="686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8"/>
                <w:szCs w:val="18"/>
                <w:color w:val="auto"/>
              </w:rPr>
              <w:t>Payments on industrial development revenue bonds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withheld in lieu of employee tax withholding</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Dividends paid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r>
      <w:tr>
        <w:trPr>
          <w:trHeight w:val="223"/>
        </w:trPr>
        <w:tc>
          <w:tcPr>
            <w:tcW w:w="6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(36,314)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(26,274)</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114,314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160,216</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Powell Industries, Inc. (we, us, our, Powell or the Company) is incorporated in the state of Delaware. Powell's predecessor companies were founded 75 years ago by William E. Powell in 1947. Our major subsidiaries, all of which are wholly owned, include: Powell Electrical Systems, Inc.; Powell (UK) Limited; Powell Canada Inc.; and Powell Industries International, B.V.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Oil and Gas Commodity Market Volatility on Powell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pandemic continues to impact global energy markets. This pandemic has negatively impacted demand, which in turn has resulted in considerable volatility across global oil and gas commodity markets.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consequences of a prolonged global economic decline could include, but are not limited to, a continued reduction in commercial and industrial activity. The Company cannot reasonably estimate the duration or severity of this pandemic,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2021, which was filed with the Securities and Exchange Commission (SEC) on December 8,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References to Fiscal 2022 and Fiscal 2021 used throughout this report shall mean our fiscal years ended September 30, 2022 and 2021,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December 31,</w:t>
            </w:r>
          </w:p>
        </w:tc>
        <w:tc>
          <w:tcPr>
            <w:tcW w:w="760" w:type="dxa"/>
            <w:vAlign w:val="bottom"/>
            <w:tcBorders>
              <w:bottom w:val="single" w:sz="8" w:color="auto"/>
            </w:tcBorders>
          </w:tcPr>
          <w:p>
            <w:pPr>
              <w:spacing w:after="0"/>
              <w:rPr>
                <w:sz w:val="16"/>
                <w:szCs w:val="16"/>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auto"/>
            </w:tcBorders>
          </w:tcPr>
          <w:p>
            <w:pPr>
              <w:jc w:val="right"/>
              <w:ind w:right="1237"/>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Weighted average basic shares</w:t>
            </w: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11,765</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11,674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1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Weighted average diluted shares</w:t>
            </w:r>
          </w:p>
        </w:tc>
        <w:tc>
          <w:tcPr>
            <w:tcW w:w="1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160" w:type="dxa"/>
            <w:vAlign w:val="bottom"/>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 per share:</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auto"/>
            </w:tcBorders>
          </w:tcPr>
          <w:p>
            <w:pPr>
              <w:jc w:val="right"/>
              <w:ind w:right="1237"/>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the three months ended December 31, 2021 and 2020, we incurred net losses and therefore all potential common shares were deemed to be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Detail of Selected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credit losses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9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 December 31,</w:t>
            </w:r>
          </w:p>
        </w:tc>
        <w:tc>
          <w:tcPr>
            <w:tcW w:w="640" w:type="dxa"/>
            <w:vAlign w:val="bottom"/>
            <w:tcBorders>
              <w:bottom w:val="single" w:sz="8" w:color="auto"/>
            </w:tcBorders>
          </w:tcPr>
          <w:p>
            <w:pPr>
              <w:spacing w:after="0"/>
              <w:rPr>
                <w:sz w:val="16"/>
                <w:szCs w:val="16"/>
                <w:color w:val="auto"/>
              </w:rPr>
            </w:pPr>
          </w:p>
        </w:tc>
      </w:tr>
      <w:tr>
        <w:trPr>
          <w:trHeight w:val="210"/>
        </w:trPr>
        <w:tc>
          <w:tcPr>
            <w:tcW w:w="67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8"/>
                <w:szCs w:val="18"/>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1540" w:type="dxa"/>
            <w:vAlign w:val="bottom"/>
            <w:shd w:val="clear" w:color="auto" w:fill="CFF0FC"/>
          </w:tcPr>
          <w:p>
            <w:pPr>
              <w:jc w:val="right"/>
              <w:ind w:right="13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Bad debt expense (recovery), net</w:t>
            </w:r>
          </w:p>
        </w:tc>
        <w:tc>
          <w:tcPr>
            <w:tcW w:w="1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Uncollectible accounts written off, net of recoveries</w:t>
            </w:r>
          </w:p>
        </w:tc>
        <w:tc>
          <w:tcPr>
            <w:tcW w:w="1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1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1540" w:type="dxa"/>
            <w:vAlign w:val="bottom"/>
            <w:tcBorders>
              <w:bottom w:val="single" w:sz="8" w:color="auto"/>
            </w:tcBorders>
            <w:shd w:val="clear" w:color="auto" w:fill="CFF0FC"/>
          </w:tcPr>
          <w:p>
            <w:pPr>
              <w:jc w:val="right"/>
              <w:ind w:right="13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13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summarized below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 parts and sub-assemblies, net</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28,688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Work-in-progress</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inventories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36,157</w:t>
            </w: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29,835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Accrued Product Warranty</w:t>
            </w: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Arial" w:cs="Arial" w:eastAsia="Arial" w:hAnsi="Arial"/>
                <w:sz w:val="18"/>
                <w:szCs w:val="18"/>
                <w:color w:val="auto"/>
                <w:w w:val="92"/>
              </w:rPr>
              <w:t>Activity in our product warranty accrual consisted of the following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2,531</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Increase to warranty expense</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 for warranty charges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2,443</w:t>
            </w: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13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of total revenues for the three months ended December 31, 2021 and 92% of total revenues for the three months ended December 31, 2020.</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total revenues for the three months ended December 31, 2021 and 8% of total revenues for the three months ended December 31, 2020.</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December 31, 2021, we had backlog of $416.0 million, of which approximately $301.7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December 31, 2021 and 2020, our operating results were positively impacted by $2.8 million and $5.5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 The decrease from the prior year is primarily due to the increase in raw material commodity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Condensed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December 31, 2021 and September 30, 2021 are summarized below (in thousands):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90"/>
              </w:rPr>
              <w:t>67,904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90"/>
              </w:rPr>
              <w:t>54,199</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2"/>
              </w:rPr>
              <w:t>(49,396)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2"/>
              </w:rPr>
              <w:t>(42,433)</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90"/>
              </w:rPr>
              <w:t>18,508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87"/>
              </w:rPr>
              <w:t>11,766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net contract asset at December 31, 2021 from September 30, 2021 was primarily due to the timing of contract billing milestones and new orders as well as cash used on our large industrial project awarded in Fiscal 2020. To determine the amount of revenue recognized during the period from contract liabilities, we first allocate revenue to the individual contract liability balance outstanding at the beginning of the period until the revenue exceeds that balance. During the three months ended December 31, 2021, we recognized revenue of approximately $23.3 million that was related to contract liabilities outstanding at September 30, 2021.</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December 31, 2021 and September 30, 2021, accounts receivable included retention amounts of $9.3 million and $9.6 million, respectively. Of the retained amount at December 31, 2021, $6.8 million is expected to be collected in the next twelve months and is recorded in accounts receivable. The remaining $2.5 million is recorded in other assets.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months ended December 31,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Canada</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 Central and South America</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revenues by geographic destination</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6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gas (excludes petrochemical)</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Petrochemical</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utility</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Traction power</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revenues by market sector</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E. Long-Term Debt</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67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w w:val="93"/>
              </w:rPr>
              <w:t>December 31, 2021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9"/>
        </w:trPr>
        <w:tc>
          <w:tcPr>
            <w:tcW w:w="6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development revenue bonds</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long-term debt</w:t>
            </w:r>
          </w:p>
        </w:tc>
        <w:tc>
          <w:tcPr>
            <w:tcW w:w="7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credit agreement with Bank of America, N.A. (as amended, the "U.S. Revolver"), which is a $75.0 million revolving credit facility that is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December 31, 2021, there were no amounts borrowed under the U.S. Revolver and letters of credit outstanding were $31.2 million. There was $43.8 million available for the issuance of letters of credit and borrowings under the U.S. Revolver as of December 31, 2021.</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December 31, 2021, we were in compliance with all of the financial covenants of the U.S. Revolver.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296" w:lineRule="auto"/>
        <w:rPr>
          <w:sz w:val="20"/>
          <w:szCs w:val="20"/>
          <w:color w:val="auto"/>
        </w:rPr>
      </w:pPr>
      <w:r>
        <w:rPr>
          <w:rFonts w:ascii="Arial" w:cs="Arial" w:eastAsia="Arial" w:hAnsi="Arial"/>
          <w:sz w:val="16"/>
          <w:szCs w:val="16"/>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successor rate plus 1.00%. The applicable rate is generally a range from (0.25)% to 1.75% depending on the type of loan and the Company's consolidated net leverage ratio. On December 31, 2021, the Company entered into a LIBOR Transition Amendment with Bank of America that states that LIBOR will be replaced with a successor rate in accordance with the U.S. Revolver.</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$31.2 million as of December 31, 2021. We also had surety bonds totaling $144.4 million that were outstanding, with additional bonding capacity of $455.6 million available, at December 31, 2021. At present, we have strong surety relationships; however, a change in market conditions or the sureties' assessment of our financial position could cause the sureties to require cash collateralization for undischarged liabilities under the bonds.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 $9.5 million facility agreement (Facility Agreement) between Powell (UK) Limited and a large international bank that provides Powell (UK) Limited the ability to enter into bank guarantees as well as forward exchange contracts and currency options. At December 31, 2021, we had outstanding guarantees totaling $3.3 million and amounts available under this Facility Agreement were $6.2 million. The Facility Agreement provides for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2021, we were in compliance with all of the financial covenants of the Facility Agreement. In accordance with the terms of the Facility Agreement, the total amount available was reduced from $9.5 million to $6.8 million in January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our Annual Report on Form 10-K for the fiscal year ended September 30, 2021 for a full description of our existing stock-based compensation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December 31, 2021, there were 235,502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Total RSU activity (number of shares) for the three months ended December 31, 2021 is summarized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6"/>
              </w:rPr>
              <w:t>Grant Value</w:t>
            </w:r>
          </w:p>
        </w:tc>
      </w:tr>
      <w:tr>
        <w:trPr>
          <w:trHeight w:val="188"/>
        </w:trPr>
        <w:tc>
          <w:tcPr>
            <w:tcW w:w="826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24"/>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107,350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24.79</w:t>
            </w:r>
          </w:p>
        </w:tc>
      </w:tr>
      <w:tr>
        <w:trPr>
          <w:trHeight w:val="229"/>
        </w:trPr>
        <w:tc>
          <w:tcPr>
            <w:tcW w:w="8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235,502</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December 31, 2021 and 2020, we recorded compensation expense of $0.9 million and $0.8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During the three months ended December 31, 2021 and 2020, there were no restricted shares granted. During both the three months ended December 31, 2021 and 2020, we recorded compensation expense of $0.1 million related to restricted stock.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December 31, 2021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December 31, 2021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7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77,905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9,675</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at September 30, 2021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3"/>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13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4"/>
              </w:rPr>
              <w:t>Observable</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114,314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114,314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 and 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 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consist primarily of office and manufacturing space and construction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months ended December 31, 2021 and 2020, respectively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Three months ended December 31,</w:t>
            </w: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Cost</w:t>
            </w:r>
          </w:p>
        </w:tc>
        <w:tc>
          <w:tcPr>
            <w:tcW w:w="540" w:type="dxa"/>
            <w:vAlign w:val="bottom"/>
          </w:tcPr>
          <w:p>
            <w:pPr>
              <w:spacing w:after="0"/>
              <w:rPr>
                <w:sz w:val="18"/>
                <w:szCs w:val="18"/>
                <w:color w:val="auto"/>
              </w:rPr>
            </w:pPr>
          </w:p>
        </w:tc>
        <w:tc>
          <w:tcPr>
            <w:tcW w:w="1660" w:type="dxa"/>
            <w:vAlign w:val="bottom"/>
          </w:tcPr>
          <w:p>
            <w:pPr>
              <w:jc w:val="right"/>
              <w:ind w:right="8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3"/>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center"/>
              <w:ind w:left="1155"/>
              <w:spacing w:after="0"/>
              <w:rPr>
                <w:sz w:val="20"/>
                <w:szCs w:val="20"/>
                <w:color w:val="auto"/>
              </w:rPr>
            </w:pPr>
            <w:r>
              <w:rPr>
                <w:rFonts w:ascii="Arial" w:cs="Arial" w:eastAsia="Arial" w:hAnsi="Arial"/>
                <w:sz w:val="18"/>
                <w:szCs w:val="18"/>
                <w:color w:val="auto"/>
                <w:w w:val="86"/>
              </w:rPr>
              <w:t>571</w:t>
            </w: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center"/>
              <w:ind w:left="1153"/>
              <w:spacing w:after="0"/>
              <w:rPr>
                <w:sz w:val="20"/>
                <w:szCs w:val="20"/>
                <w:color w:val="auto"/>
              </w:rPr>
            </w:pPr>
            <w:r>
              <w:rPr>
                <w:rFonts w:ascii="Arial" w:cs="Arial" w:eastAsia="Arial" w:hAnsi="Arial"/>
                <w:sz w:val="18"/>
                <w:szCs w:val="18"/>
                <w:color w:val="auto"/>
                <w:w w:val="86"/>
              </w:rPr>
              <w:t>608</w:t>
            </w:r>
          </w:p>
        </w:tc>
      </w:tr>
      <w:tr>
        <w:trPr>
          <w:trHeight w:val="230"/>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Less: sublease income</w:t>
            </w:r>
          </w:p>
        </w:tc>
        <w:tc>
          <w:tcPr>
            <w:tcW w:w="540" w:type="dxa"/>
            <w:vAlign w:val="bottom"/>
          </w:tcPr>
          <w:p>
            <w:pPr>
              <w:spacing w:after="0"/>
              <w:rPr>
                <w:sz w:val="19"/>
                <w:szCs w:val="19"/>
                <w:color w:val="auto"/>
              </w:rPr>
            </w:pPr>
          </w:p>
        </w:tc>
        <w:tc>
          <w:tcPr>
            <w:tcW w:w="1660" w:type="dxa"/>
            <w:vAlign w:val="bottom"/>
          </w:tcPr>
          <w:p>
            <w:pPr>
              <w:jc w:val="center"/>
              <w:ind w:left="1135"/>
              <w:spacing w:after="0"/>
              <w:rPr>
                <w:sz w:val="20"/>
                <w:szCs w:val="20"/>
                <w:color w:val="auto"/>
              </w:rPr>
            </w:pPr>
            <w:r>
              <w:rPr>
                <w:rFonts w:ascii="Arial" w:cs="Arial" w:eastAsia="Arial" w:hAnsi="Arial"/>
                <w:sz w:val="18"/>
                <w:szCs w:val="18"/>
                <w:color w:val="auto"/>
                <w:w w:val="95"/>
              </w:rPr>
              <w:t>(174)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center"/>
              <w:ind w:left="1133"/>
              <w:spacing w:after="0"/>
              <w:rPr>
                <w:sz w:val="20"/>
                <w:szCs w:val="20"/>
                <w:color w:val="auto"/>
              </w:rPr>
            </w:pPr>
            <w:r>
              <w:rPr>
                <w:rFonts w:ascii="Arial" w:cs="Arial" w:eastAsia="Arial" w:hAnsi="Arial"/>
                <w:sz w:val="18"/>
                <w:szCs w:val="18"/>
                <w:color w:val="auto"/>
                <w:w w:val="95"/>
              </w:rPr>
              <w:t>(180)</w:t>
            </w:r>
          </w:p>
        </w:tc>
      </w:tr>
      <w:tr>
        <w:trPr>
          <w:trHeight w:val="229"/>
        </w:trPr>
        <w:tc>
          <w:tcPr>
            <w:tcW w:w="6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55"/>
              <w:spacing w:after="0"/>
              <w:rPr>
                <w:sz w:val="20"/>
                <w:szCs w:val="20"/>
                <w:color w:val="auto"/>
              </w:rPr>
            </w:pPr>
            <w:r>
              <w:rPr>
                <w:rFonts w:ascii="Arial" w:cs="Arial" w:eastAsia="Arial" w:hAnsi="Arial"/>
                <w:sz w:val="18"/>
                <w:szCs w:val="18"/>
                <w:color w:val="auto"/>
                <w:w w:val="86"/>
              </w:rPr>
              <w:t>141</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53"/>
              <w:spacing w:after="0"/>
              <w:rPr>
                <w:sz w:val="20"/>
                <w:szCs w:val="20"/>
                <w:color w:val="auto"/>
              </w:rPr>
            </w:pPr>
            <w:r>
              <w:rPr>
                <w:rFonts w:ascii="Arial" w:cs="Arial" w:eastAsia="Arial" w:hAnsi="Arial"/>
                <w:sz w:val="18"/>
                <w:szCs w:val="18"/>
                <w:color w:val="auto"/>
                <w:w w:val="86"/>
              </w:rPr>
              <w:t>108</w:t>
            </w:r>
          </w:p>
        </w:tc>
      </w:tr>
      <w:tr>
        <w:trPr>
          <w:trHeight w:val="230"/>
        </w:trPr>
        <w:tc>
          <w:tcPr>
            <w:tcW w:w="66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5"/>
              <w:spacing w:after="0"/>
              <w:rPr>
                <w:sz w:val="20"/>
                <w:szCs w:val="20"/>
                <w:color w:val="auto"/>
              </w:rPr>
            </w:pPr>
            <w:r>
              <w:rPr>
                <w:rFonts w:ascii="Arial" w:cs="Arial" w:eastAsia="Arial" w:hAnsi="Arial"/>
                <w:sz w:val="18"/>
                <w:szCs w:val="18"/>
                <w:color w:val="auto"/>
                <w:w w:val="86"/>
              </w:rPr>
              <w:t>273</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3"/>
              <w:spacing w:after="0"/>
              <w:rPr>
                <w:sz w:val="20"/>
                <w:szCs w:val="20"/>
                <w:color w:val="auto"/>
              </w:rPr>
            </w:pPr>
            <w:r>
              <w:rPr>
                <w:rFonts w:ascii="Arial" w:cs="Arial" w:eastAsia="Arial" w:hAnsi="Arial"/>
                <w:sz w:val="18"/>
                <w:szCs w:val="18"/>
                <w:color w:val="auto"/>
                <w:w w:val="86"/>
              </w:rPr>
              <w:t>169</w:t>
            </w:r>
          </w:p>
        </w:tc>
      </w:tr>
      <w:tr>
        <w:trPr>
          <w:trHeight w:val="24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center"/>
              <w:ind w:left="1155"/>
              <w:spacing w:after="0"/>
              <w:rPr>
                <w:sz w:val="20"/>
                <w:szCs w:val="20"/>
                <w:color w:val="auto"/>
              </w:rPr>
            </w:pPr>
            <w:r>
              <w:rPr>
                <w:rFonts w:ascii="Arial" w:cs="Arial" w:eastAsia="Arial" w:hAnsi="Arial"/>
                <w:sz w:val="18"/>
                <w:szCs w:val="18"/>
                <w:color w:val="auto"/>
                <w:w w:val="86"/>
              </w:rPr>
              <w:t>811</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center"/>
              <w:ind w:left="1153"/>
              <w:spacing w:after="0"/>
              <w:rPr>
                <w:sz w:val="20"/>
                <w:szCs w:val="20"/>
                <w:color w:val="auto"/>
              </w:rPr>
            </w:pPr>
            <w:r>
              <w:rPr>
                <w:rFonts w:ascii="Arial" w:cs="Arial" w:eastAsia="Arial" w:hAnsi="Arial"/>
                <w:sz w:val="18"/>
                <w:szCs w:val="18"/>
                <w:color w:val="auto"/>
                <w:w w:val="86"/>
              </w:rPr>
              <w:t>705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Variable lease cost represents common area maintenance charges related to our Canadian office space lease.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Short-term lease cost includes leases and rentals with initial terms of one year or less.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As of December 31, 2021 and September 30, 2021, our operating lease assets have been reduced by a lease accrual of $0.3 million and $0.4 million, respectively, related to certain unused facility leases in Canada. The following table provides a summary of the operating lease assets and operating lease liabilities included in our Condensed Consolidated Balance Sheets as of December 31, 2021 and September 30, 2021, respectively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December 31, 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2021</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Operating lease assets,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3,526</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84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the maturities of our operating lease liabilities as of December 31, 2021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discount rate as of December 31, 2021 was 3.87%. The weighted average remaining lease term was 2.0 years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Three months ended December 31,</w:t>
            </w:r>
          </w:p>
        </w:tc>
        <w:tc>
          <w:tcPr>
            <w:tcW w:w="1280" w:type="dxa"/>
            <w:vAlign w:val="bottom"/>
            <w:tcBorders>
              <w:bottom w:val="single" w:sz="8" w:color="auto"/>
            </w:tcBorders>
          </w:tcPr>
          <w:p>
            <w:pPr>
              <w:spacing w:after="0"/>
              <w:rPr>
                <w:sz w:val="16"/>
                <w:szCs w:val="16"/>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w w:val="83"/>
              </w:rPr>
              <w:t>2020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(4,287)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(259)</w:t>
            </w:r>
          </w:p>
        </w:tc>
      </w:tr>
      <w:tr>
        <w:trPr>
          <w:trHeight w:val="216"/>
        </w:trPr>
        <w:tc>
          <w:tcPr>
            <w:tcW w:w="6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105</w:t>
            </w:r>
          </w:p>
        </w:tc>
      </w:tr>
      <w:tr>
        <w:trPr>
          <w:trHeight w:val="162"/>
        </w:trPr>
        <w:tc>
          <w:tcPr>
            <w:tcW w:w="65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(2,846)</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(364)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income tax benefit reflects an effective tax rate on pre-tax loss of 34% for the first quarter of Fiscal 2022 compared to an income tax provision that reflects a negative 41% in the first quarter of Fiscal 2021. For the three months ended December 31, 2021, the estimated Research and Development Tax Credit (R&amp;D Tax Credit) favorably impacted the effective tax rate. The effective tax rate for the first quarter of Fiscal 2022 and Fiscal 2021 were negatively impacted by the losses recognized in various foreign jurisdictions that were reserved with a valuation allowance as well as discrete items in the amount of $0.1 million primarily related to the vesting of restricted stock units. These unfavorable items offset the benefits related to the estimated R&amp;D Tax Credit and the projected utilization of net operating loss carryforwards in Canada that were fully reserved with a valuation allowance for the three months ended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2022, our Board of Directors declared a quarterly cash dividend on our common stock in the amount of $0.26 per share. The dividend is payable on March 16, 2022 to shareholders of record at the close of business on February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may make existing products and production methods obsolete.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20" w:hanging="329"/>
        <w:spacing w:after="0" w:line="277" w:lineRule="auto"/>
        <w:tabs>
          <w:tab w:leader="none" w:pos="615"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acts of war and terrorism, among others, could disrupt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backlog is subject to unexpected adjustments, cancellations and scope reductions and, therefore, may not be a reliable indicator of our future earnings.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620" w:hanging="329"/>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fixed-price contracts which subjects us to potential credit risks.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portion of our revenues may be concentrated among a small number of customers.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20" w:hanging="329"/>
        <w:spacing w:after="0" w:line="27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and regulations, including those regarding climate change, could adversely impact our financial results.</w:t>
      </w:r>
    </w:p>
    <w:p>
      <w:pPr>
        <w:spacing w:after="0" w:line="62" w:lineRule="exact"/>
        <w:rPr>
          <w:rFonts w:ascii="Arial" w:cs="Arial" w:eastAsia="Arial" w:hAnsi="Arial"/>
          <w:sz w:val="18"/>
          <w:szCs w:val="18"/>
          <w:color w:val="auto"/>
        </w:rPr>
      </w:pPr>
    </w:p>
    <w:p>
      <w:pPr>
        <w:ind w:left="620" w:right="20" w:hanging="329"/>
        <w:spacing w:after="0" w:line="27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tariffs and other economic proposals could adversely impact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b w:val="1"/>
          <w:bCs w:val="1"/>
          <w:i w:val="1"/>
          <w:iCs w:val="1"/>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2021.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2021, which was filed with the Securities and Exchange Commission (SEC) on December 8, 2021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 Revenues and costs are primarily related to custom engineered-to-order equipment and systems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are accounted for under percentage-of-completion accounting, which precludes us from providing detailed price and volume information. Our backlog includes various projects that typically take a number of months to produce.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We began to experience reduced commercial activity in Fiscal 2020 driven in large part by the uncertainties across our industrial end markets in the U.S. resulting from the COVID-19 pandemic. Considering the long cycle nature of our business, these cyclical conditions may persist throughout Fiscal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continues to impact global energy markets. This pandemic has negatively impacted demand, which in turn has resulted in considerable volatility across global oil and gas commodity markets. Throughout the pandemic, the demand for our products and services as well as our operations have been negatively impacted, resulting from the associated reduction in oil and gas demand and volatility in commodity prices noted above.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our key suppliers who have been impacted by this pandemic to ensure that we are able to meet our customer commitments.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lower demand across select end markets, we have taken and will continue to take various actions to reduce costs. During Fiscal 2020, we reduced our global workforce and our capital and discretionary spending in response to business conditions. We continued to operate at these lower thresholds throughout Fiscal 2021 and the first quarter of Fiscal 2022 and will continue to consistently monitor the macro-economic conditions throughout the remainder of Fiscal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December 31, 2021 Compared to the Quarter Ended December 31, 2020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remained flat at $106.6 million in the first quarter of Fiscal 2022. Revenues continue to be negatively impacted due to project delays and cancellations of potential projects associated with the global economic impact resulting from the COVID-19 pandemic and associated reduction in demand across our industrial end markets. Domestic revenues increased by 2%, or $1.6 million, to $82.1 million in the first quarter of Fiscal 2022. Included in our domestic revenues in the oil and gas markets is our large domestic industrial project awarded in Fiscal 2020, which accounted for approximately 19% of our consolidated revenues for the first quarter of Fiscal 2022 compared to 13% in the same period of the prior year. International revenues decreased by 6.0%, or $1.6 million, to $24.4 million in the first quarter of Fiscal 2022. Our international revenues include both revenues generated from our international facilities as well as revenues from export projects generated at our domestic facilities.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our core oil and gas markets (excluding petrochemical) increased by 7%, or $3.0 million, to $43.0 million in the first quarter of Fiscal 2022, while petrochemical revenue increased by 88%, or $8.1 million, to $17.2 million in the first quarter of Fiscal 2022, primarily due to project mix. Revenue from our utility markets decreased by 24%, or $6.6 million, to $21.5 million, and traction market revenue decreased by 15%, or $2.0 million, to $11.4 million in the first quarter of Fiscal 2022. Revenue from all other markets combined decreased by $2.4 million to $13.4 million in the first quarter of Fiscal 2022.</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profit decreased by 26%, or $4.8 million, to $13.4 million for the first quarter of Fiscal 2022. Gross profit as a percentage of revenues decreased to 13% in the first quarter of Fiscal 2022, compared to 17% in the first quarter of Fiscal 2021. The decline in gross profit was driven predominately by higher global commodity costs, and to a lesser extent, a lower volume of favorable project close-outs in the first quarter of Fiscal 2022. Gross profit may continue to be negatively impacted by higher commodity costs to the extent we are not able to pass these increases to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by 6%, or $1.0 million, to $15.9 million in the first quarter of Fiscal 2022, primarily due to decreased variable incentive compensation. Selling, general and administrative expenses as a percentage of revenues decreased to 15% during the first quarter of Fiscal 2022 compared to 16% during the first quarter of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Benefit/Provision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an income tax benefit of $1.4 million in the first quarter of Fiscal 2022, compared to an income tax provision of $0.1 million in the first quarter of Fiscal 2021. The effective tax rate for the first quarter of Fiscal 2022 was 34%, compared to an effective tax rate of negative 41% in the first quarter of Fiscal 2021. For the three months ended December 31, 2021, the effective tax rate was favorably impacted by the estimated Research and Development Tax Credit (R&amp;D Tax Credit), while losses recognized in various foreign jurisdictions that were reserved with a valuation allowance and discrete items primarily related to the vesting of restricted stock units negatively impacted the effective tax rate for each of the three months ended</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December 31, 2021 and December 31, 2020. These unfavorable items offset the benefits related to the estimated R&amp;D Tax Credit and the projected utilization of net operating loss carryforwards in Canada that were fully reserved with a valuation allowance in the first quarter of Fiscal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Fiscal 2022, we recorded a net loss of $2.8 million, or $0.24 per diluted share, compared to a net loss of $0.4 million, or $0.03 per diluted share, in the first quarter of Fiscal 2021. This increase in net loss is due to a decline in gross profit as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order backlog at December 31, 2021 was $416.0 million, a slight increase from $414.9 million at September 30, 2021 and a decrease of 11% from $464.9 million at December 31, 2020. Bookings, net of cancellations and scope reductions, increased by 18% in the first quarter of Fiscal 2022 to $107.7 million, compared to $91.1 million in the first quarter of Fiscal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Recently we have seen increased global demand for cleaner-burning fuels; however, the uncertainty in oil prices and the global economic impacts from COVID-19 have had, and may continue to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 to cover our fixed costs. We experienced lower commercial activity in Fiscal 2020 and Fiscal 2021 driven in large part from the uncertainty resulting from the COVID-19 pandemic, as discussed in "Overview" above. Considering the long cycle nature of our business, we anticipate these cyclical conditions may persist throughout Fiscal 2022. We will continue to remain focused on the variables that impact our markets as well as our internal cost management and supply chain challenges. We will also continue to adjust to the global conditions in order to maintain competitive cost and technological advantages in the markets that we serve.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consequences of a prolonged economic decline could include, but are not limited to, a continued reduction in commercial and industrial activity. The Company cannot reasonably estimate the duration or severity of this pandemic,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current assets exceeded current liabilities by 2.6 times.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cash equivalents and short-term investments decreased to $101.5 million at December 31, 2021, compared to $134.0 million at September 30, 2021. This decrease in cash was primarily driven by the timing of contract billing milestones related to our large industrial project awarded in Fiscal 2020.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 credit agreement with Bank of America, N.A. (as amended, the "U.S. Revolver") which is a $75.0 million revolving credit facility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 2021, our industrial development revenue bonds matured and as a result we had no long-term debt at December 31, 2021. As of December 31, 2021, there were no amounts borrowed under the U.S. Revolver, and letters of credit outstanding were $31.2 million. As of December 31, 2021, $43.8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Approximately $28.6 million of our cash, cash equivalents and short-term investments at December 31, 2021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activities used net cash of $27.8 million during the three months ended December 31, 2021 and $25.2 million during the same period in Fiscal 2021. Cash flow from operations is primarily influenced by the timing of milestone payments from our customers, project volume and the payment terms with our suppliers. This decrease in operating cash flow was primarily due to the timing of contract billing milestones and an increase in inventory.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Investing activities used $4.4 million during the three months ended December 31, 2021 compared to $3.0 million provided during the same period in Fiscal 2021. The decrease in cash provided by investing activities in the first three months of Fiscal 2022 was primarily due to short-term investment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financing activities was $4.1 million during each of the three months ended December 31, 2021 and 2020, which primarily consisted of approximately $3.0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fiscal year ended September 30, 2021, which was filed with the SEC on December 8,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both"/>
        <w:spacing w:after="0" w:line="301" w:lineRule="auto"/>
        <w:rPr>
          <w:sz w:val="20"/>
          <w:szCs w:val="20"/>
          <w:color w:val="auto"/>
        </w:rPr>
      </w:pPr>
      <w:r>
        <w:rPr>
          <w:rFonts w:ascii="Arial" w:cs="Arial" w:eastAsia="Arial" w:hAnsi="Arial"/>
          <w:sz w:val="16"/>
          <w:szCs w:val="16"/>
          <w:color w:val="auto"/>
        </w:rPr>
        <w:t>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operations that expose us to foreign currency exchange rate risk in the British Pound Sterling, the Canadian Dollar and to a lesser extent the Mexican Peso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three months ended December 31, 2021, our realized foreign exchange loss was less than $0.1 million and is included in selling, general and administrative expenses in the Condensed Consolidated Statements of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$20.3 million as of December 31, 2021, a decrease of $0.1 million compared to September 30, 2021. This decrease in comprehensive loss was primarily a result of fluctuations in the currency exchange rates for the Canadian Dollar and British Pound Sterling as we remeasured the foreign operations of those divisions.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6" w:name="page27"/>
    <w:bookmarkEnd w:id="26"/>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fiscal year ended September 30, 2021, which was filed with the SEC on December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83"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1" w:lineRule="exact"/>
        <w:rPr>
          <w:sz w:val="20"/>
          <w:szCs w:val="20"/>
          <w:color w:val="auto"/>
        </w:rPr>
      </w:pPr>
    </w:p>
    <w:p>
      <w:pPr>
        <w:ind w:left="900"/>
        <w:spacing w:after="0"/>
        <w:tabs>
          <w:tab w:leader="none" w:pos="1320" w:val="left"/>
          <w:tab w:leader="none" w:pos="166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43">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Arial" w:cs="Arial" w:eastAsia="Arial" w:hAnsi="Arial"/>
          <w:sz w:val="18"/>
          <w:szCs w:val="18"/>
          <w:color w:val="0000FF"/>
        </w:rPr>
      </w:pPr>
      <w:hyperlink r:id="rId43">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1340" w:hanging="773"/>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45">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incorporated herein by reference).</w:t>
        </w:r>
      </w:hyperlink>
    </w:p>
    <w:p>
      <w:pPr>
        <w:spacing w:after="0" w:line="146" w:lineRule="exact"/>
        <w:rPr>
          <w:sz w:val="20"/>
          <w:szCs w:val="20"/>
          <w:color w:val="auto"/>
        </w:rPr>
      </w:pPr>
    </w:p>
    <w:p>
      <w:pPr>
        <w:ind w:left="90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3.3</w:t>
        <w:tab/>
        <w:t>—</w:t>
      </w:r>
      <w:r>
        <w:rPr>
          <w:sz w:val="20"/>
          <w:szCs w:val="20"/>
          <w:color w:val="auto"/>
        </w:rPr>
        <w:tab/>
      </w:r>
      <w:hyperlink r:id="rId46">
        <w:r>
          <w:rPr>
            <w:rFonts w:ascii="Arial" w:cs="Arial" w:eastAsia="Arial" w:hAnsi="Arial"/>
            <w:sz w:val="16"/>
            <w:szCs w:val="16"/>
            <w:u w:val="single" w:color="auto"/>
            <w:color w:val="0000FF"/>
          </w:rPr>
          <w:t>Amendment No. 1 to Amended and Restated Bylaws of Powell Industries, Inc. (filed as Exhibit 3.1 to our Form 8-K filed February</w:t>
        </w:r>
      </w:hyperlink>
    </w:p>
    <w:p>
      <w:pPr>
        <w:ind w:left="1680"/>
        <w:spacing w:after="0"/>
        <w:rPr>
          <w:rFonts w:ascii="Arial" w:cs="Arial" w:eastAsia="Arial" w:hAnsi="Arial"/>
          <w:sz w:val="18"/>
          <w:szCs w:val="18"/>
          <w:color w:val="0000FF"/>
        </w:rPr>
      </w:pPr>
      <w:hyperlink r:id="rId46">
        <w:r>
          <w:rPr>
            <w:rFonts w:ascii="Arial" w:cs="Arial" w:eastAsia="Arial" w:hAnsi="Arial"/>
            <w:sz w:val="18"/>
            <w:szCs w:val="18"/>
            <w:u w:val="single" w:color="auto"/>
            <w:color w:val="0000FF"/>
          </w:rPr>
          <w:t>26, 2021,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1680" w:right="200" w:hanging="899"/>
        <w:spacing w:after="0" w:line="289" w:lineRule="auto"/>
        <w:tabs>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0">
        <w:r>
          <w:rPr>
            <w:rFonts w:ascii="Arial" w:cs="Arial" w:eastAsia="Arial" w:hAnsi="Arial"/>
            <w:sz w:val="16"/>
            <w:szCs w:val="16"/>
            <w:u w:val="single" w:color="auto"/>
            <w:color w:val="0000FF"/>
          </w:rPr>
          <w:t>LIBOR Transition Amendment, dated December 31, 2021, by and between the Company, as Borrower, certain subsidiaries of the</w:t>
        </w:r>
      </w:hyperlink>
      <w:r>
        <w:rPr>
          <w:rFonts w:ascii="Arial" w:cs="Arial" w:eastAsia="Arial" w:hAnsi="Arial"/>
          <w:sz w:val="16"/>
          <w:szCs w:val="16"/>
          <w:u w:val="single" w:color="auto"/>
          <w:color w:val="0000FF"/>
        </w:rPr>
        <w:t xml:space="preserve"> </w:t>
      </w:r>
      <w:hyperlink w:anchor="page30">
        <w:r>
          <w:rPr>
            <w:rFonts w:ascii="Arial" w:cs="Arial" w:eastAsia="Arial" w:hAnsi="Arial"/>
            <w:sz w:val="16"/>
            <w:szCs w:val="16"/>
            <w:u w:val="single" w:color="auto"/>
            <w:color w:val="0000FF"/>
          </w:rPr>
          <w:t>Company identified therein, as Guarantors, the Lenders party thereto and Bank of America, N.A., as Administrative Agent.</w:t>
        </w:r>
      </w:hyperlink>
    </w:p>
    <w:p>
      <w:pPr>
        <w:spacing w:after="0" w:line="124"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46">
        <w:r>
          <w:rPr>
            <w:rFonts w:ascii="Arial" w:cs="Arial" w:eastAsia="Arial" w:hAnsi="Arial"/>
            <w:sz w:val="16"/>
            <w:szCs w:val="16"/>
            <w:u w:val="single" w:color="auto"/>
            <w:color w:val="0000FF"/>
          </w:rPr>
          <w:t>Certification of Chief Executive Officer pursuant to Rule 13a-14(a)/15d-14(a).</w:t>
        </w:r>
      </w:hyperlink>
    </w:p>
    <w:p>
      <w:pPr>
        <w:spacing w:after="0" w:line="185" w:lineRule="exact"/>
        <w:rPr>
          <w:sz w:val="20"/>
          <w:szCs w:val="20"/>
          <w:color w:val="auto"/>
        </w:rPr>
      </w:pPr>
    </w:p>
    <w:p>
      <w:pPr>
        <w:ind w:left="780"/>
        <w:spacing w:after="0"/>
        <w:tabs>
          <w:tab w:leader="none" w:pos="1320" w:val="left"/>
          <w:tab w:leader="none" w:pos="166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47">
        <w:r>
          <w:rPr>
            <w:rFonts w:ascii="Arial" w:cs="Arial" w:eastAsia="Arial" w:hAnsi="Arial"/>
            <w:sz w:val="16"/>
            <w:szCs w:val="16"/>
            <w:u w:val="single" w:color="auto"/>
            <w:color w:val="0000FF"/>
          </w:rPr>
          <w:t>Certification of Chief Financial Officer pursuant to Rule 13a-14(a)/15d-14(a).</w:t>
        </w:r>
      </w:hyperlink>
    </w:p>
    <w:p>
      <w:pPr>
        <w:spacing w:after="0" w:line="185"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**32.1</w:t>
        <w:tab/>
        <w:t xml:space="preserve">— </w:t>
      </w:r>
      <w:hyperlink w:anchor="page48">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48">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1340" w:hanging="989"/>
        <w:spacing w:after="0" w:line="235" w:lineRule="auto"/>
        <w:tabs>
          <w:tab w:leader="none" w:pos="1320" w:val="left"/>
        </w:tabs>
        <w:rPr>
          <w:rFonts w:ascii="Arial" w:cs="Arial" w:eastAsia="Arial" w:hAnsi="Arial"/>
          <w:sz w:val="18"/>
          <w:szCs w:val="18"/>
          <w:u w:val="single" w:color="auto"/>
          <w:color w:val="0000FF"/>
        </w:rPr>
      </w:pPr>
      <w:r>
        <w:rPr>
          <w:rFonts w:ascii="Arial" w:cs="Arial" w:eastAsia="Arial" w:hAnsi="Arial"/>
          <w:sz w:val="18"/>
          <w:szCs w:val="18"/>
          <w:color w:val="auto"/>
        </w:rPr>
        <w:t>**32.2</w:t>
        <w:tab/>
        <w:t xml:space="preserve">— </w:t>
      </w:r>
      <w:hyperlink w:anchor="page49">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49">
        <w:r>
          <w:rPr>
            <w:rFonts w:ascii="Arial" w:cs="Arial" w:eastAsia="Arial" w:hAnsi="Arial"/>
            <w:sz w:val="18"/>
            <w:szCs w:val="18"/>
            <w:u w:val="single" w:color="auto"/>
            <w:color w:val="0000FF"/>
          </w:rPr>
          <w:t>Sarbanes-Oxley Act of 2002.</w:t>
        </w:r>
      </w:hyperlink>
    </w:p>
    <w:p>
      <w:pPr>
        <w:spacing w:after="0" w:line="162" w:lineRule="exact"/>
        <w:rPr>
          <w:sz w:val="20"/>
          <w:szCs w:val="20"/>
          <w:color w:val="auto"/>
        </w:rPr>
      </w:pPr>
    </w:p>
    <w:p>
      <w:pPr>
        <w:ind w:left="1340" w:right="40" w:hanging="854"/>
        <w:spacing w:after="0" w:line="261" w:lineRule="auto"/>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color w:val="244061"/>
        </w:rPr>
        <w:t>The following financial statements from the Company’s Quarterly Report on Form 10-Q for the quarter ended December 31, 2021,</w:t>
      </w:r>
      <w:r>
        <w:rPr>
          <w:rFonts w:ascii="Arial" w:cs="Arial" w:eastAsia="Arial" w:hAnsi="Arial"/>
          <w:sz w:val="16"/>
          <w:szCs w:val="16"/>
          <w:color w:val="auto"/>
        </w:rPr>
        <w:t xml:space="preserve"> </w:t>
      </w:r>
      <w:r>
        <w:rPr>
          <w:rFonts w:ascii="Arial" w:cs="Arial" w:eastAsia="Arial" w:hAnsi="Arial"/>
          <w:sz w:val="16"/>
          <w:szCs w:val="16"/>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61" w:lineRule="exact"/>
        <w:rPr>
          <w:sz w:val="20"/>
          <w:szCs w:val="20"/>
          <w:color w:val="auto"/>
        </w:rPr>
      </w:pPr>
    </w:p>
    <w:p>
      <w:pPr>
        <w:ind w:left="1340" w:right="80" w:hanging="854"/>
        <w:spacing w:after="0" w:line="246" w:lineRule="auto"/>
        <w:tabs>
          <w:tab w:leader="none" w:pos="1320" w:val="left"/>
        </w:tabs>
        <w:rPr>
          <w:sz w:val="20"/>
          <w:szCs w:val="20"/>
          <w:color w:val="auto"/>
        </w:rPr>
      </w:pPr>
      <w:r>
        <w:rPr>
          <w:rFonts w:ascii="Arial" w:cs="Arial" w:eastAsia="Arial" w:hAnsi="Arial"/>
          <w:sz w:val="18"/>
          <w:szCs w:val="18"/>
          <w:color w:val="auto"/>
        </w:rPr>
        <w:t>*104</w:t>
        <w:tab/>
        <w:t xml:space="preserve">— </w:t>
      </w:r>
      <w:r>
        <w:rPr>
          <w:rFonts w:ascii="Arial" w:cs="Arial" w:eastAsia="Arial" w:hAnsi="Arial"/>
          <w:sz w:val="18"/>
          <w:szCs w:val="18"/>
          <w:color w:val="244061"/>
        </w:rPr>
        <w:t>The cover page from the Company’s Quarterly Report on Form 10-Q for the quarter ended December 31, 2021, formatted in Inline</w:t>
      </w:r>
      <w:r>
        <w:rPr>
          <w:rFonts w:ascii="Arial" w:cs="Arial" w:eastAsia="Arial" w:hAnsi="Arial"/>
          <w:sz w:val="18"/>
          <w:szCs w:val="18"/>
          <w:color w:val="auto"/>
        </w:rPr>
        <w:t xml:space="preserve"> </w:t>
      </w:r>
      <w:r>
        <w:rPr>
          <w:rFonts w:ascii="Arial" w:cs="Arial" w:eastAsia="Arial" w:hAnsi="Arial"/>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045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42" w:right="3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Arial" w:cs="Arial" w:eastAsia="Arial" w:hAnsi="Arial"/>
                <w:sz w:val="18"/>
                <w:szCs w:val="18"/>
                <w:color w:val="auto"/>
              </w:rPr>
              <w:t>POWELL INDUSTRIES, INC.</w:t>
            </w:r>
          </w:p>
        </w:tc>
      </w:tr>
      <w:tr>
        <w:trPr>
          <w:trHeight w:val="230"/>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Arial" w:cs="Arial" w:eastAsia="Arial" w:hAnsi="Arial"/>
                <w:sz w:val="18"/>
                <w:szCs w:val="18"/>
                <w:color w:val="auto"/>
              </w:rPr>
              <w:t>(Registrant)</w:t>
            </w: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Date: February 9, 2022</w:t>
            </w:r>
          </w:p>
        </w:tc>
        <w:tc>
          <w:tcPr>
            <w:tcW w:w="2540" w:type="dxa"/>
            <w:vAlign w:val="bottom"/>
          </w:tcPr>
          <w:p>
            <w:pPr>
              <w:ind w:left="17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A. Cope</w:t>
            </w:r>
          </w:p>
        </w:tc>
      </w:t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Date: February 9, 2022</w:t>
            </w:r>
          </w:p>
        </w:tc>
        <w:tc>
          <w:tcPr>
            <w:tcW w:w="2540" w:type="dxa"/>
            <w:vAlign w:val="bottom"/>
          </w:tcPr>
          <w:p>
            <w:pPr>
              <w:ind w:left="17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W. Metcalf</w:t>
            </w:r>
          </w:p>
        </w:tc>
      </w:tr>
      <w:tr>
        <w:trPr>
          <w:trHeight w:val="222"/>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Michael W. Metcalf</w:t>
            </w:r>
          </w:p>
        </w:tc>
      </w:tr>
      <w:tr>
        <w:trPr>
          <w:trHeight w:val="230"/>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bl>
    <w:p>
      <w:pPr>
        <w:ind w:left="60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LIBOR TRANSITION AMENDMENT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THIS LIBOR TRANSITION AMENDMENT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December, 31, 2021 (the “</w:t>
      </w:r>
      <w:r>
        <w:rPr>
          <w:rFonts w:ascii="Arial" w:cs="Arial" w:eastAsia="Arial" w:hAnsi="Arial"/>
          <w:sz w:val="20"/>
          <w:szCs w:val="20"/>
          <w:u w:val="single" w:color="auto"/>
          <w:color w:val="auto"/>
        </w:rPr>
        <w:t>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is entered into among POWELL INDUSTRIES,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(as defined below) party hereto, the Lenders (as defined below) party hereto and BANK OF AMERICA, N.A., as administrative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the Borrower, the Guarantors party thereto (the “Guarantors”),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have entered into that certain Amended and Restated Credit Agreement dated as of September 27, 2019 (as amended, modified, extended, restated, replaced, or supplemented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WHEREAS, certain loans and/or other extensions of credit (the “</w:t>
      </w:r>
      <w:r>
        <w:rPr>
          <w:rFonts w:ascii="Arial" w:cs="Arial" w:eastAsia="Arial" w:hAnsi="Arial"/>
          <w:sz w:val="20"/>
          <w:szCs w:val="20"/>
          <w:u w:val="single" w:color="auto"/>
          <w:color w:val="auto"/>
        </w:rPr>
        <w:t>Loans</w:t>
      </w:r>
      <w:r>
        <w:rPr>
          <w:rFonts w:ascii="Arial" w:cs="Arial" w:eastAsia="Arial" w:hAnsi="Arial"/>
          <w:sz w:val="20"/>
          <w:szCs w:val="20"/>
          <w:color w:val="auto"/>
        </w:rPr>
        <w:t>”) under the Agreement denominated in British Pounds Sterling (“</w:t>
      </w:r>
      <w:r>
        <w:rPr>
          <w:rFonts w:ascii="Arial" w:cs="Arial" w:eastAsia="Arial" w:hAnsi="Arial"/>
          <w:sz w:val="20"/>
          <w:szCs w:val="20"/>
          <w:u w:val="single" w:color="auto"/>
          <w:color w:val="auto"/>
        </w:rPr>
        <w:t>Sterling</w:t>
      </w:r>
      <w:r>
        <w:rPr>
          <w:rFonts w:ascii="Arial" w:cs="Arial" w:eastAsia="Arial" w:hAnsi="Arial"/>
          <w:sz w:val="20"/>
          <w:szCs w:val="20"/>
          <w:color w:val="auto"/>
        </w:rPr>
        <w:t>”) and Euros (collectively, the “</w:t>
      </w:r>
      <w:r>
        <w:rPr>
          <w:rFonts w:ascii="Arial" w:cs="Arial" w:eastAsia="Arial" w:hAnsi="Arial"/>
          <w:sz w:val="20"/>
          <w:szCs w:val="20"/>
          <w:u w:val="single" w:color="auto"/>
          <w:color w:val="auto"/>
        </w:rPr>
        <w:t>Impacted Currency(ies)</w:t>
      </w:r>
      <w:r>
        <w:rPr>
          <w:rFonts w:ascii="Arial" w:cs="Arial" w:eastAsia="Arial" w:hAnsi="Arial"/>
          <w:sz w:val="20"/>
          <w:szCs w:val="20"/>
          <w:color w:val="auto"/>
        </w:rPr>
        <w:t>”) incur or are permitted to incur interest, fees, commissions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Agreement; and</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WHEREAS, applicable parties under the Agreement have determined in accordance with the Agreement that LIBOR for the Impacted Currency(ies) should be replaced with a successor rate in accordance with the Agreement and, in connection therewith, the Administrative Agent has determined that certain conforming changes are necessary or advisable.</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5" w:lineRule="exact"/>
        <w:rPr>
          <w:sz w:val="20"/>
          <w:szCs w:val="20"/>
          <w:color w:val="auto"/>
        </w:rPr>
      </w:pPr>
    </w:p>
    <w:p>
      <w:pPr>
        <w:ind w:right="20" w:firstLine="656"/>
        <w:spacing w:after="0" w:line="229" w:lineRule="auto"/>
        <w:tabs>
          <w:tab w:leader="none" w:pos="1125"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Agreement, as amended by this Amendment.</w:t>
      </w:r>
    </w:p>
    <w:p>
      <w:pPr>
        <w:spacing w:after="0" w:line="155" w:lineRule="exact"/>
        <w:rPr>
          <w:rFonts w:ascii="Arial" w:cs="Arial" w:eastAsia="Arial" w:hAnsi="Arial"/>
          <w:sz w:val="20"/>
          <w:szCs w:val="20"/>
          <w:color w:val="auto"/>
        </w:rPr>
      </w:pPr>
    </w:p>
    <w:p>
      <w:pPr>
        <w:jc w:val="both"/>
        <w:ind w:firstLine="656"/>
        <w:spacing w:after="0" w:line="236" w:lineRule="auto"/>
        <w:tabs>
          <w:tab w:leader="none" w:pos="102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Notwithstanding any provision of the Agreement or any other document related thereto (the “</w:t>
      </w:r>
      <w:r>
        <w:rPr>
          <w:rFonts w:ascii="Arial" w:cs="Arial" w:eastAsia="Arial" w:hAnsi="Arial"/>
          <w:sz w:val="18"/>
          <w:szCs w:val="18"/>
          <w:u w:val="single" w:color="auto"/>
          <w:color w:val="auto"/>
        </w:rPr>
        <w:t>Loan Documents</w:t>
      </w:r>
      <w:r>
        <w:rPr>
          <w:rFonts w:ascii="Arial" w:cs="Arial" w:eastAsia="Arial" w:hAnsi="Arial"/>
          <w:sz w:val="18"/>
          <w:szCs w:val="18"/>
          <w:color w:val="auto"/>
        </w:rPr>
        <w:t>”) to the contrary, the parties hereto hereby agree that the terms set forth on Appendix A shall apply to the Impacted Currency(ies). For the avoidance of doubt, to the extent provisions in the Agreement apply to the Impacted Currency(ies) and such provisions are not specifically addressed by Appendix A, the provisions in the Agreement shall continue to apply to the Impacted Currency(ies).</w:t>
      </w:r>
    </w:p>
    <w:p>
      <w:pPr>
        <w:spacing w:after="0" w:line="157" w:lineRule="exact"/>
        <w:rPr>
          <w:rFonts w:ascii="Arial" w:cs="Arial" w:eastAsia="Arial" w:hAnsi="Arial"/>
          <w:sz w:val="18"/>
          <w:szCs w:val="18"/>
          <w:color w:val="auto"/>
        </w:rPr>
      </w:pPr>
    </w:p>
    <w:p>
      <w:pPr>
        <w:ind w:firstLine="656"/>
        <w:spacing w:after="0" w:line="229" w:lineRule="auto"/>
        <w:tabs>
          <w:tab w:leader="none" w:pos="1129"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Amendment and the terms of the Agreement or the other Loan Documents, the terms hereof shall control.</w:t>
      </w:r>
    </w:p>
    <w:p>
      <w:pPr>
        <w:spacing w:after="0" w:line="155" w:lineRule="exact"/>
        <w:rPr>
          <w:rFonts w:ascii="Arial" w:cs="Arial" w:eastAsia="Arial" w:hAnsi="Arial"/>
          <w:sz w:val="20"/>
          <w:szCs w:val="20"/>
          <w:color w:val="auto"/>
        </w:rPr>
      </w:pPr>
    </w:p>
    <w:p>
      <w:pPr>
        <w:ind w:firstLine="656"/>
        <w:spacing w:after="0" w:line="242" w:lineRule="auto"/>
        <w:tabs>
          <w:tab w:leader="none" w:pos="1008"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become effective upon receipt by the Administrative Agent of counterparts of this Amendment, properly executed by the Borrower, each Guarantor, the Lenders and the Administrative Agent.</w:t>
      </w:r>
    </w:p>
    <w:p>
      <w:pPr>
        <w:spacing w:after="0" w:line="153" w:lineRule="exact"/>
        <w:rPr>
          <w:rFonts w:ascii="Arial" w:cs="Arial" w:eastAsia="Arial" w:hAnsi="Arial"/>
          <w:sz w:val="19"/>
          <w:szCs w:val="19"/>
          <w:color w:val="auto"/>
        </w:rPr>
      </w:pPr>
    </w:p>
    <w:p>
      <w:pPr>
        <w:ind w:left="1000" w:hanging="344"/>
        <w:spacing w:after="0"/>
        <w:tabs>
          <w:tab w:leader="none" w:pos="100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18" w:lineRule="auto"/>
        <w:tabs>
          <w:tab w:leader="none" w:pos="1946"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Loan Documents, and the obligations of the Borrower and the Guarantors under the Loan Documents, are hereby ratified and confirmed and shall remain in full force and effect according to their terms. This Amendment is a Loan Document.</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Borrower and each Guarantor (i) acknowledges and consents to all of the terms and conditions of this Amendment, (ii) affirms all of its obligations under the Loan Documents and (iii) agrees that this Amendment and all documents executed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08" w:right="339" w:bottom="1440" w:gutter="0" w:footer="0" w:header="0"/>
        </w:sectPr>
      </w:pPr>
    </w:p>
    <w:bookmarkStart w:id="30" w:name="page31"/>
    <w:bookmarkEnd w:id="30"/>
    <w:p>
      <w:pPr>
        <w:jc w:val="both"/>
        <w:ind w:left="660"/>
        <w:spacing w:after="0" w:line="217" w:lineRule="auto"/>
        <w:rPr>
          <w:sz w:val="20"/>
          <w:szCs w:val="20"/>
          <w:color w:val="auto"/>
        </w:rPr>
      </w:pPr>
      <w:r>
        <w:rPr>
          <w:rFonts w:ascii="Arial" w:cs="Arial" w:eastAsia="Arial" w:hAnsi="Arial"/>
          <w:sz w:val="19"/>
          <w:szCs w:val="19"/>
          <w:color w:val="auto"/>
        </w:rPr>
        <w:t>herewith do not operate to reduce or discharge its obligations under the Loan Documents. To the extent the obligations of the Borrower and the Guarantors under the Agreement and the other Loan Documents (the “</w:t>
      </w:r>
      <w:r>
        <w:rPr>
          <w:rFonts w:ascii="Arial" w:cs="Arial" w:eastAsia="Arial" w:hAnsi="Arial"/>
          <w:sz w:val="19"/>
          <w:szCs w:val="19"/>
          <w:u w:val="single" w:color="auto"/>
          <w:color w:val="auto"/>
        </w:rPr>
        <w:t>Obligations</w:t>
      </w:r>
      <w:r>
        <w:rPr>
          <w:rFonts w:ascii="Arial" w:cs="Arial" w:eastAsia="Arial" w:hAnsi="Arial"/>
          <w:sz w:val="19"/>
          <w:szCs w:val="19"/>
          <w:color w:val="auto"/>
        </w:rPr>
        <w:t>”) are secured, the Borrower and each Guarantor (i) agrees that the security agreement and the other collateral documentation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continue to be in full force and effect and are not impaired or adversely affected in any manner whatsoever, (ii) confirms its grant of security interests pursuant to the Collateral Documents to which it is a party as collateral for the Obligations, and (iii) acknowledges that all liens granted (or purported to be granted) pursuant to the Collateral Documents remain and continue in full force and effect in respect of, and to secure, the Obligations.</w:t>
      </w:r>
    </w:p>
    <w:p>
      <w:pPr>
        <w:spacing w:after="0" w:line="156"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color w:val="auto"/>
        </w:rPr>
        <w:t>Each Guarantor hereby reaffirms its obligations under the guaranty relating to the Agreement and agrees that its obligation to guarantee the Obligations is in full force and effect as of the date hereof.</w:t>
      </w:r>
    </w:p>
    <w:p>
      <w:pPr>
        <w:spacing w:after="0" w:line="155" w:lineRule="exact"/>
        <w:rPr>
          <w:sz w:val="20"/>
          <w:szCs w:val="20"/>
          <w:color w:val="auto"/>
        </w:rPr>
      </w:pPr>
    </w:p>
    <w:p>
      <w:pPr>
        <w:ind w:left="1940" w:hanging="636"/>
        <w:spacing w:after="0"/>
        <w:tabs>
          <w:tab w:leader="none" w:pos="19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Borrower and each Guarantor represents and warrants that:</w:t>
      </w:r>
    </w:p>
    <w:p>
      <w:pPr>
        <w:spacing w:after="0" w:line="175" w:lineRule="exact"/>
        <w:rPr>
          <w:rFonts w:ascii="Arial" w:cs="Arial" w:eastAsia="Arial" w:hAnsi="Arial"/>
          <w:sz w:val="20"/>
          <w:szCs w:val="20"/>
          <w:color w:val="auto"/>
        </w:rPr>
      </w:pPr>
    </w:p>
    <w:p>
      <w:pPr>
        <w:jc w:val="both"/>
        <w:ind w:left="1300" w:firstLine="652"/>
        <w:spacing w:after="0" w:line="218" w:lineRule="auto"/>
        <w:tabs>
          <w:tab w:leader="none" w:pos="2378"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execution, delivery and performance by it of this Amendment is within its organizational powers and has been duly authorized by all necessary organizational, partnership, member or other action, as applicable, as may be necessary or required.</w:t>
      </w:r>
    </w:p>
    <w:p>
      <w:pPr>
        <w:spacing w:after="0" w:line="156" w:lineRule="exact"/>
        <w:rPr>
          <w:rFonts w:ascii="Arial" w:cs="Arial" w:eastAsia="Arial" w:hAnsi="Arial"/>
          <w:sz w:val="20"/>
          <w:szCs w:val="20"/>
          <w:color w:val="auto"/>
        </w:rPr>
      </w:pPr>
    </w:p>
    <w:p>
      <w:pPr>
        <w:jc w:val="both"/>
        <w:ind w:left="1300" w:firstLine="652"/>
        <w:spacing w:after="0" w:line="213" w:lineRule="auto"/>
        <w:tabs>
          <w:tab w:leader="none" w:pos="2410"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it, and constitutes a valid and binding obligation of it, enforceable against it in accordance with the terms hereof, except as may be limited by applicable bankruptcy, insolvency, reorganization, moratorium, or similar laws affecting the enforcement of creditors’ rights generally and by general principles of equity.</w:t>
      </w:r>
    </w:p>
    <w:p>
      <w:pPr>
        <w:spacing w:after="0" w:line="155" w:lineRule="exact"/>
        <w:rPr>
          <w:rFonts w:ascii="Arial" w:cs="Arial" w:eastAsia="Arial" w:hAnsi="Arial"/>
          <w:sz w:val="20"/>
          <w:szCs w:val="20"/>
          <w:color w:val="auto"/>
        </w:rPr>
      </w:pPr>
    </w:p>
    <w:p>
      <w:pPr>
        <w:jc w:val="both"/>
        <w:ind w:left="1300" w:firstLine="652"/>
        <w:spacing w:after="0" w:line="206" w:lineRule="auto"/>
        <w:tabs>
          <w:tab w:leader="none" w:pos="2444"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execution and delivery by it of this Amendment and performance by it of this Amendment have been duly authorized by all necessary corporate or other organizational action, and do not and will not (A) contravene the terms of its certificate or articles of incorporation or organization or other applicable constitutive documents, (B) conflict with or result in any breach or contravention of, or the creation of any lien under, or require any payment to be made under (x) any contractual obligation to which it is a party or affecting it or the properties of it or any subsidiary thereof or (y) any order, injunction, writ or decree of any governmental authority or any arbitral award to which it or any subsidiary thereof or its property is subject or (C) violate any law.</w:t>
      </w:r>
    </w:p>
    <w:p>
      <w:pPr>
        <w:spacing w:after="0" w:line="157" w:lineRule="exact"/>
        <w:rPr>
          <w:rFonts w:ascii="Arial" w:cs="Arial" w:eastAsia="Arial" w:hAnsi="Arial"/>
          <w:sz w:val="20"/>
          <w:szCs w:val="20"/>
          <w:color w:val="auto"/>
        </w:rPr>
      </w:pPr>
    </w:p>
    <w:p>
      <w:pPr>
        <w:jc w:val="both"/>
        <w:ind w:left="1300" w:firstLine="652"/>
        <w:spacing w:after="0" w:line="217" w:lineRule="auto"/>
        <w:tabs>
          <w:tab w:leader="none" w:pos="2476" w:val="left"/>
        </w:tabs>
        <w:numPr>
          <w:ilvl w:val="1"/>
          <w:numId w:val="11"/>
        </w:numPr>
        <w:rPr>
          <w:rFonts w:ascii="Arial" w:cs="Arial" w:eastAsia="Arial" w:hAnsi="Arial"/>
          <w:sz w:val="19"/>
          <w:szCs w:val="19"/>
          <w:color w:val="auto"/>
        </w:rPr>
      </w:pPr>
      <w:r>
        <w:rPr>
          <w:rFonts w:ascii="Arial" w:cs="Arial" w:eastAsia="Arial" w:hAnsi="Arial"/>
          <w:sz w:val="19"/>
          <w:szCs w:val="19"/>
          <w:color w:val="auto"/>
        </w:rPr>
        <w:t>Before and after giving effect to this Amendment, (A) all representations and warranties of it set forth in the Loan Documents are true and correct in all material respects (and in all respects if any such representation or warranty is already qualified by materiality (after giving effect to such materiality qualification)) on and as of the Amendment Effective Date (except to the extent that such representations and warranties specifically refer to an earlier date, in which case they were true and correct in all material respects (and in all respects if any such representation or warranty is already qualified by materiality (after giving effect to such materiality qualification)) as of such earlier date), and (B) no default exists under the Agreement or any other Loan Document.</w:t>
      </w:r>
    </w:p>
    <w:p>
      <w:pPr>
        <w:spacing w:after="0" w:line="156" w:lineRule="exact"/>
        <w:rPr>
          <w:rFonts w:ascii="Arial" w:cs="Arial" w:eastAsia="Arial" w:hAnsi="Arial"/>
          <w:sz w:val="19"/>
          <w:szCs w:val="19"/>
          <w:color w:val="auto"/>
        </w:rPr>
      </w:pPr>
    </w:p>
    <w:p>
      <w:pPr>
        <w:jc w:val="both"/>
        <w:ind w:left="660" w:firstLine="644"/>
        <w:spacing w:after="0" w:line="229" w:lineRule="auto"/>
        <w:tabs>
          <w:tab w:leader="none" w:pos="1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1" w:name="page32"/>
    <w:bookmarkEnd w:id="31"/>
    <w:p>
      <w:pPr>
        <w:jc w:val="both"/>
        <w:ind w:left="660" w:firstLine="644"/>
        <w:spacing w:after="0" w:line="224" w:lineRule="auto"/>
        <w:tabs>
          <w:tab w:leader="none" w:pos="194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provision of this Amendment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56" w:lineRule="exact"/>
        <w:rPr>
          <w:rFonts w:ascii="Arial" w:cs="Arial" w:eastAsia="Arial" w:hAnsi="Arial"/>
          <w:sz w:val="19"/>
          <w:szCs w:val="19"/>
          <w:color w:val="auto"/>
        </w:rPr>
      </w:pPr>
    </w:p>
    <w:p>
      <w:pPr>
        <w:ind w:left="660" w:firstLine="644"/>
        <w:spacing w:after="0" w:line="242" w:lineRule="auto"/>
        <w:tabs>
          <w:tab w:leader="none" w:pos="1951"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terms of the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Each of the parties hereto has caused a counterpart of this Amendment to be duly executed and delivered as of the date first above</w:t>
      </w:r>
    </w:p>
    <w:p>
      <w:pPr>
        <w:spacing w:after="0"/>
        <w:rPr>
          <w:sz w:val="20"/>
          <w:szCs w:val="20"/>
          <w:color w:val="auto"/>
        </w:rPr>
      </w:pPr>
      <w:r>
        <w:rPr>
          <w:rFonts w:ascii="Arial" w:cs="Arial" w:eastAsia="Arial" w:hAnsi="Arial"/>
          <w:sz w:val="20"/>
          <w:szCs w:val="20"/>
          <w:color w:val="auto"/>
        </w:rPr>
        <w:t>written.</w:t>
      </w:r>
    </w:p>
    <w:p>
      <w:pPr>
        <w:spacing w:after="0" w:line="134"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POWELL INDUSTRIES, INC.,</w:t>
      </w:r>
    </w:p>
    <w:p>
      <w:pPr>
        <w:ind w:left="200"/>
        <w:spacing w:after="0"/>
        <w:rPr>
          <w:sz w:val="20"/>
          <w:szCs w:val="20"/>
          <w:color w:val="auto"/>
        </w:rPr>
      </w:pPr>
      <w:r>
        <w:rPr>
          <w:rFonts w:ascii="Arial" w:cs="Arial" w:eastAsia="Arial" w:hAnsi="Arial"/>
          <w:sz w:val="20"/>
          <w:szCs w:val="20"/>
          <w:color w:val="auto"/>
        </w:rPr>
        <w:t>a Delaware corporation</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line="219" w:lineRule="auto"/>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-118745</wp:posOffset>
            </wp:positionV>
            <wp:extent cx="628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5"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POWELL ELECTRICAL SYSTEMS, INC.,</w:t>
      </w:r>
    </w:p>
    <w:p>
      <w:pPr>
        <w:ind w:left="200"/>
        <w:spacing w:after="0"/>
        <w:rPr>
          <w:sz w:val="20"/>
          <w:szCs w:val="20"/>
          <w:color w:val="auto"/>
        </w:rPr>
      </w:pPr>
      <w:r>
        <w:rPr>
          <w:rFonts w:ascii="Arial" w:cs="Arial" w:eastAsia="Arial" w:hAnsi="Arial"/>
          <w:sz w:val="20"/>
          <w:szCs w:val="20"/>
          <w:color w:val="auto"/>
        </w:rPr>
        <w:t>a Delaware corporation</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line="219" w:lineRule="auto"/>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-118745</wp:posOffset>
            </wp:positionV>
            <wp:extent cx="628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POWELL INDUSTRIES INTERNATIONAL, INC.,</w:t>
      </w:r>
    </w:p>
    <w:p>
      <w:pPr>
        <w:ind w:left="200"/>
        <w:spacing w:after="0"/>
        <w:rPr>
          <w:sz w:val="20"/>
          <w:szCs w:val="20"/>
          <w:color w:val="auto"/>
        </w:rPr>
      </w:pPr>
      <w:r>
        <w:rPr>
          <w:rFonts w:ascii="Arial" w:cs="Arial" w:eastAsia="Arial" w:hAnsi="Arial"/>
          <w:sz w:val="20"/>
          <w:szCs w:val="20"/>
          <w:color w:val="auto"/>
        </w:rPr>
        <w:t>a Delaware corporation</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line="219" w:lineRule="auto"/>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Metcalf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-118745</wp:posOffset>
            </wp:positionV>
            <wp:extent cx="628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 Vice 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20"/>
          </w:cols>
          <w:pgMar w:left="320" w:top="1403" w:right="359" w:bottom="1440" w:gutter="0" w:footer="0" w:header="0"/>
        </w:sectPr>
      </w:pPr>
    </w:p>
    <w:bookmarkStart w:id="33" w:name="page34"/>
    <w:bookmarkEnd w:id="33"/>
    <w:p>
      <w:pPr>
        <w:ind w:left="2660" w:right="4959" w:hanging="3239"/>
        <w:spacing w:after="0" w:line="229" w:lineRule="auto"/>
        <w:tabs>
          <w:tab w:leader="none" w:pos="264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BANK OF AMERICA, N.A., as Administrative Agent</w:t>
      </w: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Katherine Osele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-118745</wp:posOffset>
            </wp:positionV>
            <wp:extent cx="628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BANK OF AMERICA, N.A.,</w:t>
      </w:r>
    </w:p>
    <w:p>
      <w:pPr>
        <w:ind w:left="3240"/>
        <w:spacing w:after="0"/>
        <w:rPr>
          <w:sz w:val="20"/>
          <w:szCs w:val="20"/>
          <w:color w:val="auto"/>
        </w:rPr>
      </w:pPr>
      <w:r>
        <w:rPr>
          <w:rFonts w:ascii="Arial" w:cs="Arial" w:eastAsia="Arial" w:hAnsi="Arial"/>
          <w:sz w:val="20"/>
          <w:szCs w:val="20"/>
          <w:color w:val="auto"/>
        </w:rPr>
        <w:t>as a Lender</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Katherine Osele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-118745</wp:posOffset>
            </wp:positionV>
            <wp:extent cx="628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0139"/>
          </w:cols>
          <w:pgMar w:left="320" w:top="1405" w:right="1440" w:bottom="1440" w:gutter="0" w:footer="0" w:header="0"/>
        </w:sectPr>
      </w:pPr>
    </w:p>
    <w:bookmarkStart w:id="34" w:name="page35"/>
    <w:bookmarkEnd w:id="34"/>
    <w:p>
      <w:pPr>
        <w:ind w:left="5140"/>
        <w:spacing w:after="0"/>
        <w:rPr>
          <w:sz w:val="20"/>
          <w:szCs w:val="20"/>
          <w:color w:val="auto"/>
        </w:rPr>
      </w:pPr>
      <w:r>
        <w:rPr>
          <w:rFonts w:ascii="Arial" w:cs="Arial" w:eastAsia="Arial" w:hAnsi="Arial"/>
          <w:sz w:val="20"/>
          <w:szCs w:val="20"/>
          <w:u w:val="single" w:color="auto"/>
          <w:color w:val="auto"/>
        </w:rPr>
        <w:t>Appendix A</w:t>
      </w:r>
    </w:p>
    <w:p>
      <w:pPr>
        <w:spacing w:after="0" w:line="202"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TERMS APPLICABLE TO ALTERNATIVE CURRENCY LOANS</w:t>
      </w:r>
    </w:p>
    <w:p>
      <w:pPr>
        <w:spacing w:after="0" w:line="20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set forth below:</w:t>
      </w:r>
    </w:p>
    <w:p>
      <w:pPr>
        <w:spacing w:after="0" w:line="175"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means, with respect to any currency, the Administrative Agent’s address and, as appropriate, account specified in the Agreement with respect to such currency, or such other address or account with respect to such currency as the Administrative Agent may from time to time notify the Borrower and the Lenders.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means each of the following currencies: Sterling and Euros.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Daily Rate</w:t>
      </w:r>
      <w:r>
        <w:rPr>
          <w:rFonts w:ascii="Arial" w:cs="Arial" w:eastAsia="Arial" w:hAnsi="Arial"/>
          <w:sz w:val="19"/>
          <w:szCs w:val="19"/>
          <w:color w:val="auto"/>
        </w:rPr>
        <w:t>” means, for any day, with respect to any extension of credit under the Agreement:</w:t>
      </w:r>
    </w:p>
    <w:p>
      <w:pPr>
        <w:spacing w:after="0" w:line="187" w:lineRule="exact"/>
        <w:rPr>
          <w:sz w:val="20"/>
          <w:szCs w:val="20"/>
          <w:color w:val="auto"/>
        </w:rPr>
      </w:pPr>
    </w:p>
    <w:p>
      <w:pPr>
        <w:ind w:left="1300" w:firstLine="652"/>
        <w:spacing w:after="0" w:line="229" w:lineRule="auto"/>
        <w:tabs>
          <w:tab w:leader="none" w:pos="2382"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denominated in Sterling, the rate per annum equal to SONIA determined pursuant to the definition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SONIA Adjustment;</w:t>
      </w:r>
    </w:p>
    <w:p>
      <w:pPr>
        <w:spacing w:after="0" w:line="155" w:lineRule="exact"/>
        <w:rPr>
          <w:sz w:val="20"/>
          <w:szCs w:val="20"/>
          <w:color w:val="auto"/>
        </w:rPr>
      </w:pPr>
    </w:p>
    <w:p>
      <w:pPr>
        <w:jc w:val="both"/>
        <w:ind w:left="660"/>
        <w:spacing w:after="0" w:line="21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Daily Rate shall be less than zero, such rate shall be deemed 0% for purposes of this Amendment. Any change in an Alternative Currency Daily Rate shall be effective from and including the date of such change without further notice.</w:t>
      </w:r>
    </w:p>
    <w:p>
      <w:pPr>
        <w:spacing w:after="0" w:line="156"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Daily Rate Loan</w:t>
      </w:r>
      <w:r>
        <w:rPr>
          <w:rFonts w:ascii="Arial" w:cs="Arial" w:eastAsia="Arial" w:hAnsi="Arial"/>
          <w:sz w:val="19"/>
          <w:szCs w:val="19"/>
          <w:color w:val="auto"/>
        </w:rPr>
        <w:t>” means a Loan that bears interest at a rate based on the definition of “Alternative Currency Daily Rate.” All Alternative Currency Daily Rate Loans must be denominated in an Alternative Currency.</w:t>
      </w:r>
    </w:p>
    <w:p>
      <w:pPr>
        <w:spacing w:after="0" w:line="153"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 Alternative Currency Daily Rate Loan or an Alternative Currency Term Rate Loan, as applicable.</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Term Rate</w:t>
      </w:r>
      <w:r>
        <w:rPr>
          <w:rFonts w:ascii="Arial" w:cs="Arial" w:eastAsia="Arial" w:hAnsi="Arial"/>
          <w:sz w:val="19"/>
          <w:szCs w:val="19"/>
          <w:color w:val="auto"/>
        </w:rPr>
        <w:t>” means, for any Interest Period, with respect to any extension of credit under the</w:t>
      </w:r>
    </w:p>
    <w:p>
      <w:pPr>
        <w:ind w:left="660"/>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jc w:val="both"/>
        <w:ind w:left="1300" w:firstLine="652"/>
        <w:spacing w:after="0" w:line="222" w:lineRule="auto"/>
        <w:tabs>
          <w:tab w:leader="none" w:pos="2593" w:val="left"/>
        </w:tabs>
        <w:numPr>
          <w:ilvl w:val="0"/>
          <w:numId w:val="14"/>
        </w:numPr>
        <w:rPr>
          <w:rFonts w:ascii="Arial" w:cs="Arial" w:eastAsia="Arial" w:hAnsi="Arial"/>
          <w:sz w:val="21"/>
          <w:szCs w:val="21"/>
          <w:color w:val="auto"/>
        </w:rPr>
      </w:pPr>
      <w:r>
        <w:rPr>
          <w:rFonts w:ascii="Arial" w:cs="Arial" w:eastAsia="Arial" w:hAnsi="Arial"/>
          <w:sz w:val="19"/>
          <w:szCs w:val="19"/>
          <w:color w:val="auto"/>
        </w:rPr>
        <w:t>denominated in Euros, the rate per annum equal to the Euro Interbank Offered Rate (“</w:t>
      </w:r>
      <w:r>
        <w:rPr>
          <w:rFonts w:ascii="Arial" w:cs="Arial" w:eastAsia="Arial" w:hAnsi="Arial"/>
          <w:sz w:val="19"/>
          <w:szCs w:val="19"/>
          <w:u w:val="single" w:color="auto"/>
          <w:color w:val="auto"/>
        </w:rPr>
        <w:t>EURIBOR</w:t>
      </w:r>
      <w:r>
        <w:rPr>
          <w:rFonts w:ascii="Arial" w:cs="Arial" w:eastAsia="Arial" w:hAnsi="Arial"/>
          <w:sz w:val="19"/>
          <w:szCs w:val="19"/>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5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Term Rate shall be less than zero, such rate shall be deemed 0% for purposes of this Amendment.</w:t>
      </w:r>
    </w:p>
    <w:p>
      <w:pPr>
        <w:spacing w:after="0" w:line="15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Loan that bears interest at a rate based on the definition of “Alternative Currency Term Rate.” All Alternative Currency Term Rate Loans must be denominated in an Alternative Currency.</w:t>
      </w:r>
    </w:p>
    <w:p>
      <w:pPr>
        <w:spacing w:after="0" w:line="157"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Authority</w:t>
      </w:r>
      <w:r>
        <w:rPr>
          <w:rFonts w:ascii="Arial" w:cs="Arial" w:eastAsia="Arial" w:hAnsi="Arial"/>
          <w:sz w:val="20"/>
          <w:szCs w:val="20"/>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56"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the Applicable Rate, Applicable Margin, Margin or any similar or analogous definition in the Agreement. If there is no such definition in the Agreement because the margin is a specified amount, the “Applicable Rate” shall be the amount specified as the margin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5" w:name="page36"/>
    <w:bookmarkEnd w:id="35"/>
    <w:p>
      <w:pPr>
        <w:jc w:val="both"/>
        <w:ind w:left="660" w:firstLine="648"/>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the Base Rate, Alternative Base Rate, ABR, Prime Rate or any similar or analogous definition in the Agreement. If there is no such definition in the Agreement, “Base Rate” shall mean, for any day a fluctuating rate of interest per annum equal to the higher of (a) the Federal Funds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0.50% and (b) the rate of interest in effect for such day as publicly announced from time to time by Bank of America as its “prime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Base Rate shall be less than zero, such rate shall be deemed 0% for purposes of this Amendment.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means a Loan that bears interest at a rate based on the Base Rate.</w:t>
      </w:r>
    </w:p>
    <w:p>
      <w:pPr>
        <w:spacing w:after="0" w:line="175" w:lineRule="exact"/>
        <w:rPr>
          <w:sz w:val="20"/>
          <w:szCs w:val="20"/>
          <w:color w:val="auto"/>
        </w:rPr>
      </w:pPr>
    </w:p>
    <w:p>
      <w:pPr>
        <w:jc w:val="both"/>
        <w:ind w:left="6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Committed Borrowing, Borrowing, or any similar or analogous definition in the Agreement. If there is no such definition in the Agreement, “Borrowing” shall mean a borrowing consisting of simultaneous Loans of the same Type and, in the case of Alternative Currency Term Rate Loans, having the same Interest Period made by each of the applicable Lenders pursuant to </w:t>
      </w:r>
      <w:r>
        <w:rPr>
          <w:rFonts w:ascii="Arial" w:cs="Arial" w:eastAsia="Arial" w:hAnsi="Arial"/>
          <w:sz w:val="20"/>
          <w:szCs w:val="20"/>
          <w:u w:val="single" w:color="auto"/>
          <w:color w:val="auto"/>
        </w:rPr>
        <w:t>Section 2(e)(i)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56"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30" w:lineRule="exact"/>
        <w:rPr>
          <w:sz w:val="20"/>
          <w:szCs w:val="20"/>
          <w:color w:val="auto"/>
        </w:rPr>
      </w:pPr>
    </w:p>
    <w:p>
      <w:pPr>
        <w:jc w:val="both"/>
        <w:ind w:left="1300" w:firstLine="652"/>
        <w:spacing w:after="0" w:line="213" w:lineRule="auto"/>
        <w:tabs>
          <w:tab w:leader="none" w:pos="2427"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Amendment in respect of any such Alternative Currency Loan, means a Business Day that is also a TARGET Day;</w:t>
      </w:r>
    </w:p>
    <w:p>
      <w:pPr>
        <w:spacing w:after="0" w:line="155" w:lineRule="exact"/>
        <w:rPr>
          <w:rFonts w:ascii="Arial" w:cs="Arial" w:eastAsia="Arial" w:hAnsi="Arial"/>
          <w:sz w:val="20"/>
          <w:szCs w:val="20"/>
          <w:color w:val="auto"/>
        </w:rPr>
      </w:pPr>
    </w:p>
    <w:p>
      <w:pPr>
        <w:jc w:val="both"/>
        <w:ind w:left="1300" w:firstLine="652"/>
        <w:spacing w:after="0" w:line="244" w:lineRule="auto"/>
        <w:tabs>
          <w:tab w:leader="none" w:pos="24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(ii) [RESERVED]; and (iii) [RESERVED]; and</w:t>
      </w:r>
    </w:p>
    <w:p>
      <w:pPr>
        <w:spacing w:after="0" w:line="151" w:lineRule="exact"/>
        <w:rPr>
          <w:rFonts w:ascii="Arial" w:cs="Arial" w:eastAsia="Arial" w:hAnsi="Arial"/>
          <w:sz w:val="18"/>
          <w:szCs w:val="18"/>
          <w:color w:val="auto"/>
        </w:rPr>
      </w:pPr>
    </w:p>
    <w:p>
      <w:pPr>
        <w:jc w:val="both"/>
        <w:ind w:left="1300" w:firstLine="652"/>
        <w:spacing w:after="0" w:line="210" w:lineRule="auto"/>
        <w:tabs>
          <w:tab w:leader="none" w:pos="2407"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Amendment in respect of any such Alternative Currency Loan (other than any interest rate settings), means any such day on which banks are open for foreign exchange business in the principal financial center of the country of such currency.</w:t>
      </w:r>
    </w:p>
    <w:p>
      <w:pPr>
        <w:spacing w:after="0" w:line="155" w:lineRule="exact"/>
        <w:rPr>
          <w:sz w:val="20"/>
          <w:szCs w:val="20"/>
          <w:color w:val="auto"/>
        </w:rPr>
      </w:pPr>
    </w:p>
    <w:p>
      <w:pPr>
        <w:jc w:val="both"/>
        <w:ind w:left="660"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xml:space="preserve">” means a Committed Loan Notice, Loan Notice, Borrowing Notice, Notice of Borrowing, Continuation/Conversion Notice, Notice of Continuation/Conversion, or any similar or analogous definition in the Agreement, and such term shall be deemed to include the Committed Loan Notice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If there is no such definition in the Agreement, “Committed Loan Notice” shall mean a notice of (a) a Borrowing, (b) a conversion of Loans from one Type to the other, or (c) a continuation of Alternative Currency Term Rate Loans, pursuant to </w:t>
      </w:r>
      <w:r>
        <w:rPr>
          <w:rFonts w:ascii="Arial" w:cs="Arial" w:eastAsia="Arial" w:hAnsi="Arial"/>
          <w:sz w:val="20"/>
          <w:szCs w:val="20"/>
          <w:u w:val="single" w:color="auto"/>
          <w:color w:val="auto"/>
        </w:rPr>
        <w:t>Section 2(e)(i)</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56" w:lineRule="exact"/>
        <w:rPr>
          <w:sz w:val="20"/>
          <w:szCs w:val="20"/>
          <w:color w:val="auto"/>
        </w:rPr>
      </w:pPr>
    </w:p>
    <w:p>
      <w:pPr>
        <w:jc w:val="both"/>
        <w:ind w:left="660"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means, with respect to the use, administration of or any conventions associated with SONIA, EURIBOR or any proposed Successor Rate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6" w:name="page37"/>
    <w:bookmarkEnd w:id="36"/>
    <w:p>
      <w:pPr>
        <w:jc w:val="both"/>
        <w:ind w:left="660"/>
        <w:spacing w:after="0" w:line="227" w:lineRule="auto"/>
        <w:rPr>
          <w:sz w:val="20"/>
          <w:szCs w:val="20"/>
          <w:color w:val="auto"/>
        </w:rPr>
      </w:pPr>
      <w:r>
        <w:rPr>
          <w:rFonts w:ascii="Arial" w:cs="Arial" w:eastAsia="Arial" w:hAnsi="Arial"/>
          <w:sz w:val="18"/>
          <w:szCs w:val="18"/>
          <w:color w:val="auto"/>
        </w:rPr>
        <w:t>currency, any conforming changes to the definitions of “SONIA”, “EURIBOR”,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Amendment and any other Loan Document).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75" w:lineRule="exact"/>
        <w:rPr>
          <w:sz w:val="20"/>
          <w:szCs w:val="20"/>
          <w:color w:val="auto"/>
        </w:rPr>
      </w:pPr>
    </w:p>
    <w:p>
      <w:pPr>
        <w:jc w:val="both"/>
        <w:ind w:left="660" w:right="20"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the Dollar Equivalent, Dollar Amount or any similar or analogous definition in the Agreement. If there is no such definition in the Agreement, “Dollar Equivalent” shall mean, for any amount, at the time of determination thereof,</w:t>
      </w:r>
    </w:p>
    <w:p>
      <w:pPr>
        <w:spacing w:after="0" w:line="1" w:lineRule="exact"/>
        <w:rPr>
          <w:sz w:val="20"/>
          <w:szCs w:val="20"/>
          <w:color w:val="auto"/>
        </w:rPr>
      </w:pPr>
    </w:p>
    <w:p>
      <w:pPr>
        <w:jc w:val="both"/>
        <w:ind w:left="660" w:hanging="4"/>
        <w:spacing w:after="0" w:line="224" w:lineRule="auto"/>
        <w:tabs>
          <w:tab w:leader="none" w:pos="9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Any determination by the Administrative Agent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above shall be conclusive absent manifest error.</w:t>
      </w:r>
    </w:p>
    <w:p>
      <w:pPr>
        <w:spacing w:after="0" w:line="162"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 Eurocurrency Rate, LIBOR, Adjusted LIBOR Rate, LIBOR Rate or any similar or analogous definition in the Agreement.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Loans</w:t>
      </w:r>
      <w:r>
        <w:rPr>
          <w:rFonts w:ascii="Arial" w:cs="Arial" w:eastAsia="Arial" w:hAnsi="Arial"/>
          <w:sz w:val="20"/>
          <w:szCs w:val="20"/>
          <w:color w:val="auto"/>
        </w:rPr>
        <w:t>” means a Loan that bears interest at a rate based on the Eurocurrency Rate.</w:t>
      </w:r>
    </w:p>
    <w:p>
      <w:pPr>
        <w:spacing w:after="0" w:line="175" w:lineRule="exact"/>
        <w:rPr>
          <w:sz w:val="20"/>
          <w:szCs w:val="20"/>
          <w:color w:val="auto"/>
        </w:rPr>
      </w:pPr>
    </w:p>
    <w:p>
      <w:pPr>
        <w:jc w:val="both"/>
        <w:ind w:left="660"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0% for purposes of this Amendment.</w:t>
      </w:r>
    </w:p>
    <w:p>
      <w:pPr>
        <w:spacing w:after="0" w:line="155" w:lineRule="exact"/>
        <w:rPr>
          <w:sz w:val="20"/>
          <w:szCs w:val="20"/>
          <w:color w:val="auto"/>
        </w:rPr>
      </w:pPr>
    </w:p>
    <w:p>
      <w:pPr>
        <w:jc w:val="both"/>
        <w:ind w:left="660"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Alternative Currency Daily Rate Loan, the first Business Day of each month and the applicable maturity date set forth in the Agreement and (b) as to any Alternative Currency Term Rate Loan, the last day of each Interest Period applicable to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55" w:lineRule="exact"/>
        <w:rPr>
          <w:sz w:val="20"/>
          <w:szCs w:val="20"/>
          <w:color w:val="auto"/>
        </w:rPr>
      </w:pPr>
    </w:p>
    <w:p>
      <w:pPr>
        <w:jc w:val="both"/>
        <w:ind w:left="660"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Alternative Currency Term Rate Loan, the period commencing on the date such Alternative Currency Term Rate Loan is disbursed or converted to or continued as an Alternative Currency Term Rate Loan and ending on the date one, three or six months thereafter (in each case, subject to availability for the interest rate applicable to the relevant currency), as selected by the Borrower in its Committed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7" w:name="page38"/>
    <w:bookmarkEnd w:id="37"/>
    <w:p>
      <w:pPr>
        <w:jc w:val="both"/>
        <w:ind w:left="1300" w:firstLine="652"/>
        <w:spacing w:after="0" w:line="230" w:lineRule="auto"/>
        <w:tabs>
          <w:tab w:leader="none" w:pos="239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in the case of an Alternative Currency Term Rate Loan, such Business Day falls in another calendar month, in which case such Interest Period shall end on the next preceding Business Day;</w:t>
      </w:r>
    </w:p>
    <w:p>
      <w:pPr>
        <w:spacing w:after="0" w:line="154" w:lineRule="exact"/>
        <w:rPr>
          <w:rFonts w:ascii="Arial" w:cs="Arial" w:eastAsia="Arial" w:hAnsi="Arial"/>
          <w:sz w:val="19"/>
          <w:szCs w:val="19"/>
          <w:color w:val="auto"/>
        </w:rPr>
      </w:pPr>
    </w:p>
    <w:p>
      <w:pPr>
        <w:jc w:val="both"/>
        <w:ind w:left="1300" w:firstLine="652"/>
        <w:spacing w:after="0" w:line="244" w:lineRule="auto"/>
        <w:tabs>
          <w:tab w:leader="none" w:pos="23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Period pertaining to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1" w:lineRule="exact"/>
        <w:rPr>
          <w:rFonts w:ascii="Arial" w:cs="Arial" w:eastAsia="Arial" w:hAnsi="Arial"/>
          <w:sz w:val="18"/>
          <w:szCs w:val="18"/>
          <w:color w:val="auto"/>
        </w:rPr>
      </w:pPr>
    </w:p>
    <w:p>
      <w:pPr>
        <w:ind w:left="2360" w:hanging="408"/>
        <w:spacing w:after="0"/>
        <w:tabs>
          <w:tab w:leader="none" w:pos="23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 Interest Period shall extend beyond the applicable maturity date set forth in the Agreement.</w:t>
      </w:r>
    </w:p>
    <w:p>
      <w:pPr>
        <w:spacing w:after="0" w:line="175"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Rate</w:t>
      </w:r>
      <w:r>
        <w:rPr>
          <w:rFonts w:ascii="Arial" w:cs="Arial" w:eastAsia="Arial" w:hAnsi="Arial"/>
          <w:sz w:val="20"/>
          <w:szCs w:val="20"/>
          <w:color w:val="auto"/>
        </w:rPr>
        <w:t>” means, with respect to any Loan denominated in (a) Sterling, SONIA, (b) [RESERVED], (c) Euros, EURIBOR, (d) [RESERVED], as applicable.</w:t>
      </w:r>
    </w:p>
    <w:p>
      <w:pPr>
        <w:spacing w:after="0" w:line="155" w:lineRule="exact"/>
        <w:rPr>
          <w:sz w:val="20"/>
          <w:szCs w:val="20"/>
          <w:color w:val="auto"/>
        </w:rPr>
      </w:pPr>
    </w:p>
    <w:p>
      <w:pPr>
        <w:jc w:val="both"/>
        <w:ind w:left="660"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the Borrower, solely for purposes of the delivery of incumbency certificates pursuant to the Agreement, the secretary or any assistant secretary of the Borrower and, solely for purposes of notices given pursuant to </w:t>
      </w:r>
      <w:r>
        <w:rPr>
          <w:rFonts w:ascii="Arial" w:cs="Arial" w:eastAsia="Arial" w:hAnsi="Arial"/>
          <w:sz w:val="18"/>
          <w:szCs w:val="18"/>
          <w:u w:val="single" w:color="auto"/>
          <w:color w:val="auto"/>
        </w:rPr>
        <w:t>Section 2(e)(i)</w:t>
      </w:r>
      <w:r>
        <w:rPr>
          <w:rFonts w:ascii="Arial" w:cs="Arial" w:eastAsia="Arial" w:hAnsi="Arial"/>
          <w:sz w:val="18"/>
          <w:szCs w:val="18"/>
          <w:color w:val="auto"/>
        </w:rPr>
        <w:t>,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157"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the Required Lenders, Requisite Lenders, Majority Lenders or any similar or analogous definition in the Agreement, subject to </w:t>
      </w:r>
      <w:r>
        <w:rPr>
          <w:rFonts w:ascii="Arial" w:cs="Arial" w:eastAsia="Arial" w:hAnsi="Arial"/>
          <w:sz w:val="20"/>
          <w:szCs w:val="20"/>
          <w:u w:val="single" w:color="auto"/>
          <w:color w:val="auto"/>
        </w:rPr>
        <w:t>Section 2(h)</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55" w:lineRule="exact"/>
        <w:rPr>
          <w:sz w:val="20"/>
          <w:szCs w:val="20"/>
          <w:color w:val="auto"/>
        </w:rPr>
      </w:pPr>
    </w:p>
    <w:p>
      <w:pPr>
        <w:jc w:val="both"/>
        <w:ind w:left="6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with respect to any Loan, each of the following: (a) each date of a Borrowing of an Alternative Currency Loan, (b) with respect to an Alternative Currency Daily Rate Loan, each Interest Payment Date, (c) each date of a continuation of an Alternative Currency Term Rate Loan pursuant to the terms of the Agreement, and (d) such additional dates as the Administrative Agent shall determine or the Required Lenders shall require.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2(h)</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75"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xml:space="preserve">” means, with respect to any applicable determination date, the Sterling Overnight Index Average Reference Rate published on such date on the applicable Reuters screen page (or such other commercially available source providing such quotations as may be designated by the Administrative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determination date is not a Business Day, SONIA means such rate that applied on the first Business Day immediately prior thereto.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(3.26 basis points) per annum.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2(h)</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8" w:name="page39"/>
    <w:bookmarkEnd w:id="38"/>
    <w:p>
      <w:pPr>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ind w:left="66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30" w:lineRule="exact"/>
        <w:rPr>
          <w:sz w:val="20"/>
          <w:szCs w:val="20"/>
          <w:color w:val="auto"/>
        </w:rPr>
      </w:pPr>
    </w:p>
    <w:p>
      <w:pPr>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 Eurocurrency Rate Loan, an Alternative Currency Daily Rate Loan or an Alternative Currency Term Rate Loan.</w:t>
      </w:r>
    </w:p>
    <w:p>
      <w:pPr>
        <w:spacing w:after="0" w:line="153"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Terms Applicable to Alternative Currency Loans</w:t>
      </w:r>
      <w:r>
        <w:rPr>
          <w:rFonts w:ascii="Arial" w:cs="Arial" w:eastAsia="Arial" w:hAnsi="Arial"/>
          <w:sz w:val="18"/>
          <w:szCs w:val="18"/>
          <w:color w:val="auto"/>
        </w:rPr>
        <w:t>. From and after the Amendment Effective Date, the parties hereto agree as</w:t>
      </w: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59" w:lineRule="exact"/>
        <w:rPr>
          <w:rFonts w:ascii="Arial" w:cs="Arial" w:eastAsia="Arial" w:hAnsi="Arial"/>
          <w:sz w:val="18"/>
          <w:szCs w:val="18"/>
          <w:color w:val="auto"/>
        </w:rPr>
      </w:pPr>
    </w:p>
    <w:p>
      <w:pPr>
        <w:jc w:val="both"/>
        <w:ind w:left="660" w:firstLine="644"/>
        <w:spacing w:after="0" w:line="228" w:lineRule="auto"/>
        <w:tabs>
          <w:tab w:leader="none" w:pos="1833"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Alternative Currencies</w:t>
      </w:r>
      <w:r>
        <w:rPr>
          <w:rFonts w:ascii="Arial" w:cs="Arial" w:eastAsia="Arial" w:hAnsi="Arial"/>
          <w:sz w:val="18"/>
          <w:szCs w:val="18"/>
          <w:color w:val="auto"/>
        </w:rPr>
        <w:t xml:space="preserve">. (i) No Alternative Currency shall be considered a currency for which there is a published LIBOR rate, and (ii) any request for a new Loan denominated in an Alternative Currency, or to continue an existing Loan denominated in an Alternative Currency, shall be deemed to be a request for a new Loan bearing interest at the Alternative Currency Daily Rate or Alternative Currency Term Rate,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Loan bearing interest at the Eurocurrency Rate is outstanding on the Amendment Effective Date, such Loan shall continue to bear interest at the Eurocurrency Rate until the end of the current Interest Period or payment period applicable to such Loan unless, in the case of a Loan that bears interest at a daily floating rate, such daily floating rate is no longer representative or being made available, in which case such Loan shall bear interest at the applicable Alternative Currency Daily Rate immediately upon the effectiveness of this Amendment.</w:t>
      </w:r>
    </w:p>
    <w:p>
      <w:pPr>
        <w:spacing w:after="0" w:line="154" w:lineRule="exact"/>
        <w:rPr>
          <w:rFonts w:ascii="Arial" w:cs="Arial" w:eastAsia="Arial" w:hAnsi="Arial"/>
          <w:sz w:val="18"/>
          <w:szCs w:val="18"/>
          <w:color w:val="auto"/>
        </w:rPr>
      </w:pPr>
    </w:p>
    <w:p>
      <w:pPr>
        <w:ind w:left="1780" w:hanging="476"/>
        <w:spacing w:after="0"/>
        <w:tabs>
          <w:tab w:leader="none" w:pos="1780"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References to Eurocurrency Rate and Eurocurrency Rate Loans in the Agreement and Loan Documents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4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References to the Eurocurrency Rate and Eurocurrency Rate Loans in provisions of the Agreement and the other Loan Documents that are not specifically addressed herein (other than the definitions of Eurocurrency Rate and Eurocurrency Rate Loan) shall be deemed to include Alternative Currency Daily Rates, Alternative Currency Term Rates, and Alternative Currency Loans, as applicable.</w:t>
      </w:r>
    </w:p>
    <w:p>
      <w:pPr>
        <w:spacing w:after="0" w:line="155" w:lineRule="exact"/>
        <w:rPr>
          <w:rFonts w:ascii="Arial" w:cs="Arial" w:eastAsia="Arial" w:hAnsi="Arial"/>
          <w:sz w:val="20"/>
          <w:szCs w:val="20"/>
          <w:color w:val="auto"/>
        </w:rPr>
      </w:pPr>
    </w:p>
    <w:p>
      <w:pPr>
        <w:jc w:val="both"/>
        <w:ind w:left="1300" w:firstLine="652"/>
        <w:spacing w:after="0" w:line="210" w:lineRule="auto"/>
        <w:tabs>
          <w:tab w:leader="none" w:pos="2619" w:val="left"/>
        </w:tabs>
        <w:numPr>
          <w:ilvl w:val="2"/>
          <w:numId w:val="18"/>
        </w:numPr>
        <w:rPr>
          <w:rFonts w:ascii="Arial" w:cs="Arial" w:eastAsia="Arial" w:hAnsi="Arial"/>
          <w:sz w:val="20"/>
          <w:szCs w:val="20"/>
          <w:color w:val="auto"/>
        </w:rPr>
      </w:pPr>
      <w:r>
        <w:rPr>
          <w:rFonts w:ascii="Arial" w:cs="Arial" w:eastAsia="Arial" w:hAnsi="Arial"/>
          <w:sz w:val="20"/>
          <w:szCs w:val="20"/>
          <w:color w:val="auto"/>
        </w:rPr>
        <w:t>For purposes of any requirement for the Borrower to compensate Lenders for losses in the Agreement resulting from any continuation, conversion, payment or prepayment of any Alternative Currency Loan on a day other than the last day of any Interest Period (as defined in the Agreement), references to the Interest Period (as defined in the Agreement) shall be deemed to include any relevant interest payment date or payment period for an Alternative Currency Loan.</w:t>
      </w:r>
    </w:p>
    <w:p>
      <w:pPr>
        <w:spacing w:after="0" w:line="141" w:lineRule="exact"/>
        <w:rPr>
          <w:rFonts w:ascii="Arial" w:cs="Arial" w:eastAsia="Arial" w:hAnsi="Arial"/>
          <w:sz w:val="20"/>
          <w:szCs w:val="20"/>
          <w:color w:val="auto"/>
        </w:rPr>
      </w:pPr>
    </w:p>
    <w:p>
      <w:pPr>
        <w:ind w:left="2120" w:hanging="816"/>
        <w:spacing w:after="0"/>
        <w:tabs>
          <w:tab w:leader="none" w:pos="212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Interest Rates</w:t>
      </w:r>
      <w:r>
        <w:rPr>
          <w:rFonts w:ascii="Arial" w:cs="Arial" w:eastAsia="Arial" w:hAnsi="Arial"/>
          <w:sz w:val="19"/>
          <w:szCs w:val="19"/>
          <w:color w:val="auto"/>
        </w:rPr>
        <w:t xml:space="preserve">. </w:t>
      </w:r>
      <w:r>
        <w:rPr>
          <w:rFonts w:ascii="Arial" w:cs="Arial" w:eastAsia="Arial" w:hAnsi="Arial"/>
          <w:sz w:val="19"/>
          <w:szCs w:val="19"/>
          <w:b w:val="1"/>
          <w:bCs w:val="1"/>
          <w:color w:val="auto"/>
        </w:rPr>
        <w:t>The Administrative Agent does not warrant, nor accept responsibility, nor shall the</w:t>
      </w:r>
    </w:p>
    <w:p>
      <w:pPr>
        <w:jc w:val="both"/>
        <w:ind w:left="660"/>
        <w:spacing w:after="0" w:line="232" w:lineRule="auto"/>
        <w:rPr>
          <w:rFonts w:ascii="Arial" w:cs="Arial" w:eastAsia="Arial" w:hAnsi="Arial"/>
          <w:sz w:val="19"/>
          <w:szCs w:val="19"/>
          <w:color w:val="auto"/>
        </w:rPr>
      </w:pPr>
      <w:r>
        <w:rPr>
          <w:rFonts w:ascii="Arial" w:cs="Arial" w:eastAsia="Arial" w:hAnsi="Arial"/>
          <w:sz w:val="18"/>
          <w:szCs w:val="18"/>
          <w:b w:val="1"/>
          <w:bCs w:val="1"/>
          <w:color w:val="auto"/>
        </w:rPr>
        <w:t xml:space="preserve">Administrative Agent have any liability with respect to the administration, submission or any other matter related to the rates in the definition of “Alternative Currency Daily Rate”, “Alternative Currency Term Rate” </w:t>
      </w:r>
      <w:r>
        <w:rPr>
          <w:rFonts w:ascii="Arial" w:cs="Arial" w:eastAsia="Arial" w:hAnsi="Arial"/>
          <w:sz w:val="18"/>
          <w:szCs w:val="18"/>
          <w:color w:val="auto"/>
        </w:rPr>
        <w:t>or with respect to any rate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for the avoidance of doubt, the selection of such rate and any related spread or other adjustment) that is an alternative or replacement for or successor to any such rate or the effect of any of the foregoing, or of any Conforming Changes.</w:t>
      </w:r>
    </w:p>
    <w:p>
      <w:pPr>
        <w:spacing w:after="0" w:line="155" w:lineRule="exact"/>
        <w:rPr>
          <w:rFonts w:ascii="Arial" w:cs="Arial" w:eastAsia="Arial" w:hAnsi="Arial"/>
          <w:sz w:val="19"/>
          <w:szCs w:val="19"/>
          <w:color w:val="auto"/>
        </w:rPr>
      </w:pPr>
    </w:p>
    <w:p>
      <w:pPr>
        <w:jc w:val="both"/>
        <w:ind w:left="660" w:firstLine="644"/>
        <w:spacing w:after="0" w:line="218" w:lineRule="auto"/>
        <w:tabs>
          <w:tab w:leader="none" w:pos="1750"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Revaluation Dates</w:t>
      </w:r>
      <w:r>
        <w:rPr>
          <w:rFonts w:ascii="Arial" w:cs="Arial" w:eastAsia="Arial" w:hAnsi="Arial"/>
          <w:sz w:val="20"/>
          <w:szCs w:val="20"/>
          <w:color w:val="auto"/>
        </w:rPr>
        <w:t>. The Administrative Agent shall determine the Dollar Equivalent amounts of Borrowings and Loans denominated in Alternative Currencies. Such Dollar Equivalent shall become effective as of such Revaluation Date and shall be the Dollar Equivalent of such amounts until the next Revaluation Date to occur.</w:t>
      </w:r>
    </w:p>
    <w:p>
      <w:pPr>
        <w:spacing w:after="0" w:line="156" w:lineRule="exact"/>
        <w:rPr>
          <w:rFonts w:ascii="Arial" w:cs="Arial" w:eastAsia="Arial" w:hAnsi="Arial"/>
          <w:sz w:val="20"/>
          <w:szCs w:val="20"/>
          <w:color w:val="auto"/>
        </w:rPr>
      </w:pPr>
    </w:p>
    <w:p>
      <w:pPr>
        <w:ind w:left="660" w:firstLine="644"/>
        <w:spacing w:after="0" w:line="229" w:lineRule="auto"/>
        <w:tabs>
          <w:tab w:leader="none" w:pos="1725"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Borrowings and Continuations of Alternative Currency Loans</w:t>
      </w:r>
      <w:r>
        <w:rPr>
          <w:rFonts w:ascii="Arial" w:cs="Arial" w:eastAsia="Arial" w:hAnsi="Arial"/>
          <w:sz w:val="20"/>
          <w:szCs w:val="20"/>
          <w:color w:val="auto"/>
        </w:rPr>
        <w:t>. In addition to any other borrowing requirements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39" w:name="page40"/>
    <w:bookmarkEnd w:id="39"/>
    <w:p>
      <w:pPr>
        <w:jc w:val="both"/>
        <w:ind w:left="1300" w:firstLine="652"/>
        <w:spacing w:after="0" w:line="222" w:lineRule="auto"/>
        <w:tabs>
          <w:tab w:leader="none" w:pos="2454"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Alternative Currency Loans</w:t>
      </w:r>
      <w:r>
        <w:rPr>
          <w:rFonts w:ascii="Arial" w:cs="Arial" w:eastAsia="Arial" w:hAnsi="Arial"/>
          <w:sz w:val="18"/>
          <w:szCs w:val="18"/>
          <w:color w:val="auto"/>
        </w:rPr>
        <w:t xml:space="preserve">. Each Borrowing of Alternative Currency Loans, and each continuation of an Alternative Currency Term Rate Loan shall be made upon the Borrower’s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three Business Days (or five Business Days in the case of a Special Notice Currency) prior to the requested date of any Borrowing or, in the case of Alternative Currency Term Rate Loans, any continuation. Each Borrowing of or continuation of Alternative Currency Loans shall be in the minimum amounts set forth in the Agreement for Loans bearing interest at the Eurocurrency Rate and denominated in the applicable Alternative Currency. Each Committed Loan Notice shall specify (i) whether the Borrower is requesting a Borrowing or a continuation of Alternative Currency Term Rate Loans, (ii) the requested date of the Borrowing or continuation, as the case may be (which shall be a Business Day), (iii) the currency and principal amount of Loans to be borrowed or continued, (iv) the Type of Loans to be borrowed, (v) if applicable, the duration of the Interest Period with respect thereto. If the Borrower fails to specify a currency in a Loan Notice requesting a Borrowing, then the Loans so requested shall be made in Dollars. If the Borrower fails to specify a Type of Loan in a Committed Loan Notice or if such Borrower fails to give a timely notice requesting a continuation, then the applicable Loans shall be made as Base Rate Loans denominated in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Alternative Currency Term Rate Loans, such Loans shall be continued as Alternative Currency Term Rate Loans in their original currency with an Interest Period of one (1) month. If the Borrower requests a Borrowing of or continuation of Alternative Currency Term Rate Loans in any such Committed Loan Notice, but fails to specify an Interest Period, it will be deemed to have specified an Interest Period of one month. Except as otherwise specified in the Agreement, no Alternative Currency Loan may be converted into or continued as a Loan denominated in a different currency, but instead must be repaid in the original currency of such Alternative Currency Loan and reborrowed in the other currency.</w:t>
      </w:r>
    </w:p>
    <w:p>
      <w:pPr>
        <w:spacing w:after="0" w:line="161" w:lineRule="exact"/>
        <w:rPr>
          <w:rFonts w:ascii="Arial" w:cs="Arial" w:eastAsia="Arial" w:hAnsi="Arial"/>
          <w:sz w:val="18"/>
          <w:szCs w:val="18"/>
          <w:color w:val="auto"/>
        </w:rPr>
      </w:pPr>
    </w:p>
    <w:p>
      <w:pPr>
        <w:jc w:val="both"/>
        <w:ind w:left="1300" w:firstLine="652"/>
        <w:spacing w:after="0" w:line="217" w:lineRule="auto"/>
        <w:tabs>
          <w:tab w:leader="none" w:pos="2414"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Conforming Changes</w:t>
      </w:r>
      <w:r>
        <w:rPr>
          <w:rFonts w:ascii="Arial" w:cs="Arial" w:eastAsia="Arial" w:hAnsi="Arial"/>
          <w:sz w:val="19"/>
          <w:szCs w:val="19"/>
          <w:color w:val="auto"/>
        </w:rPr>
        <w:t xml:space="preserve">. With respect to any Alternative Currency Daily Rate or any Alternative Currency Term Rate, the Administrative Agent will have the right to make Conforming Changes from time to time and, notwithstanding anything to the contrary herein, in the Agreement or in any other Loan Document, any amendments implementing such Conforming Changes will become effective without any further action or consent of any other party to this Amendment, the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with respect to any such amendment effected, the Administrative Agent shall post each such amendment implementing such Conforming Changes to the Borrower and the Lenders reasonably promptly after such amendment becomes effective.</w:t>
      </w:r>
    </w:p>
    <w:p>
      <w:pPr>
        <w:spacing w:after="0" w:line="156" w:lineRule="exact"/>
        <w:rPr>
          <w:rFonts w:ascii="Arial" w:cs="Arial" w:eastAsia="Arial" w:hAnsi="Arial"/>
          <w:sz w:val="19"/>
          <w:szCs w:val="19"/>
          <w:color w:val="auto"/>
        </w:rPr>
      </w:pPr>
    </w:p>
    <w:p>
      <w:pPr>
        <w:ind w:left="1300" w:right="20" w:firstLine="652"/>
        <w:spacing w:after="0" w:line="269" w:lineRule="auto"/>
        <w:tabs>
          <w:tab w:leader="none" w:pos="2442"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Committed Loan Notice</w:t>
      </w:r>
      <w:r>
        <w:rPr>
          <w:rFonts w:ascii="Arial" w:cs="Arial" w:eastAsia="Arial" w:hAnsi="Arial"/>
          <w:sz w:val="18"/>
          <w:szCs w:val="18"/>
          <w:color w:val="auto"/>
        </w:rPr>
        <w:t>. For purposes of a Borrowing of Alternative Currency Loans, or a continuation of and Alternative Currency Term Rate Loan, the Borrower shall use the Committed Loan Notice attached hereto as Exhibit A.</w:t>
      </w:r>
    </w:p>
    <w:p>
      <w:pPr>
        <w:spacing w:after="0" w:line="130" w:lineRule="exact"/>
        <w:rPr>
          <w:rFonts w:ascii="Arial" w:cs="Arial" w:eastAsia="Arial" w:hAnsi="Arial"/>
          <w:sz w:val="18"/>
          <w:szCs w:val="18"/>
          <w:color w:val="auto"/>
        </w:rPr>
      </w:pPr>
    </w:p>
    <w:p>
      <w:pPr>
        <w:ind w:left="1700" w:hanging="396"/>
        <w:spacing w:after="0"/>
        <w:tabs>
          <w:tab w:leader="none" w:pos="17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223"/>
        <w:spacing w:after="0" w:line="221" w:lineRule="auto"/>
        <w:tabs>
          <w:tab w:leader="none" w:pos="192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Subject to the provisions of the Agreement with respect to default interest, (x) each Alternative Currency Daily Rate Loan shall bear interest on the outstanding principal amount thereof from the applicable borrowing date at a rate per annum equal to the Alternative Currency Daily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and (y)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40" w:name="page41"/>
    <w:bookmarkEnd w:id="40"/>
    <w:p>
      <w:pPr>
        <w:jc w:val="both"/>
        <w:ind w:left="1300" w:firstLine="299"/>
        <w:spacing w:after="0" w:line="213" w:lineRule="auto"/>
        <w:tabs>
          <w:tab w:leader="none" w:pos="2132" w:val="left"/>
        </w:tabs>
        <w:numPr>
          <w:ilvl w:val="3"/>
          <w:numId w:val="21"/>
        </w:numPr>
        <w:rPr>
          <w:rFonts w:ascii="Arial" w:cs="Arial" w:eastAsia="Arial" w:hAnsi="Arial"/>
          <w:sz w:val="20"/>
          <w:szCs w:val="20"/>
          <w:color w:val="auto"/>
        </w:rPr>
      </w:pPr>
      <w:r>
        <w:rPr>
          <w:rFonts w:ascii="Arial" w:cs="Arial" w:eastAsia="Arial" w:hAnsi="Arial"/>
          <w:sz w:val="20"/>
          <w:szCs w:val="20"/>
          <w:color w:val="auto"/>
        </w:rPr>
        <w:t>Interest on each Alternative Currency Loan shall be due and payable in arrears on each Interest Payment Date applicable thereto and at such other times as may be specified the Agreement. Interest hereunder shall be due and payable in accordance with the terms hereof before and after judgment, and before and after the commencement of any proceeding under any debtor relief law.</w:t>
      </w:r>
    </w:p>
    <w:p>
      <w:pPr>
        <w:spacing w:after="0" w:line="155" w:lineRule="exact"/>
        <w:rPr>
          <w:rFonts w:ascii="Arial" w:cs="Arial" w:eastAsia="Arial" w:hAnsi="Arial"/>
          <w:sz w:val="20"/>
          <w:szCs w:val="20"/>
          <w:color w:val="auto"/>
        </w:rPr>
      </w:pPr>
    </w:p>
    <w:p>
      <w:pPr>
        <w:jc w:val="both"/>
        <w:ind w:left="660" w:firstLine="644"/>
        <w:spacing w:after="0" w:line="216" w:lineRule="auto"/>
        <w:tabs>
          <w:tab w:leader="none" w:pos="1799"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Computations</w:t>
      </w:r>
      <w:r>
        <w:rPr>
          <w:rFonts w:ascii="Arial" w:cs="Arial" w:eastAsia="Arial" w:hAnsi="Arial"/>
          <w:sz w:val="19"/>
          <w:szCs w:val="19"/>
          <w:color w:val="auto"/>
        </w:rPr>
        <w:t xml:space="preserve">. All computations of interest for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Interest shall accrue on each Alternative Currency Loans for the day on which the Alternative Currency Loans is made, and shall not accrue on an Alternative Currency Loans, or any portion thereof, for the day on which the Alternative Currency Loans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Alternative Currency Loans that is repaid on the same day on which it is made shall, subject to the terms of the Agreement, bear interest for one day. Each determination by the Administrative Agent of an interest rate or fee hereunder shall be conclusive and binding for all purposes, absent manifest error.</w:t>
      </w:r>
    </w:p>
    <w:p>
      <w:pPr>
        <w:spacing w:after="0" w:line="154" w:lineRule="exact"/>
        <w:rPr>
          <w:rFonts w:ascii="Arial" w:cs="Arial" w:eastAsia="Arial" w:hAnsi="Arial"/>
          <w:sz w:val="19"/>
          <w:szCs w:val="19"/>
          <w:color w:val="auto"/>
        </w:rPr>
      </w:pPr>
    </w:p>
    <w:p>
      <w:pPr>
        <w:ind w:left="1400" w:hanging="420"/>
        <w:spacing w:after="0"/>
        <w:tabs>
          <w:tab w:leader="none" w:pos="14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Inability to Determine Rate; Successor Rates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980" w:firstLine="225"/>
        <w:spacing w:after="0" w:line="218" w:lineRule="auto"/>
        <w:tabs>
          <w:tab w:leader="none" w:pos="161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2(h)</w:t>
      </w:r>
      <w:r>
        <w:rPr>
          <w:rFonts w:ascii="Arial" w:cs="Arial" w:eastAsia="Arial" w:hAnsi="Arial"/>
          <w:sz w:val="20"/>
          <w:szCs w:val="20"/>
          <w:color w:val="auto"/>
        </w:rPr>
        <w:t>, those Lenders that either have not made, or do not have an obligation under the Agreement to make, the relevant Loans in the relevant Alternative Currency shall be excluded from any determination of Required Lenders.</w:t>
      </w:r>
    </w:p>
    <w:p>
      <w:pPr>
        <w:spacing w:after="0" w:line="156" w:lineRule="exact"/>
        <w:rPr>
          <w:sz w:val="20"/>
          <w:szCs w:val="20"/>
          <w:color w:val="auto"/>
        </w:rPr>
      </w:pPr>
    </w:p>
    <w:p>
      <w:pPr>
        <w:jc w:val="both"/>
        <w:ind w:left="980" w:firstLine="198"/>
        <w:spacing w:after="0" w:line="224" w:lineRule="auto"/>
        <w:tabs>
          <w:tab w:leader="none" w:pos="161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xml:space="preserve">. If in connection with any request for an Alternative Currency Loan or a continuation of any of such Loans, as applicable, (A) the Administrative Agent determines (which determination shall be conclusive absent manifest error) that (x) no Successor Rate for the Relevant Rate for the applicable currency has been determined in accordance with </w:t>
      </w:r>
      <w:r>
        <w:rPr>
          <w:rFonts w:ascii="Arial" w:cs="Arial" w:eastAsia="Arial" w:hAnsi="Arial"/>
          <w:sz w:val="18"/>
          <w:szCs w:val="18"/>
          <w:u w:val="single" w:color="auto"/>
          <w:color w:val="auto"/>
        </w:rPr>
        <w:t>Section 2(h)(iii)</w:t>
      </w:r>
      <w:r>
        <w:rPr>
          <w:rFonts w:ascii="Arial" w:cs="Arial" w:eastAsia="Arial" w:hAnsi="Arial"/>
          <w:sz w:val="18"/>
          <w:szCs w:val="18"/>
          <w:color w:val="auto"/>
        </w:rPr>
        <w:t xml:space="preserve"> and the circumstances under clause (x) of </w:t>
      </w:r>
      <w:r>
        <w:rPr>
          <w:rFonts w:ascii="Arial" w:cs="Arial" w:eastAsia="Arial" w:hAnsi="Arial"/>
          <w:sz w:val="18"/>
          <w:szCs w:val="18"/>
          <w:u w:val="single" w:color="auto"/>
          <w:color w:val="auto"/>
        </w:rPr>
        <w:t>Section 2(h)(iii)</w:t>
      </w:r>
      <w:r>
        <w:rPr>
          <w:rFonts w:ascii="Arial" w:cs="Arial" w:eastAsia="Arial" w:hAnsi="Arial"/>
          <w:sz w:val="18"/>
          <w:szCs w:val="18"/>
          <w:color w:val="auto"/>
        </w:rPr>
        <w:t xml:space="preserve"> or the Scheduled Unavailability Date has occurred with respect to such Relevant Rate (as applicable), or (y) adequate and reasonable means do not otherwise exist for determining the Relevant Rate for the applicable currency for any determination date(s) or requested Interest Period, as applicable, with respect to a proposed Alternative Currency Loan, or (B) the Administrative Agent or the Required Lenders determine that for any reason that the Relevant Rate with respect to a proposed Loan denominated in an a currency for any requested Interest Period or determination date(s) does not adequately and fairly reflect the cost to such Lenders of funding such Loan, the Administrative Agent will promptly so notify the Borrower and each Lender. Thereafter, the obligation of the Lenders to make or maintain Loans in the affected currencies, as applicable, shall be suspended in each case to the extent of the affected Alternative Currency Loans or Interest Period or determination date(s), as applicable, in each case until the Administrative Agent (or, in the case of a determination by the Required Lenders described in clause (B) of this Section, until the Administrative Agent upon instruction of the Required Lenders) revokes such notice.</w:t>
      </w:r>
    </w:p>
    <w:p>
      <w:pPr>
        <w:spacing w:after="0" w:line="157" w:lineRule="exact"/>
        <w:rPr>
          <w:sz w:val="20"/>
          <w:szCs w:val="20"/>
          <w:color w:val="auto"/>
        </w:rPr>
      </w:pPr>
    </w:p>
    <w:p>
      <w:pPr>
        <w:jc w:val="both"/>
        <w:ind w:left="980" w:firstLine="322"/>
        <w:spacing w:after="0" w:line="214" w:lineRule="auto"/>
        <w:rPr>
          <w:sz w:val="20"/>
          <w:szCs w:val="20"/>
          <w:color w:val="auto"/>
        </w:rPr>
      </w:pPr>
      <w:r>
        <w:rPr>
          <w:rFonts w:ascii="Arial" w:cs="Arial" w:eastAsia="Arial" w:hAnsi="Arial"/>
          <w:sz w:val="19"/>
          <w:szCs w:val="19"/>
          <w:color w:val="auto"/>
        </w:rPr>
        <w:t xml:space="preserve">Upon receipt of such notice, (A) the Borrower may revoke any pending request for a 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(B) any outstanding affected Alternative Currency Loans, at the Borrower’s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Borrower (x) in the case of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41" w:name="page42"/>
    <w:bookmarkEnd w:id="41"/>
    <w:p>
      <w:pPr>
        <w:jc w:val="both"/>
        <w:ind w:left="980"/>
        <w:spacing w:after="0" w:line="218" w:lineRule="auto"/>
        <w:rPr>
          <w:sz w:val="20"/>
          <w:szCs w:val="20"/>
          <w:color w:val="auto"/>
        </w:rPr>
      </w:pPr>
      <w:r>
        <w:rPr>
          <w:rFonts w:ascii="Arial" w:cs="Arial" w:eastAsia="Arial" w:hAnsi="Arial"/>
          <w:sz w:val="20"/>
          <w:szCs w:val="20"/>
          <w:color w:val="auto"/>
        </w:rPr>
        <w:t>Currency Daily Rate Loan, by the date that is three Business Days after receipt by the Borrower of such notice or (y) in the case of an Alternative Currency Term Rate Loan, by the last day of the current Interest Period for the applicable Alternative Currency Term Rate Loan, the Borrower shall be deemed to have elected clause (1) above.</w:t>
      </w:r>
    </w:p>
    <w:p>
      <w:pPr>
        <w:spacing w:after="0" w:line="156" w:lineRule="exact"/>
        <w:rPr>
          <w:sz w:val="20"/>
          <w:szCs w:val="20"/>
          <w:color w:val="auto"/>
        </w:rPr>
      </w:pPr>
    </w:p>
    <w:p>
      <w:pPr>
        <w:jc w:val="both"/>
        <w:ind w:left="980" w:firstLine="265"/>
        <w:spacing w:after="0" w:line="236" w:lineRule="auto"/>
        <w:tabs>
          <w:tab w:leader="none" w:pos="180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Replacement of Relevant Rate or Successor Rate</w:t>
      </w:r>
      <w:r>
        <w:rPr>
          <w:rFonts w:ascii="Arial" w:cs="Arial" w:eastAsia="Arial" w:hAnsi="Arial"/>
          <w:sz w:val="18"/>
          <w:szCs w:val="18"/>
          <w:color w:val="auto"/>
        </w:rPr>
        <w:t>. Notwithstanding anything to the contrary in this Amendment, the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57" w:lineRule="exact"/>
        <w:rPr>
          <w:rFonts w:ascii="Arial" w:cs="Arial" w:eastAsia="Arial" w:hAnsi="Arial"/>
          <w:sz w:val="18"/>
          <w:szCs w:val="18"/>
          <w:color w:val="auto"/>
        </w:rPr>
      </w:pPr>
    </w:p>
    <w:p>
      <w:pPr>
        <w:jc w:val="both"/>
        <w:ind w:left="1300" w:firstLine="620"/>
        <w:spacing w:after="0" w:line="218" w:lineRule="auto"/>
        <w:tabs>
          <w:tab w:leader="none" w:pos="2438" w:val="left"/>
        </w:tabs>
        <w:numPr>
          <w:ilvl w:val="3"/>
          <w:numId w:val="25"/>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w:t>
      </w:r>
    </w:p>
    <w:p>
      <w:pPr>
        <w:spacing w:after="0" w:line="156" w:lineRule="exact"/>
        <w:rPr>
          <w:rFonts w:ascii="Arial" w:cs="Arial" w:eastAsia="Arial" w:hAnsi="Arial"/>
          <w:sz w:val="20"/>
          <w:szCs w:val="20"/>
          <w:color w:val="auto"/>
        </w:rPr>
      </w:pPr>
    </w:p>
    <w:p>
      <w:pPr>
        <w:jc w:val="both"/>
        <w:ind w:left="1300" w:firstLine="588"/>
        <w:spacing w:after="0" w:line="216" w:lineRule="auto"/>
        <w:tabs>
          <w:tab w:leader="none" w:pos="2376" w:val="left"/>
        </w:tabs>
        <w:numPr>
          <w:ilvl w:val="2"/>
          <w:numId w:val="25"/>
        </w:numPr>
        <w:rPr>
          <w:rFonts w:ascii="Arial" w:cs="Arial" w:eastAsia="Arial" w:hAnsi="Arial"/>
          <w:sz w:val="19"/>
          <w:szCs w:val="19"/>
          <w:color w:val="auto"/>
        </w:rPr>
      </w:pPr>
      <w:r>
        <w:rPr>
          <w:rFonts w:ascii="Arial" w:cs="Arial" w:eastAsia="Arial" w:hAnsi="Arial"/>
          <w:sz w:val="19"/>
          <w:szCs w:val="19"/>
          <w:color w:val="auto"/>
        </w:rPr>
        <w:t>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154" w:lineRule="exact"/>
        <w:rPr>
          <w:rFonts w:ascii="Arial" w:cs="Arial" w:eastAsia="Arial" w:hAnsi="Arial"/>
          <w:sz w:val="19"/>
          <w:szCs w:val="19"/>
          <w:color w:val="auto"/>
        </w:rPr>
      </w:pPr>
    </w:p>
    <w:p>
      <w:pPr>
        <w:ind w:left="1300" w:firstLine="564"/>
        <w:spacing w:after="0" w:line="333" w:lineRule="auto"/>
        <w:tabs>
          <w:tab w:leader="none" w:pos="2316" w:val="left"/>
        </w:tabs>
        <w:numPr>
          <w:ilvl w:val="1"/>
          <w:numId w:val="25"/>
        </w:numPr>
        <w:rPr>
          <w:rFonts w:ascii="Arial" w:cs="Arial" w:eastAsia="Arial" w:hAnsi="Arial"/>
          <w:sz w:val="16"/>
          <w:szCs w:val="16"/>
          <w:color w:val="auto"/>
        </w:rPr>
      </w:pPr>
      <w:r>
        <w:rPr>
          <w:rFonts w:ascii="Arial" w:cs="Arial" w:eastAsia="Arial" w:hAnsi="Arial"/>
          <w:sz w:val="16"/>
          <w:szCs w:val="16"/>
          <w:color w:val="auto"/>
        </w:rPr>
        <w:t>syndicated loans currently being executed and agented in the United States, are being executed or amended (as applicable) to incorporate or adopt a new benchmark interest rate to replace the Relevant Rate for an Alternative Currency;</w:t>
      </w:r>
    </w:p>
    <w:p>
      <w:pPr>
        <w:spacing w:after="0" w:line="83" w:lineRule="exact"/>
        <w:rPr>
          <w:sz w:val="20"/>
          <w:szCs w:val="20"/>
          <w:color w:val="auto"/>
        </w:rPr>
      </w:pPr>
    </w:p>
    <w:p>
      <w:pPr>
        <w:jc w:val="both"/>
        <w:ind w:left="1060"/>
        <w:spacing w:after="0" w:line="224" w:lineRule="auto"/>
        <w:rPr>
          <w:sz w:val="20"/>
          <w:szCs w:val="20"/>
          <w:color w:val="auto"/>
        </w:rPr>
      </w:pPr>
      <w:r>
        <w:rPr>
          <w:rFonts w:ascii="Arial" w:cs="Arial" w:eastAsia="Arial" w:hAnsi="Arial"/>
          <w:sz w:val="18"/>
          <w:szCs w:val="18"/>
          <w:color w:val="auto"/>
        </w:rPr>
        <w:t xml:space="preserve">or if the events or circumstances of the type described in </w:t>
      </w:r>
      <w:r>
        <w:rPr>
          <w:rFonts w:ascii="Arial" w:cs="Arial" w:eastAsia="Arial" w:hAnsi="Arial"/>
          <w:sz w:val="18"/>
          <w:szCs w:val="18"/>
          <w:u w:val="single" w:color="auto"/>
          <w:color w:val="auto"/>
        </w:rPr>
        <w:t>Section 2(h)(iii)(x)</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(iii)(z)</w:t>
      </w:r>
      <w:r>
        <w:rPr>
          <w:rFonts w:ascii="Arial" w:cs="Arial" w:eastAsia="Arial" w:hAnsi="Arial"/>
          <w:sz w:val="18"/>
          <w:szCs w:val="18"/>
          <w:color w:val="auto"/>
        </w:rPr>
        <w:t xml:space="preserve"> of this Appendix A have occurred with respect to the Successor Rate then in effect, then, the Administrative Agent and the Borrower may amend this Amendment solely for the purpose of replacing the Relevant Rate for an Alternative Currency or any then current Successor Rate for an Alternative Currency in accordance with this </w:t>
      </w:r>
      <w:r>
        <w:rPr>
          <w:rFonts w:ascii="Arial" w:cs="Arial" w:eastAsia="Arial" w:hAnsi="Arial"/>
          <w:sz w:val="18"/>
          <w:szCs w:val="18"/>
          <w:u w:val="single" w:color="auto"/>
          <w:color w:val="auto"/>
        </w:rPr>
        <w:t>Section 2(h)(iii)</w:t>
      </w:r>
      <w:r>
        <w:rPr>
          <w:rFonts w:ascii="Arial" w:cs="Arial" w:eastAsia="Arial" w:hAnsi="Arial"/>
          <w:sz w:val="18"/>
          <w:szCs w:val="18"/>
          <w:color w:val="auto"/>
        </w:rPr>
        <w:t xml:space="preserve"> with an alternative benchmark rate giving due consideration to any evolving or then 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8"/>
          <w:szCs w:val="18"/>
          <w:u w:val="single" w:color="auto"/>
          <w:color w:val="auto"/>
        </w:rPr>
        <w:t>Successor Rate</w:t>
      </w:r>
      <w:r>
        <w:rPr>
          <w:rFonts w:ascii="Arial" w:cs="Arial" w:eastAsia="Arial" w:hAnsi="Arial"/>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57" w:lineRule="exact"/>
        <w:rPr>
          <w:sz w:val="20"/>
          <w:szCs w:val="20"/>
          <w:color w:val="auto"/>
        </w:rPr>
      </w:pPr>
    </w:p>
    <w:p>
      <w:pPr>
        <w:ind w:left="980" w:firstLine="216"/>
        <w:spacing w:after="0" w:line="229" w:lineRule="auto"/>
        <w:rPr>
          <w:sz w:val="20"/>
          <w:szCs w:val="20"/>
          <w:color w:val="auto"/>
        </w:rPr>
      </w:pPr>
      <w:r>
        <w:rPr>
          <w:rFonts w:ascii="Arial" w:cs="Arial" w:eastAsia="Arial" w:hAnsi="Arial"/>
          <w:sz w:val="20"/>
          <w:szCs w:val="20"/>
          <w:color w:val="auto"/>
        </w:rPr>
        <w:t>The Administrative Agent will promptly (in one or more notices) notify the Borrower and each Lender of the implementation of any Successor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42" w:name="page43"/>
    <w:bookmarkEnd w:id="42"/>
    <w:p>
      <w:pPr>
        <w:jc w:val="both"/>
        <w:ind w:left="980" w:right="20" w:firstLine="273"/>
        <w:spacing w:after="0" w:line="218"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56" w:lineRule="exact"/>
        <w:rPr>
          <w:sz w:val="20"/>
          <w:szCs w:val="20"/>
          <w:color w:val="auto"/>
        </w:rPr>
      </w:pPr>
    </w:p>
    <w:p>
      <w:pPr>
        <w:jc w:val="both"/>
        <w:ind w:left="980" w:firstLine="343"/>
        <w:spacing w:after="0" w:line="218" w:lineRule="auto"/>
        <w:rPr>
          <w:sz w:val="20"/>
          <w:szCs w:val="20"/>
          <w:color w:val="auto"/>
        </w:rPr>
      </w:pPr>
      <w:r>
        <w:rPr>
          <w:rFonts w:ascii="Arial" w:cs="Arial" w:eastAsia="Arial" w:hAnsi="Arial"/>
          <w:sz w:val="20"/>
          <w:szCs w:val="20"/>
          <w:color w:val="auto"/>
        </w:rPr>
        <w:t>Notwithstanding anything else herein or in the Agreement, if at any time any Successor Rate as so determined would otherwise be less than zero, the Successor Rate will be deemed to be 0% for purposes of this Amendment and the other Loan Documents.</w:t>
      </w:r>
    </w:p>
    <w:p>
      <w:pPr>
        <w:spacing w:after="0" w:line="156" w:lineRule="exact"/>
        <w:rPr>
          <w:sz w:val="20"/>
          <w:szCs w:val="20"/>
          <w:color w:val="auto"/>
        </w:rPr>
      </w:pPr>
    </w:p>
    <w:p>
      <w:pPr>
        <w:jc w:val="both"/>
        <w:ind w:left="980" w:firstLine="213"/>
        <w:spacing w:after="0" w:line="207" w:lineRule="auto"/>
        <w:rPr>
          <w:sz w:val="20"/>
          <w:szCs w:val="20"/>
          <w:color w:val="auto"/>
        </w:rPr>
      </w:pPr>
      <w:r>
        <w:rPr>
          <w:rFonts w:ascii="Arial" w:cs="Arial" w:eastAsia="Arial" w:hAnsi="Arial"/>
          <w:sz w:val="20"/>
          <w:szCs w:val="20"/>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Amendment;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60" w:lineRule="exact"/>
        <w:rPr>
          <w:sz w:val="20"/>
          <w:szCs w:val="20"/>
          <w:color w:val="auto"/>
        </w:rPr>
      </w:pPr>
    </w:p>
    <w:p>
      <w:pPr>
        <w:jc w:val="both"/>
        <w:ind w:firstLine="271"/>
        <w:spacing w:after="0" w:line="213" w:lineRule="auto"/>
        <w:tabs>
          <w:tab w:leader="none" w:pos="714"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any Loan Document, the interest paid or agreed to be paid under the Loan Documents shall not exceed the maximum rate of non-usurious interest permitted by applicable law (the “Maximum Rate”). If the Lender shall receive interest in an amount that exceeds the Maximum Rate, the excess interest shall be applied to the principal of the Loans or, if it exceeds such unpaid principal, refunded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43" w:name="page44"/>
    <w:bookmarkEnd w:id="43"/>
    <w:p>
      <w:pPr>
        <w:ind w:left="5240"/>
        <w:spacing w:after="0"/>
        <w:rPr>
          <w:sz w:val="20"/>
          <w:szCs w:val="20"/>
          <w:color w:val="auto"/>
        </w:rPr>
      </w:pPr>
      <w:r>
        <w:rPr>
          <w:rFonts w:ascii="Arial" w:cs="Arial" w:eastAsia="Arial" w:hAnsi="Arial"/>
          <w:sz w:val="20"/>
          <w:szCs w:val="20"/>
          <w:u w:val="single" w:color="auto"/>
          <w:color w:val="auto"/>
        </w:rPr>
        <w:t>Exhibit A</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FORM OF COMMITTED LOAN NOTICE</w:t>
      </w:r>
    </w:p>
    <w:p>
      <w:pPr>
        <w:jc w:val="center"/>
        <w:spacing w:after="0"/>
        <w:rPr>
          <w:sz w:val="20"/>
          <w:szCs w:val="20"/>
          <w:color w:val="auto"/>
        </w:rPr>
      </w:pPr>
      <w:r>
        <w:rPr>
          <w:rFonts w:ascii="Arial" w:cs="Arial" w:eastAsia="Arial" w:hAnsi="Arial"/>
          <w:sz w:val="20"/>
          <w:szCs w:val="20"/>
          <w:color w:val="auto"/>
        </w:rPr>
        <w:t>(Alternative Currency Loans)</w:t>
      </w:r>
    </w:p>
    <w:p>
      <w:pPr>
        <w:spacing w:after="0" w:line="339" w:lineRule="exact"/>
        <w:rPr>
          <w:sz w:val="20"/>
          <w:szCs w:val="20"/>
          <w:color w:val="auto"/>
        </w:rPr>
      </w:pPr>
    </w:p>
    <w:p>
      <w:pPr>
        <w:ind w:left="9020"/>
        <w:spacing w:after="0"/>
        <w:rPr>
          <w:sz w:val="20"/>
          <w:szCs w:val="20"/>
          <w:color w:val="auto"/>
        </w:rPr>
      </w:pPr>
      <w:r>
        <w:rPr>
          <w:rFonts w:ascii="Arial" w:cs="Arial" w:eastAsia="Arial" w:hAnsi="Arial"/>
          <w:sz w:val="17"/>
          <w:szCs w:val="17"/>
          <w:color w:val="auto"/>
        </w:rPr>
        <w:t>Date: ___________, _____</w:t>
      </w:r>
      <w:r>
        <w:rPr>
          <w:rFonts w:ascii="Arial" w:cs="Arial" w:eastAsia="Arial" w:hAnsi="Arial"/>
          <w:sz w:val="21"/>
          <w:szCs w:val="21"/>
          <w:color w:val="auto"/>
          <w:vertAlign w:val="superscript"/>
        </w:rPr>
        <w:t>1</w:t>
      </w: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Reference is made to that certain Amended and Restated Credit Agreement, dated as of September 27, 2019 (as amended, restated, extended, supplemented or otherwise modified in writing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the terms defined therein being used herein as therein defined), among POWELL INDUSTRIES,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thereto, the Lenders from time to time party thereto, and BANK OF AMERICA, N.A., as Administrative Agent.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(select one)</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[Revolving Facility]</w:t>
      </w:r>
    </w:p>
    <w:p>
      <w:pPr>
        <w:spacing w:after="0" w:line="245" w:lineRule="exact"/>
        <w:rPr>
          <w:sz w:val="20"/>
          <w:szCs w:val="20"/>
          <w:color w:val="auto"/>
        </w:rPr>
      </w:pPr>
    </w:p>
    <w:tbl>
      <w:tblPr>
        <w:tblLayout w:type="fixed"/>
        <w:tblInd w:w="210" w:type="dxa"/>
        <w:tblCellMar>
          <w:top w:w="0" w:type="dxa"/>
          <w:left w:w="0" w:type="dxa"/>
          <w:bottom w:w="0" w:type="dxa"/>
          <w:right w:w="0" w:type="dxa"/>
        </w:tblCellMar>
      </w:tblPr>
      <w:tr>
        <w:trPr>
          <w:trHeight w:val="216"/>
        </w:trPr>
        <w:tc>
          <w:tcPr>
            <w:tcW w:w="520" w:type="dxa"/>
            <w:vAlign w:val="bottom"/>
            <w:tcBorders>
              <w:top w:val="single" w:sz="8" w:color="auto"/>
              <w:left w:val="single" w:sz="8" w:color="auto"/>
            </w:tcBorders>
          </w:tcPr>
          <w:p>
            <w:pPr>
              <w:spacing w:after="0"/>
              <w:rPr>
                <w:sz w:val="18"/>
                <w:szCs w:val="18"/>
                <w:color w:val="auto"/>
              </w:rPr>
            </w:pPr>
          </w:p>
        </w:tc>
        <w:tc>
          <w:tcPr>
            <w:tcW w:w="1300" w:type="dxa"/>
            <w:vAlign w:val="bottom"/>
            <w:tcBorders>
              <w:top w:val="single" w:sz="8" w:color="auto"/>
              <w:right w:val="single" w:sz="8" w:color="auto"/>
            </w:tcBorders>
            <w:gridSpan w:val="2"/>
          </w:tcPr>
          <w:p>
            <w:pPr>
              <w:jc w:val="center"/>
              <w:ind w:right="540"/>
              <w:spacing w:after="0" w:line="216" w:lineRule="exact"/>
              <w:rPr>
                <w:sz w:val="20"/>
                <w:szCs w:val="20"/>
                <w:color w:val="auto"/>
              </w:rPr>
            </w:pPr>
            <w:r>
              <w:rPr>
                <w:rFonts w:ascii="Arial" w:cs="Arial" w:eastAsia="Arial" w:hAnsi="Arial"/>
                <w:sz w:val="20"/>
                <w:szCs w:val="20"/>
                <w:b w:val="1"/>
                <w:bCs w:val="1"/>
                <w:color w:val="auto"/>
                <w:w w:val="92"/>
              </w:rPr>
              <w:t>Indicate: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gridSpan w:val="2"/>
          </w:tcPr>
          <w:p>
            <w:pPr>
              <w:jc w:val="center"/>
              <w:ind w:right="380"/>
              <w:spacing w:after="0" w:line="216" w:lineRule="exact"/>
              <w:rPr>
                <w:sz w:val="20"/>
                <w:szCs w:val="20"/>
                <w:color w:val="auto"/>
              </w:rPr>
            </w:pPr>
            <w:r>
              <w:rPr>
                <w:rFonts w:ascii="Arial" w:cs="Arial" w:eastAsia="Arial" w:hAnsi="Arial"/>
                <w:sz w:val="20"/>
                <w:szCs w:val="20"/>
                <w:b w:val="1"/>
                <w:bCs w:val="1"/>
                <w:color w:val="auto"/>
                <w:w w:val="92"/>
              </w:rPr>
              <w:t>Indicate:</w:t>
            </w:r>
          </w:p>
        </w:tc>
        <w:tc>
          <w:tcPr>
            <w:tcW w:w="1480" w:type="dxa"/>
            <w:vAlign w:val="bottom"/>
            <w:tcBorders>
              <w:top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0"/>
                <w:szCs w:val="20"/>
                <w:b w:val="1"/>
                <w:bCs w:val="1"/>
                <w:color w:val="auto"/>
                <w:w w:val="92"/>
              </w:rPr>
              <w:t>Indicate:</w:t>
            </w:r>
          </w:p>
        </w:tc>
        <w:tc>
          <w:tcPr>
            <w:tcW w:w="48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Indicate:</w:t>
            </w:r>
          </w:p>
        </w:tc>
        <w:tc>
          <w:tcPr>
            <w:tcW w:w="6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gridSpan w:val="2"/>
          </w:tcPr>
          <w:p>
            <w:pPr>
              <w:jc w:val="center"/>
              <w:ind w:right="640"/>
              <w:spacing w:after="0" w:line="216" w:lineRule="exact"/>
              <w:rPr>
                <w:sz w:val="20"/>
                <w:szCs w:val="20"/>
                <w:color w:val="auto"/>
              </w:rPr>
            </w:pPr>
            <w:r>
              <w:rPr>
                <w:rFonts w:ascii="Arial" w:cs="Arial" w:eastAsia="Arial" w:hAnsi="Arial"/>
                <w:sz w:val="20"/>
                <w:szCs w:val="20"/>
                <w:b w:val="1"/>
                <w:bCs w:val="1"/>
                <w:color w:val="auto"/>
                <w:w w:val="89"/>
              </w:rPr>
              <w:t>Indicate:</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5"/>
          </w:tcPr>
          <w:p>
            <w:pPr>
              <w:jc w:val="center"/>
              <w:ind w:right="360"/>
              <w:spacing w:after="0" w:line="216" w:lineRule="exact"/>
              <w:rPr>
                <w:sz w:val="20"/>
                <w:szCs w:val="20"/>
                <w:color w:val="auto"/>
              </w:rPr>
            </w:pPr>
            <w:r>
              <w:rPr>
                <w:rFonts w:ascii="Arial" w:cs="Arial" w:eastAsia="Arial" w:hAnsi="Arial"/>
                <w:sz w:val="20"/>
                <w:szCs w:val="20"/>
                <w:b w:val="1"/>
                <w:bCs w:val="1"/>
                <w:color w:val="auto"/>
                <w:w w:val="92"/>
              </w:rPr>
              <w:t>For Alternative</w:t>
            </w: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tcBorders>
              <w:left w:val="single" w:sz="8" w:color="auto"/>
            </w:tcBorders>
            <w:vMerge w:val="continue"/>
          </w:tcPr>
          <w:p>
            <w:pPr>
              <w:spacing w:after="0"/>
              <w:rPr>
                <w:sz w:val="14"/>
                <w:szCs w:val="14"/>
                <w:color w:val="auto"/>
              </w:rPr>
            </w:pPr>
          </w:p>
        </w:tc>
        <w:tc>
          <w:tcPr>
            <w:tcW w:w="700" w:type="dxa"/>
            <w:vAlign w:val="bottom"/>
          </w:tcPr>
          <w:p>
            <w:pPr>
              <w:spacing w:after="0" w:line="156" w:lineRule="exact"/>
              <w:rPr>
                <w:sz w:val="20"/>
                <w:szCs w:val="20"/>
                <w:color w:val="auto"/>
              </w:rPr>
            </w:pPr>
            <w:r>
              <w:rPr>
                <w:rFonts w:ascii="Arial" w:cs="Arial" w:eastAsia="Arial" w:hAnsi="Arial"/>
                <w:sz w:val="18"/>
                <w:szCs w:val="18"/>
                <w:b w:val="1"/>
                <w:bCs w:val="1"/>
                <w:color w:val="auto"/>
                <w:w w:val="71"/>
              </w:rPr>
              <w:t>Borrowing,</w:t>
            </w:r>
          </w:p>
        </w:tc>
        <w:tc>
          <w:tcPr>
            <w:tcW w:w="60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gridSpan w:val="3"/>
          </w:tcPr>
          <w:p>
            <w:pPr>
              <w:jc w:val="center"/>
              <w:ind w:right="20"/>
              <w:spacing w:after="0" w:line="156" w:lineRule="exact"/>
              <w:rPr>
                <w:sz w:val="20"/>
                <w:szCs w:val="20"/>
                <w:color w:val="auto"/>
              </w:rPr>
            </w:pPr>
            <w:r>
              <w:rPr>
                <w:rFonts w:ascii="Arial" w:cs="Arial" w:eastAsia="Arial" w:hAnsi="Arial"/>
                <w:sz w:val="18"/>
                <w:szCs w:val="18"/>
                <w:b w:val="1"/>
                <w:bCs w:val="1"/>
                <w:color w:val="auto"/>
              </w:rPr>
              <w:t>Borrower Name</w:t>
            </w:r>
          </w:p>
        </w:tc>
        <w:tc>
          <w:tcPr>
            <w:tcW w:w="1480" w:type="dxa"/>
            <w:vAlign w:val="bottom"/>
            <w:tcBorders>
              <w:right w:val="single" w:sz="8" w:color="auto"/>
            </w:tcBorders>
            <w:gridSpan w:val="3"/>
          </w:tcPr>
          <w:p>
            <w:pPr>
              <w:jc w:val="center"/>
              <w:spacing w:after="0" w:line="156" w:lineRule="exact"/>
              <w:rPr>
                <w:sz w:val="20"/>
                <w:szCs w:val="20"/>
                <w:color w:val="auto"/>
              </w:rPr>
            </w:pPr>
            <w:r>
              <w:rPr>
                <w:rFonts w:ascii="Arial" w:cs="Arial" w:eastAsia="Arial" w:hAnsi="Arial"/>
                <w:sz w:val="18"/>
                <w:szCs w:val="18"/>
                <w:b w:val="1"/>
                <w:bCs w:val="1"/>
                <w:color w:val="auto"/>
                <w:w w:val="95"/>
              </w:rPr>
              <w:t>Requested</w:t>
            </w:r>
          </w:p>
        </w:tc>
        <w:tc>
          <w:tcPr>
            <w:tcW w:w="1720" w:type="dxa"/>
            <w:vAlign w:val="bottom"/>
            <w:tcBorders>
              <w:right w:val="single" w:sz="8" w:color="auto"/>
            </w:tcBorders>
            <w:gridSpan w:val="3"/>
          </w:tcPr>
          <w:p>
            <w:pPr>
              <w:ind w:left="460"/>
              <w:spacing w:after="0" w:line="156" w:lineRule="exact"/>
              <w:rPr>
                <w:sz w:val="20"/>
                <w:szCs w:val="20"/>
                <w:color w:val="auto"/>
              </w:rPr>
            </w:pPr>
            <w:r>
              <w:rPr>
                <w:rFonts w:ascii="Arial" w:cs="Arial" w:eastAsia="Arial" w:hAnsi="Arial"/>
                <w:sz w:val="18"/>
                <w:szCs w:val="18"/>
                <w:b w:val="1"/>
                <w:bCs w:val="1"/>
                <w:color w:val="auto"/>
              </w:rPr>
              <w:t>Currency</w:t>
            </w:r>
          </w:p>
        </w:tc>
        <w:tc>
          <w:tcPr>
            <w:tcW w:w="2020" w:type="dxa"/>
            <w:vAlign w:val="bottom"/>
            <w:tcBorders>
              <w:right w:val="single" w:sz="8" w:color="auto"/>
            </w:tcBorders>
            <w:gridSpan w:val="3"/>
          </w:tcPr>
          <w:p>
            <w:pPr>
              <w:jc w:val="center"/>
              <w:spacing w:after="0" w:line="156" w:lineRule="exact"/>
              <w:rPr>
                <w:sz w:val="20"/>
                <w:szCs w:val="20"/>
                <w:color w:val="auto"/>
              </w:rPr>
            </w:pPr>
            <w:r>
              <w:rPr>
                <w:rFonts w:ascii="Arial" w:cs="Arial" w:eastAsia="Arial" w:hAnsi="Arial"/>
                <w:sz w:val="18"/>
                <w:szCs w:val="18"/>
                <w:b w:val="1"/>
                <w:bCs w:val="1"/>
                <w:color w:val="auto"/>
              </w:rPr>
              <w:t>Alternative Currency</w:t>
            </w:r>
          </w:p>
        </w:tc>
        <w:tc>
          <w:tcPr>
            <w:tcW w:w="14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160"/>
              <w:spacing w:after="0" w:line="156" w:lineRule="exact"/>
              <w:rPr>
                <w:sz w:val="20"/>
                <w:szCs w:val="20"/>
                <w:color w:val="auto"/>
              </w:rPr>
            </w:pPr>
            <w:r>
              <w:rPr>
                <w:rFonts w:ascii="Arial" w:cs="Arial" w:eastAsia="Arial" w:hAnsi="Arial"/>
                <w:sz w:val="18"/>
                <w:szCs w:val="18"/>
                <w:b w:val="1"/>
                <w:bCs w:val="1"/>
                <w:color w:val="auto"/>
              </w:rPr>
              <w:t>Currency Term Rate</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gridSpan w:val="3"/>
          </w:tcPr>
          <w:p>
            <w:pPr>
              <w:jc w:val="center"/>
              <w:ind w:right="20"/>
              <w:spacing w:after="0" w:line="162" w:lineRule="exact"/>
              <w:rPr>
                <w:sz w:val="20"/>
                <w:szCs w:val="20"/>
                <w:color w:val="auto"/>
              </w:rPr>
            </w:pPr>
            <w:r>
              <w:rPr>
                <w:rFonts w:ascii="Arial" w:cs="Arial" w:eastAsia="Arial" w:hAnsi="Arial"/>
                <w:sz w:val="18"/>
                <w:szCs w:val="18"/>
                <w:b w:val="1"/>
                <w:bCs w:val="1"/>
                <w:color w:val="auto"/>
                <w:w w:val="98"/>
              </w:rPr>
              <w:t>Conversion or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380"/>
              <w:spacing w:after="0" w:line="162" w:lineRule="exact"/>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8"/>
                <w:szCs w:val="18"/>
                <w:b w:val="1"/>
                <w:bCs w:val="1"/>
                <w:color w:val="auto"/>
              </w:rPr>
              <w:t>Daily Rate Loan or</w:t>
            </w: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4"/>
          </w:tcPr>
          <w:p>
            <w:pPr>
              <w:jc w:val="center"/>
              <w:ind w:right="200"/>
              <w:spacing w:after="0" w:line="162" w:lineRule="exact"/>
              <w:rPr>
                <w:sz w:val="20"/>
                <w:szCs w:val="20"/>
                <w:color w:val="auto"/>
              </w:rPr>
            </w:pPr>
            <w:r>
              <w:rPr>
                <w:rFonts w:ascii="Arial" w:cs="Arial" w:eastAsia="Arial" w:hAnsi="Arial"/>
                <w:sz w:val="18"/>
                <w:szCs w:val="18"/>
                <w:b w:val="1"/>
                <w:bCs w:val="1"/>
                <w:color w:val="auto"/>
              </w:rPr>
              <w:t>Loans Indicate:</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gridSpan w:val="3"/>
          </w:tcPr>
          <w:p>
            <w:pPr>
              <w:jc w:val="center"/>
              <w:ind w:right="20"/>
              <w:spacing w:after="0" w:line="162" w:lineRule="exact"/>
              <w:rPr>
                <w:sz w:val="20"/>
                <w:szCs w:val="20"/>
                <w:color w:val="auto"/>
              </w:rPr>
            </w:pPr>
            <w:r>
              <w:rPr>
                <w:rFonts w:ascii="Arial" w:cs="Arial" w:eastAsia="Arial" w:hAnsi="Arial"/>
                <w:sz w:val="18"/>
                <w:szCs w:val="18"/>
                <w:b w:val="1"/>
                <w:bCs w:val="1"/>
                <w:color w:val="auto"/>
              </w:rPr>
              <w:t>Continuation</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8"/>
                <w:szCs w:val="18"/>
                <w:b w:val="1"/>
                <w:bCs w:val="1"/>
                <w:color w:val="auto"/>
              </w:rPr>
              <w:t>Alternative Currency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1"/>
              </w:rPr>
              <w:t>Term Rate Loan</w:t>
            </w:r>
          </w:p>
        </w:tc>
        <w:tc>
          <w:tcPr>
            <w:tcW w:w="20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88"/>
              </w:rPr>
              <w:t>Interest Period (e.g., 1,</w:t>
            </w: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gridSpan w:val="7"/>
          </w:tcPr>
          <w:p>
            <w:pPr>
              <w:jc w:val="center"/>
              <w:spacing w:after="0" w:line="189" w:lineRule="exact"/>
              <w:rPr>
                <w:sz w:val="20"/>
                <w:szCs w:val="20"/>
                <w:color w:val="auto"/>
              </w:rPr>
            </w:pPr>
            <w:r>
              <w:rPr>
                <w:rFonts w:ascii="Arial" w:cs="Arial" w:eastAsia="Arial" w:hAnsi="Arial"/>
                <w:sz w:val="20"/>
                <w:szCs w:val="20"/>
                <w:b w:val="1"/>
                <w:bCs w:val="1"/>
                <w:color w:val="auto"/>
                <w:w w:val="89"/>
              </w:rPr>
              <w:t>3 or 6 month interest</w:t>
            </w:r>
          </w:p>
        </w:tc>
        <w:tc>
          <w:tcPr>
            <w:tcW w:w="0" w:type="dxa"/>
            <w:vAlign w:val="bottom"/>
          </w:tcPr>
          <w:p>
            <w:pPr>
              <w:spacing w:after="0"/>
              <w:rPr>
                <w:sz w:val="1"/>
                <w:szCs w:val="1"/>
                <w:color w:val="auto"/>
              </w:rPr>
            </w:pP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gridSpan w:val="4"/>
          </w:tcPr>
          <w:p>
            <w:pPr>
              <w:jc w:val="center"/>
              <w:ind w:right="380"/>
              <w:spacing w:after="0"/>
              <w:rPr>
                <w:sz w:val="20"/>
                <w:szCs w:val="20"/>
                <w:color w:val="auto"/>
              </w:rPr>
            </w:pPr>
            <w:r>
              <w:rPr>
                <w:rFonts w:ascii="Arial" w:cs="Arial" w:eastAsia="Arial" w:hAnsi="Arial"/>
                <w:sz w:val="20"/>
                <w:szCs w:val="20"/>
                <w:b w:val="1"/>
                <w:bCs w:val="1"/>
                <w:color w:val="auto"/>
                <w:w w:val="91"/>
              </w:rPr>
              <w:t>period)</w:t>
            </w:r>
          </w:p>
        </w:tc>
        <w:tc>
          <w:tcPr>
            <w:tcW w:w="0" w:type="dxa"/>
            <w:vAlign w:val="bottom"/>
          </w:tcPr>
          <w:p>
            <w:pPr>
              <w:spacing w:after="0"/>
              <w:rPr>
                <w:sz w:val="1"/>
                <w:szCs w:val="1"/>
                <w:color w:val="auto"/>
              </w:rPr>
            </w:pPr>
          </w:p>
        </w:tc>
      </w:tr>
      <w:tr>
        <w:trPr>
          <w:trHeight w:val="304"/>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1" w:lineRule="exact"/>
        <w:rPr>
          <w:sz w:val="20"/>
          <w:szCs w:val="20"/>
          <w:color w:val="auto"/>
        </w:rPr>
      </w:pPr>
    </w:p>
    <w:p>
      <w:pPr>
        <w:ind w:right="560" w:firstLine="8"/>
        <w:spacing w:after="0" w:line="186" w:lineRule="auto"/>
        <w:tabs>
          <w:tab w:leader="none" w:pos="103"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u w:val="single" w:color="auto"/>
          <w:color w:val="auto"/>
        </w:rPr>
        <w:t>Note to Borrower</w:t>
      </w:r>
      <w:r>
        <w:rPr>
          <w:rFonts w:ascii="Arial" w:cs="Arial" w:eastAsia="Arial" w:hAnsi="Arial"/>
          <w:sz w:val="18"/>
          <w:szCs w:val="18"/>
          <w:color w:val="auto"/>
        </w:rPr>
        <w:t>. All requests submitted under a single Committed Loan Notice must be effective on the same date. If multiple effective dates are needed, multiple Committed Loan Notices will need to be prepared and signed.</w:t>
      </w:r>
    </w:p>
    <w:p>
      <w:pPr>
        <w:spacing w:after="0" w:line="1" w:lineRule="exact"/>
        <w:rPr>
          <w:rFonts w:ascii="Arial" w:cs="Arial" w:eastAsia="Arial" w:hAnsi="Arial"/>
          <w:sz w:val="23"/>
          <w:szCs w:val="23"/>
          <w:color w:val="auto"/>
          <w:vertAlign w:val="superscript"/>
        </w:rPr>
      </w:pPr>
    </w:p>
    <w:p>
      <w:pPr>
        <w:ind w:right="260"/>
        <w:spacing w:after="0" w:line="198"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 to Borrower</w:t>
      </w:r>
      <w:r>
        <w:rPr>
          <w:rFonts w:ascii="Arial" w:cs="Arial" w:eastAsia="Arial" w:hAnsi="Arial"/>
          <w:sz w:val="18"/>
          <w:szCs w:val="18"/>
          <w:color w:val="auto"/>
        </w:rPr>
        <w:t>. For multiple borrowings, conversions and/or continuations for a particular facility, fill out a new row for each borrowing/conversion and/or 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1240"/>
          </w:cols>
          <w:pgMar w:left="320" w:top="1405" w:right="339" w:bottom="1440" w:gutter="0" w:footer="0" w:header="0"/>
        </w:sectPr>
      </w:pPr>
    </w:p>
    <w:bookmarkStart w:id="44" w:name="page45"/>
    <w:bookmarkEnd w:id="44"/>
    <w:p>
      <w:pPr>
        <w:spacing w:after="0" w:line="3" w:lineRule="exact"/>
        <w:rPr>
          <w:sz w:val="20"/>
          <w:szCs w:val="20"/>
          <w:color w:val="auto"/>
        </w:rPr>
      </w:pPr>
    </w:p>
    <w:tbl>
      <w:tblPr>
        <w:tblLayout w:type="fixed"/>
        <w:tblInd w:w="210" w:type="dxa"/>
        <w:tblCellMar>
          <w:top w:w="0" w:type="dxa"/>
          <w:left w:w="0" w:type="dxa"/>
          <w:bottom w:w="0" w:type="dxa"/>
          <w:right w:w="0" w:type="dxa"/>
        </w:tblCellMar>
      </w:tblPr>
      <w:tr>
        <w:trPr>
          <w:trHeight w:val="216"/>
        </w:trPr>
        <w:tc>
          <w:tcPr>
            <w:tcW w:w="520" w:type="dxa"/>
            <w:vAlign w:val="bottom"/>
            <w:tcBorders>
              <w:top w:val="single" w:sz="8" w:color="auto"/>
              <w:left w:val="single" w:sz="8" w:color="auto"/>
            </w:tcBorders>
          </w:tcPr>
          <w:p>
            <w:pPr>
              <w:spacing w:after="0"/>
              <w:rPr>
                <w:sz w:val="18"/>
                <w:szCs w:val="18"/>
                <w:color w:val="auto"/>
              </w:rPr>
            </w:pPr>
          </w:p>
        </w:tc>
        <w:tc>
          <w:tcPr>
            <w:tcW w:w="1300" w:type="dxa"/>
            <w:vAlign w:val="bottom"/>
            <w:tcBorders>
              <w:top w:val="single" w:sz="8" w:color="auto"/>
              <w:right w:val="single" w:sz="8" w:color="auto"/>
            </w:tcBorders>
            <w:gridSpan w:val="2"/>
          </w:tcPr>
          <w:p>
            <w:pPr>
              <w:jc w:val="center"/>
              <w:ind w:right="540"/>
              <w:spacing w:after="0" w:line="216" w:lineRule="exact"/>
              <w:rPr>
                <w:sz w:val="20"/>
                <w:szCs w:val="20"/>
                <w:color w:val="auto"/>
              </w:rPr>
            </w:pPr>
            <w:r>
              <w:rPr>
                <w:rFonts w:ascii="Arial" w:cs="Arial" w:eastAsia="Arial" w:hAnsi="Arial"/>
                <w:sz w:val="20"/>
                <w:szCs w:val="20"/>
                <w:b w:val="1"/>
                <w:bCs w:val="1"/>
                <w:color w:val="auto"/>
                <w:w w:val="92"/>
              </w:rPr>
              <w:t>Indicate: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gridSpan w:val="2"/>
          </w:tcPr>
          <w:p>
            <w:pPr>
              <w:jc w:val="center"/>
              <w:ind w:right="380"/>
              <w:spacing w:after="0" w:line="216" w:lineRule="exact"/>
              <w:rPr>
                <w:sz w:val="20"/>
                <w:szCs w:val="20"/>
                <w:color w:val="auto"/>
              </w:rPr>
            </w:pPr>
            <w:r>
              <w:rPr>
                <w:rFonts w:ascii="Arial" w:cs="Arial" w:eastAsia="Arial" w:hAnsi="Arial"/>
                <w:sz w:val="20"/>
                <w:szCs w:val="20"/>
                <w:b w:val="1"/>
                <w:bCs w:val="1"/>
                <w:color w:val="auto"/>
                <w:w w:val="92"/>
              </w:rPr>
              <w:t>Indicate:</w:t>
            </w:r>
          </w:p>
        </w:tc>
        <w:tc>
          <w:tcPr>
            <w:tcW w:w="1480" w:type="dxa"/>
            <w:vAlign w:val="bottom"/>
            <w:tcBorders>
              <w:top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0"/>
                <w:szCs w:val="20"/>
                <w:b w:val="1"/>
                <w:bCs w:val="1"/>
                <w:color w:val="auto"/>
                <w:w w:val="92"/>
              </w:rPr>
              <w:t>Indicate:</w:t>
            </w:r>
          </w:p>
        </w:tc>
        <w:tc>
          <w:tcPr>
            <w:tcW w:w="48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gridSpan w:val="2"/>
          </w:tcPr>
          <w:p>
            <w:pPr>
              <w:spacing w:after="0" w:line="216" w:lineRule="exact"/>
              <w:rPr>
                <w:sz w:val="20"/>
                <w:szCs w:val="20"/>
                <w:color w:val="auto"/>
              </w:rPr>
            </w:pPr>
            <w:r>
              <w:rPr>
                <w:rFonts w:ascii="Arial" w:cs="Arial" w:eastAsia="Arial" w:hAnsi="Arial"/>
                <w:sz w:val="20"/>
                <w:szCs w:val="20"/>
                <w:b w:val="1"/>
                <w:bCs w:val="1"/>
                <w:color w:val="auto"/>
              </w:rPr>
              <w:t>Indicate:</w:t>
            </w:r>
          </w:p>
        </w:tc>
        <w:tc>
          <w:tcPr>
            <w:tcW w:w="6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gridSpan w:val="2"/>
          </w:tcPr>
          <w:p>
            <w:pPr>
              <w:jc w:val="center"/>
              <w:ind w:right="640"/>
              <w:spacing w:after="0" w:line="216" w:lineRule="exact"/>
              <w:rPr>
                <w:sz w:val="20"/>
                <w:szCs w:val="20"/>
                <w:color w:val="auto"/>
              </w:rPr>
            </w:pPr>
            <w:r>
              <w:rPr>
                <w:rFonts w:ascii="Arial" w:cs="Arial" w:eastAsia="Arial" w:hAnsi="Arial"/>
                <w:sz w:val="20"/>
                <w:szCs w:val="20"/>
                <w:b w:val="1"/>
                <w:bCs w:val="1"/>
                <w:color w:val="auto"/>
                <w:w w:val="89"/>
              </w:rPr>
              <w:t>Indicate:</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5"/>
          </w:tcPr>
          <w:p>
            <w:pPr>
              <w:jc w:val="center"/>
              <w:ind w:right="360"/>
              <w:spacing w:after="0" w:line="216" w:lineRule="exact"/>
              <w:rPr>
                <w:sz w:val="20"/>
                <w:szCs w:val="20"/>
                <w:color w:val="auto"/>
              </w:rPr>
            </w:pPr>
            <w:r>
              <w:rPr>
                <w:rFonts w:ascii="Arial" w:cs="Arial" w:eastAsia="Arial" w:hAnsi="Arial"/>
                <w:sz w:val="20"/>
                <w:szCs w:val="20"/>
                <w:b w:val="1"/>
                <w:bCs w:val="1"/>
                <w:color w:val="auto"/>
                <w:w w:val="92"/>
              </w:rPr>
              <w:t>For Alternative</w:t>
            </w: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tcBorders>
              <w:left w:val="single" w:sz="8" w:color="auto"/>
            </w:tcBorders>
            <w:vMerge w:val="continue"/>
          </w:tcPr>
          <w:p>
            <w:pPr>
              <w:spacing w:after="0"/>
              <w:rPr>
                <w:sz w:val="14"/>
                <w:szCs w:val="14"/>
                <w:color w:val="auto"/>
              </w:rPr>
            </w:pPr>
          </w:p>
        </w:tc>
        <w:tc>
          <w:tcPr>
            <w:tcW w:w="700" w:type="dxa"/>
            <w:vAlign w:val="bottom"/>
          </w:tcPr>
          <w:p>
            <w:pPr>
              <w:spacing w:after="0" w:line="156" w:lineRule="exact"/>
              <w:rPr>
                <w:sz w:val="20"/>
                <w:szCs w:val="20"/>
                <w:color w:val="auto"/>
              </w:rPr>
            </w:pPr>
            <w:r>
              <w:rPr>
                <w:rFonts w:ascii="Arial" w:cs="Arial" w:eastAsia="Arial" w:hAnsi="Arial"/>
                <w:sz w:val="18"/>
                <w:szCs w:val="18"/>
                <w:b w:val="1"/>
                <w:bCs w:val="1"/>
                <w:color w:val="auto"/>
                <w:w w:val="71"/>
              </w:rPr>
              <w:t>Borrowing,</w:t>
            </w:r>
          </w:p>
        </w:tc>
        <w:tc>
          <w:tcPr>
            <w:tcW w:w="60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gridSpan w:val="3"/>
          </w:tcPr>
          <w:p>
            <w:pPr>
              <w:jc w:val="center"/>
              <w:ind w:right="20"/>
              <w:spacing w:after="0" w:line="156" w:lineRule="exact"/>
              <w:rPr>
                <w:sz w:val="20"/>
                <w:szCs w:val="20"/>
                <w:color w:val="auto"/>
              </w:rPr>
            </w:pPr>
            <w:r>
              <w:rPr>
                <w:rFonts w:ascii="Arial" w:cs="Arial" w:eastAsia="Arial" w:hAnsi="Arial"/>
                <w:sz w:val="18"/>
                <w:szCs w:val="18"/>
                <w:b w:val="1"/>
                <w:bCs w:val="1"/>
                <w:color w:val="auto"/>
              </w:rPr>
              <w:t>Borrower Name</w:t>
            </w:r>
          </w:p>
        </w:tc>
        <w:tc>
          <w:tcPr>
            <w:tcW w:w="1480" w:type="dxa"/>
            <w:vAlign w:val="bottom"/>
            <w:tcBorders>
              <w:right w:val="single" w:sz="8" w:color="auto"/>
            </w:tcBorders>
            <w:gridSpan w:val="3"/>
          </w:tcPr>
          <w:p>
            <w:pPr>
              <w:jc w:val="center"/>
              <w:spacing w:after="0" w:line="156" w:lineRule="exact"/>
              <w:rPr>
                <w:sz w:val="20"/>
                <w:szCs w:val="20"/>
                <w:color w:val="auto"/>
              </w:rPr>
            </w:pPr>
            <w:r>
              <w:rPr>
                <w:rFonts w:ascii="Arial" w:cs="Arial" w:eastAsia="Arial" w:hAnsi="Arial"/>
                <w:sz w:val="18"/>
                <w:szCs w:val="18"/>
                <w:b w:val="1"/>
                <w:bCs w:val="1"/>
                <w:color w:val="auto"/>
                <w:w w:val="95"/>
              </w:rPr>
              <w:t>Requested</w:t>
            </w:r>
          </w:p>
        </w:tc>
        <w:tc>
          <w:tcPr>
            <w:tcW w:w="1720" w:type="dxa"/>
            <w:vAlign w:val="bottom"/>
            <w:tcBorders>
              <w:right w:val="single" w:sz="8" w:color="auto"/>
            </w:tcBorders>
            <w:gridSpan w:val="3"/>
          </w:tcPr>
          <w:p>
            <w:pPr>
              <w:ind w:left="460"/>
              <w:spacing w:after="0" w:line="156" w:lineRule="exact"/>
              <w:rPr>
                <w:sz w:val="20"/>
                <w:szCs w:val="20"/>
                <w:color w:val="auto"/>
              </w:rPr>
            </w:pPr>
            <w:r>
              <w:rPr>
                <w:rFonts w:ascii="Arial" w:cs="Arial" w:eastAsia="Arial" w:hAnsi="Arial"/>
                <w:sz w:val="18"/>
                <w:szCs w:val="18"/>
                <w:b w:val="1"/>
                <w:bCs w:val="1"/>
                <w:color w:val="auto"/>
              </w:rPr>
              <w:t>Currency</w:t>
            </w:r>
          </w:p>
        </w:tc>
        <w:tc>
          <w:tcPr>
            <w:tcW w:w="2020" w:type="dxa"/>
            <w:vAlign w:val="bottom"/>
            <w:tcBorders>
              <w:right w:val="single" w:sz="8" w:color="auto"/>
            </w:tcBorders>
            <w:gridSpan w:val="3"/>
          </w:tcPr>
          <w:p>
            <w:pPr>
              <w:jc w:val="center"/>
              <w:spacing w:after="0" w:line="156" w:lineRule="exact"/>
              <w:rPr>
                <w:sz w:val="20"/>
                <w:szCs w:val="20"/>
                <w:color w:val="auto"/>
              </w:rPr>
            </w:pPr>
            <w:r>
              <w:rPr>
                <w:rFonts w:ascii="Arial" w:cs="Arial" w:eastAsia="Arial" w:hAnsi="Arial"/>
                <w:sz w:val="18"/>
                <w:szCs w:val="18"/>
                <w:b w:val="1"/>
                <w:bCs w:val="1"/>
                <w:color w:val="auto"/>
              </w:rPr>
              <w:t>Alternative Currency</w:t>
            </w:r>
          </w:p>
        </w:tc>
        <w:tc>
          <w:tcPr>
            <w:tcW w:w="14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160"/>
              <w:spacing w:after="0" w:line="156" w:lineRule="exact"/>
              <w:rPr>
                <w:sz w:val="20"/>
                <w:szCs w:val="20"/>
                <w:color w:val="auto"/>
              </w:rPr>
            </w:pPr>
            <w:r>
              <w:rPr>
                <w:rFonts w:ascii="Arial" w:cs="Arial" w:eastAsia="Arial" w:hAnsi="Arial"/>
                <w:sz w:val="18"/>
                <w:szCs w:val="18"/>
                <w:b w:val="1"/>
                <w:bCs w:val="1"/>
                <w:color w:val="auto"/>
              </w:rPr>
              <w:t>Currency Term Rate</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gridSpan w:val="3"/>
          </w:tcPr>
          <w:p>
            <w:pPr>
              <w:jc w:val="center"/>
              <w:ind w:right="20"/>
              <w:spacing w:after="0" w:line="162" w:lineRule="exact"/>
              <w:rPr>
                <w:sz w:val="20"/>
                <w:szCs w:val="20"/>
                <w:color w:val="auto"/>
              </w:rPr>
            </w:pPr>
            <w:r>
              <w:rPr>
                <w:rFonts w:ascii="Arial" w:cs="Arial" w:eastAsia="Arial" w:hAnsi="Arial"/>
                <w:sz w:val="18"/>
                <w:szCs w:val="18"/>
                <w:b w:val="1"/>
                <w:bCs w:val="1"/>
                <w:color w:val="auto"/>
                <w:w w:val="98"/>
              </w:rPr>
              <w:t>Conversion or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right w:val="single" w:sz="8" w:color="auto"/>
            </w:tcBorders>
            <w:gridSpan w:val="2"/>
          </w:tcPr>
          <w:p>
            <w:pPr>
              <w:jc w:val="center"/>
              <w:ind w:right="380"/>
              <w:spacing w:after="0" w:line="162" w:lineRule="exact"/>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8"/>
                <w:szCs w:val="18"/>
                <w:b w:val="1"/>
                <w:bCs w:val="1"/>
                <w:color w:val="auto"/>
              </w:rPr>
              <w:t>Daily Rate Loan or</w:t>
            </w: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4"/>
          </w:tcPr>
          <w:p>
            <w:pPr>
              <w:jc w:val="center"/>
              <w:ind w:right="200"/>
              <w:spacing w:after="0" w:line="162" w:lineRule="exact"/>
              <w:rPr>
                <w:sz w:val="20"/>
                <w:szCs w:val="20"/>
                <w:color w:val="auto"/>
              </w:rPr>
            </w:pPr>
            <w:r>
              <w:rPr>
                <w:rFonts w:ascii="Arial" w:cs="Arial" w:eastAsia="Arial" w:hAnsi="Arial"/>
                <w:sz w:val="18"/>
                <w:szCs w:val="18"/>
                <w:b w:val="1"/>
                <w:bCs w:val="1"/>
                <w:color w:val="auto"/>
              </w:rPr>
              <w:t>Loans Indicate:</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gridSpan w:val="3"/>
          </w:tcPr>
          <w:p>
            <w:pPr>
              <w:jc w:val="center"/>
              <w:ind w:right="20"/>
              <w:spacing w:after="0" w:line="162" w:lineRule="exact"/>
              <w:rPr>
                <w:sz w:val="20"/>
                <w:szCs w:val="20"/>
                <w:color w:val="auto"/>
              </w:rPr>
            </w:pPr>
            <w:r>
              <w:rPr>
                <w:rFonts w:ascii="Arial" w:cs="Arial" w:eastAsia="Arial" w:hAnsi="Arial"/>
                <w:sz w:val="18"/>
                <w:szCs w:val="18"/>
                <w:b w:val="1"/>
                <w:bCs w:val="1"/>
                <w:color w:val="auto"/>
              </w:rPr>
              <w:t>Continuation</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8"/>
                <w:szCs w:val="18"/>
                <w:b w:val="1"/>
                <w:bCs w:val="1"/>
                <w:color w:val="auto"/>
              </w:rPr>
              <w:t>Alternative Currency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1"/>
              </w:rPr>
              <w:t>Term Rate Loan</w:t>
            </w:r>
          </w:p>
        </w:tc>
        <w:tc>
          <w:tcPr>
            <w:tcW w:w="2060" w:type="dxa"/>
            <w:vAlign w:val="bottom"/>
            <w:tcBorders>
              <w:right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88"/>
              </w:rPr>
              <w:t>Interest Period (e.g., 1,</w:t>
            </w:r>
          </w:p>
        </w:tc>
        <w:tc>
          <w:tcPr>
            <w:tcW w:w="0" w:type="dxa"/>
            <w:vAlign w:val="bottom"/>
          </w:tcPr>
          <w:p>
            <w:pPr>
              <w:spacing w:after="0"/>
              <w:rPr>
                <w:sz w:val="1"/>
                <w:szCs w:val="1"/>
                <w:color w:val="auto"/>
              </w:rPr>
            </w:pPr>
          </w:p>
        </w:tc>
      </w:tr>
      <w:tr>
        <w:trPr>
          <w:trHeight w:val="189"/>
        </w:trPr>
        <w:tc>
          <w:tcPr>
            <w:tcW w:w="520" w:type="dxa"/>
            <w:vAlign w:val="bottom"/>
            <w:tcBorders>
              <w:lef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gridSpan w:val="7"/>
          </w:tcPr>
          <w:p>
            <w:pPr>
              <w:jc w:val="center"/>
              <w:spacing w:after="0" w:line="189" w:lineRule="exact"/>
              <w:rPr>
                <w:sz w:val="20"/>
                <w:szCs w:val="20"/>
                <w:color w:val="auto"/>
              </w:rPr>
            </w:pPr>
            <w:r>
              <w:rPr>
                <w:rFonts w:ascii="Arial" w:cs="Arial" w:eastAsia="Arial" w:hAnsi="Arial"/>
                <w:sz w:val="20"/>
                <w:szCs w:val="20"/>
                <w:b w:val="1"/>
                <w:bCs w:val="1"/>
                <w:color w:val="auto"/>
                <w:w w:val="89"/>
              </w:rPr>
              <w:t>3 or 6 month interest</w:t>
            </w:r>
          </w:p>
        </w:tc>
        <w:tc>
          <w:tcPr>
            <w:tcW w:w="0" w:type="dxa"/>
            <w:vAlign w:val="bottom"/>
          </w:tcPr>
          <w:p>
            <w:pPr>
              <w:spacing w:after="0"/>
              <w:rPr>
                <w:sz w:val="1"/>
                <w:szCs w:val="1"/>
                <w:color w:val="auto"/>
              </w:rPr>
            </w:pP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gridSpan w:val="4"/>
          </w:tcPr>
          <w:p>
            <w:pPr>
              <w:jc w:val="center"/>
              <w:ind w:right="380"/>
              <w:spacing w:after="0"/>
              <w:rPr>
                <w:sz w:val="20"/>
                <w:szCs w:val="20"/>
                <w:color w:val="auto"/>
              </w:rPr>
            </w:pPr>
            <w:r>
              <w:rPr>
                <w:rFonts w:ascii="Arial" w:cs="Arial" w:eastAsia="Arial" w:hAnsi="Arial"/>
                <w:sz w:val="20"/>
                <w:szCs w:val="20"/>
                <w:b w:val="1"/>
                <w:bCs w:val="1"/>
                <w:color w:val="auto"/>
                <w:w w:val="91"/>
              </w:rPr>
              <w:t>period)</w:t>
            </w:r>
          </w:p>
        </w:tc>
        <w:tc>
          <w:tcPr>
            <w:tcW w:w="0" w:type="dxa"/>
            <w:vAlign w:val="bottom"/>
          </w:tcPr>
          <w:p>
            <w:pPr>
              <w:spacing w:after="0"/>
              <w:rPr>
                <w:sz w:val="1"/>
                <w:szCs w:val="1"/>
                <w:color w:val="auto"/>
              </w:rPr>
            </w:pPr>
          </w:p>
        </w:tc>
      </w:tr>
      <w:tr>
        <w:trPr>
          <w:trHeight w:val="304"/>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Borrowing, if any, requested herein complies with the requirements set forth in the Agreement.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POWELL INDUSTRIES, INC.,</w:t>
      </w:r>
    </w:p>
    <w:p>
      <w:pPr>
        <w:ind w:left="200"/>
        <w:spacing w:after="0"/>
        <w:rPr>
          <w:sz w:val="20"/>
          <w:szCs w:val="20"/>
          <w:color w:val="auto"/>
        </w:rPr>
      </w:pPr>
      <w:r>
        <w:rPr>
          <w:rFonts w:ascii="Arial" w:cs="Arial" w:eastAsia="Arial" w:hAnsi="Arial"/>
          <w:sz w:val="20"/>
          <w:szCs w:val="20"/>
          <w:color w:val="auto"/>
        </w:rPr>
        <w:t>a Delaware corporation</w:t>
      </w:r>
    </w:p>
    <w:p>
      <w:pPr>
        <w:spacing w:after="0" w:line="1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197" w:lineRule="auto"/>
        <w:rPr>
          <w:sz w:val="20"/>
          <w:szCs w:val="20"/>
          <w:color w:val="auto"/>
        </w:rPr>
      </w:pPr>
      <w:r>
        <w:rPr>
          <w:rFonts w:ascii="Arial" w:cs="Arial" w:eastAsia="Arial" w:hAnsi="Arial"/>
          <w:sz w:val="20"/>
          <w:szCs w:val="20"/>
          <w:color w:val="auto"/>
        </w:rPr>
        <w:t>Name: [Type Signatory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-118745</wp:posOffset>
            </wp:positionV>
            <wp:extent cx="628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[Type Signatory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CHAR2\2489399v4</w:t>
      </w:r>
    </w:p>
    <w:p>
      <w:pPr>
        <w:sectPr>
          <w:pgSz w:w="11900" w:h="16838" w:orient="portrait"/>
          <w:cols w:equalWidth="0" w:num="1">
            <w:col w:w="10800"/>
          </w:cols>
          <w:pgMar w:left="320" w:top="1440" w:right="77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line="211" w:lineRule="auto"/>
        <w:rPr>
          <w:sz w:val="20"/>
          <w:szCs w:val="20"/>
          <w:color w:val="auto"/>
        </w:rPr>
      </w:pPr>
      <w:r>
        <w:rPr>
          <w:rFonts w:ascii="Arial" w:cs="Arial" w:eastAsia="Arial" w:hAnsi="Arial"/>
          <w:sz w:val="16"/>
          <w:szCs w:val="16"/>
          <w:color w:val="auto"/>
        </w:rPr>
        <w:t>President and Chief Executive Officer</w:t>
      </w:r>
    </w:p>
    <w:p>
      <w:pPr>
        <w:ind w:left="5640"/>
        <w:spacing w:after="0"/>
        <w:rPr>
          <w:sz w:val="20"/>
          <w:szCs w:val="20"/>
          <w:color w:val="auto"/>
        </w:rPr>
      </w:pPr>
      <w:r>
        <w:rPr>
          <w:rFonts w:ascii="Arial" w:cs="Arial" w:eastAsia="Arial" w:hAnsi="Arial"/>
          <w:sz w:val="16"/>
          <w:szCs w:val="16"/>
          <w:color w:val="auto"/>
        </w:rPr>
        <w:t>(Principal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2022</w:t>
      </w:r>
    </w:p>
    <w:p>
      <w:pPr>
        <w:sectPr>
          <w:pgSz w:w="11900" w:h="16838" w:orient="portrait"/>
          <w:cols w:equalWidth="0" w:num="1">
            <w:col w:w="11240"/>
          </w:cols>
          <w:pgMar w:left="320" w:top="89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40" w:hanging="320"/>
        <w:spacing w:after="0" w:line="261" w:lineRule="auto"/>
        <w:tabs>
          <w:tab w:leader="none" w:pos="12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1300" w:right="180" w:hanging="320"/>
        <w:spacing w:after="0" w:line="275" w:lineRule="auto"/>
        <w:tabs>
          <w:tab w:leader="none" w:pos="12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140" w:hanging="320"/>
        <w:spacing w:after="0" w:line="275" w:lineRule="auto"/>
        <w:tabs>
          <w:tab w:leader="none" w:pos="12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Michael W. Metcalf</w:t>
      </w:r>
    </w:p>
    <w:p>
      <w:pPr>
        <w:ind w:left="5640"/>
        <w:spacing w:after="0" w:line="211" w:lineRule="auto"/>
        <w:rPr>
          <w:sz w:val="20"/>
          <w:szCs w:val="20"/>
          <w:color w:val="auto"/>
        </w:rPr>
      </w:pPr>
      <w:r>
        <w:rPr>
          <w:rFonts w:ascii="Arial" w:cs="Arial" w:eastAsia="Arial" w:hAnsi="Arial"/>
          <w:sz w:val="16"/>
          <w:szCs w:val="16"/>
          <w:color w:val="auto"/>
        </w:rPr>
        <w:t>Michael W. Metcalf</w:t>
      </w:r>
    </w:p>
    <w:p>
      <w:pPr>
        <w:ind w:left="5640"/>
        <w:spacing w:after="0" w:line="211" w:lineRule="auto"/>
        <w:rPr>
          <w:sz w:val="20"/>
          <w:szCs w:val="20"/>
          <w:color w:val="auto"/>
        </w:rPr>
      </w:pPr>
      <w:r>
        <w:rPr>
          <w:rFonts w:ascii="Arial" w:cs="Arial" w:eastAsia="Arial" w:hAnsi="Arial"/>
          <w:sz w:val="16"/>
          <w:szCs w:val="16"/>
          <w:color w:val="auto"/>
        </w:rPr>
        <w:t>Executive Vice President</w:t>
      </w:r>
    </w:p>
    <w:p>
      <w:pPr>
        <w:ind w:left="5640"/>
        <w:spacing w:after="0" w:line="211"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2022</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December 31, 2021,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21"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rPr>
          <w:sz w:val="20"/>
          <w:szCs w:val="20"/>
          <w:color w:val="auto"/>
        </w:rPr>
      </w:pPr>
      <w:r>
        <w:rPr>
          <w:rFonts w:ascii="Arial" w:cs="Arial" w:eastAsia="Arial" w:hAnsi="Arial"/>
          <w:sz w:val="16"/>
          <w:szCs w:val="16"/>
          <w:color w:val="auto"/>
        </w:rPr>
        <w:t>President and Chief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2022</w:t>
      </w:r>
    </w:p>
    <w:p>
      <w:pPr>
        <w:sectPr>
          <w:pgSz w:w="11900" w:h="16838" w:orient="portrait"/>
          <w:cols w:equalWidth="0" w:num="1">
            <w:col w:w="11240"/>
          </w:cols>
          <w:pgMar w:left="320" w:top="89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December 31, 2021,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u w:val="single" w:color="auto"/>
          <w:color w:val="auto"/>
        </w:rPr>
        <w:t>/s/ Michael W. Metcalf</w:t>
      </w:r>
    </w:p>
    <w:p>
      <w:pPr>
        <w:ind w:left="5620"/>
        <w:spacing w:after="0" w:line="211" w:lineRule="auto"/>
        <w:rPr>
          <w:sz w:val="20"/>
          <w:szCs w:val="20"/>
          <w:color w:val="auto"/>
        </w:rPr>
      </w:pPr>
      <w:r>
        <w:rPr>
          <w:rFonts w:ascii="Arial" w:cs="Arial" w:eastAsia="Arial" w:hAnsi="Arial"/>
          <w:sz w:val="16"/>
          <w:szCs w:val="16"/>
          <w:color w:val="auto"/>
        </w:rPr>
        <w:t>Michael W. Metcalf</w:t>
      </w:r>
    </w:p>
    <w:p>
      <w:pPr>
        <w:ind w:left="5620"/>
        <w:spacing w:after="0" w:line="211" w:lineRule="auto"/>
        <w:rPr>
          <w:sz w:val="20"/>
          <w:szCs w:val="20"/>
          <w:color w:val="auto"/>
        </w:rPr>
      </w:pPr>
      <w:r>
        <w:rPr>
          <w:rFonts w:ascii="Arial" w:cs="Arial" w:eastAsia="Arial" w:hAnsi="Arial"/>
          <w:sz w:val="16"/>
          <w:szCs w:val="16"/>
          <w:color w:val="auto"/>
        </w:rPr>
        <w:t>Executive Vice President</w:t>
      </w:r>
    </w:p>
    <w:p>
      <w:pPr>
        <w:ind w:left="562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lvl w:ilvl="1">
      <w:lvlJc w:val="left"/>
      <w:lvlText w:val="(%2)"/>
      <w:numFmt w:val="lowerLetter"/>
      <w:start w:val="1"/>
    </w:lvl>
  </w:abstractNum>
  <w:abstractNum w:abstractNumId="10">
    <w:nsid w:val="628C895D"/>
    <w:multiLevelType w:val="hybridMultilevel"/>
    <w:lvl w:ilvl="0">
      <w:lvlJc w:val="left"/>
      <w:lvlText w:val="(%1)"/>
      <w:numFmt w:val="lowerLetter"/>
      <w:start w:val="3"/>
    </w:lvl>
    <w:lvl w:ilvl="1">
      <w:lvlJc w:val="left"/>
      <w:lvlText w:val="(%2)"/>
      <w:numFmt w:val="lowerRoman"/>
      <w:start w:val="1"/>
    </w:lvl>
  </w:abstractNum>
  <w:abstractNum w:abstractNumId="11">
    <w:nsid w:val="333AB105"/>
    <w:multiLevelType w:val="hybridMultilevel"/>
    <w:lvl w:ilvl="0">
      <w:lvlJc w:val="left"/>
      <w:lvlText w:val="(%1)"/>
      <w:numFmt w:val="lowerLetter"/>
      <w:start w:val="5"/>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9">
    <w:nsid w:val="4353D0CD"/>
    <w:multiLevelType w:val="hybridMultilevel"/>
    <w:lvl w:ilvl="0">
      <w:lvlJc w:val="left"/>
      <w:lvlText w:val="(%1)"/>
      <w:numFmt w:val="lowerLetter"/>
      <w:start w:val="6"/>
    </w:lvl>
    <w:lvl w:ilvl="1">
      <w:lvlJc w:val="left"/>
      <w:lvlText w:val="(%2)"/>
      <w:numFmt w:val="lowerLetter"/>
      <w:start w:val="9"/>
    </w:lvl>
    <w:lvl w:ilvl="2">
      <w:lvlJc w:val="left"/>
      <w:lvlText w:val="%3"/>
      <w:numFmt w:val="lowerRoman"/>
      <w:start w:val="1"/>
    </w:lvl>
  </w:abstractNum>
  <w:abstractNum w:abstractNumId="20">
    <w:nsid w:val="B03E0C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21">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lvl w:ilvl="3">
      <w:lvlJc w:val="left"/>
      <w:lvlText w:val="%4"/>
      <w:numFmt w:val="lowerLetter"/>
      <w:start w:val="1"/>
    </w:lvl>
  </w:abstractNum>
  <w:abstractNum w:abstractNumId="22">
    <w:nsid w:val="54E49EB4"/>
    <w:multiLevelType w:val="hybridMultilevel"/>
    <w:lvl w:ilvl="0">
      <w:lvlJc w:val="left"/>
      <w:lvlText w:val="(%1)"/>
      <w:numFmt w:val="lowerLetter"/>
      <w:start w:val="8"/>
    </w:lvl>
    <w:lvl w:ilvl="1">
      <w:lvlJc w:val="left"/>
      <w:lvlText w:val="(%2)"/>
      <w:numFmt w:val="lowerLetter"/>
      <w:start w:val="9"/>
    </w:lvl>
    <w:lvl w:ilvl="2">
      <w:lvlJc w:val="left"/>
      <w:lvlText w:val="%3"/>
      <w:numFmt w:val="lowerLetter"/>
      <w:start w:val="1"/>
    </w:lvl>
    <w:lvl w:ilvl="3">
      <w:lvlJc w:val="left"/>
      <w:lvlText w:val="%4"/>
      <w:numFmt w:val="lowerLetter"/>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1)"/>
      <w:numFmt w:val="lowerLetter"/>
      <w:start w:val="61"/>
    </w:lvl>
    <w:lvl w:ilvl="1">
      <w:lvlJc w:val="left"/>
      <w:lvlText w:val="(%2)"/>
      <w:numFmt w:val="lowerLetter"/>
      <w:start w:val="25"/>
    </w:lvl>
    <w:lvl w:ilvl="2">
      <w:lvlJc w:val="left"/>
      <w:lvlText w:val="(%3)"/>
      <w:numFmt w:val="lowerLetter"/>
      <w:start w:val="24"/>
    </w:lvl>
    <w:lvl w:ilvl="3">
      <w:lvlJc w:val="left"/>
      <w:lvlText w:val="(%4)"/>
      <w:numFmt w:val="lowerLetter"/>
      <w:start w:val="24"/>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43" Type="http://schemas.openxmlformats.org/officeDocument/2006/relationships/hyperlink" Target="http://www.sec.gov/Archives/edgar/data/80420/000008042004000044/exhibit3_1.htm" TargetMode="External"/><Relationship Id="rId45" Type="http://schemas.openxmlformats.org/officeDocument/2006/relationships/hyperlink" Target="http://www.sec.gov/Archives/edgar/data/80420/000119312512421889/d424375dex31.htm" TargetMode="External"/><Relationship Id="rId46"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2022-02-09T14:31:07Z</dcterms:created>
  <dcterms:modified xsi:type="dcterms:W3CDTF">2022-02-09T14:31:07Z</dcterms:modified>
</cp:coreProperties>
</file>