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328295</wp:posOffset>
            </wp:positionH>
            <wp:positionV relativeFrom="page">
              <wp:posOffset>1031875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1005840</wp:posOffset>
            </wp:positionV>
            <wp:extent cx="6900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77470</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104775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700" w:right="20" w:hanging="674"/>
        <w:spacing w:after="0" w:line="238"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00" w:right="40" w:hanging="674"/>
        <w:spacing w:after="0" w:line="238"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97155</wp:posOffset>
            </wp:positionV>
            <wp:extent cx="2091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76"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88-0106100</w:t>
            </w:r>
          </w:p>
        </w:tc>
      </w:tr>
      <w:tr>
        <w:trPr>
          <w:trHeight w:val="202"/>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3"/>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8550 Mosley Road</w:t>
            </w:r>
          </w:p>
        </w:tc>
        <w:tc>
          <w:tcPr>
            <w:tcW w:w="1280" w:type="dxa"/>
            <w:vAlign w:val="bottom"/>
          </w:tcPr>
          <w:p>
            <w:pPr>
              <w:spacing w:after="0"/>
              <w:rPr>
                <w:sz w:val="20"/>
                <w:szCs w:val="20"/>
                <w:color w:val="auto"/>
              </w:rPr>
            </w:pPr>
          </w:p>
        </w:tc>
      </w:tr>
      <w:tr>
        <w:trPr>
          <w:trHeight w:val="23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1280" w:type="dxa"/>
            <w:vAlign w:val="bottom"/>
          </w:tcPr>
          <w:p>
            <w:pPr>
              <w:spacing w:after="0"/>
              <w:rPr>
                <w:sz w:val="19"/>
                <w:szCs w:val="19"/>
                <w:color w:val="auto"/>
              </w:rPr>
            </w:pPr>
          </w:p>
        </w:tc>
      </w:tr>
      <w:tr>
        <w:trPr>
          <w:trHeight w:val="227"/>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77075-1180</w:t>
            </w:r>
          </w:p>
        </w:tc>
      </w:tr>
      <w:tr>
        <w:trPr>
          <w:trHeight w:val="19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6"/>
        </w:trPr>
        <w:tc>
          <w:tcPr>
            <w:tcW w:w="6240" w:type="dxa"/>
            <w:vAlign w:val="bottom"/>
            <w:gridSpan w:val="3"/>
          </w:tcPr>
          <w:p>
            <w:pPr>
              <w:jc w:val="center"/>
              <w:ind w:left="1836"/>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80" w:type="dxa"/>
            <w:vAlign w:val="bottom"/>
          </w:tcPr>
          <w:p>
            <w:pPr>
              <w:spacing w:after="0"/>
              <w:rPr>
                <w:sz w:val="24"/>
                <w:szCs w:val="24"/>
                <w:color w:val="auto"/>
              </w:rPr>
            </w:pPr>
          </w:p>
        </w:tc>
      </w:tr>
      <w:tr>
        <w:trPr>
          <w:trHeight w:val="238"/>
        </w:trPr>
        <w:tc>
          <w:tcPr>
            <w:tcW w:w="5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(713) 944-6900</w:t>
            </w: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Trading Symbol</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39"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Large accelerated</w:t>
            </w:r>
          </w:p>
        </w:tc>
        <w:tc>
          <w:tcPr>
            <w:tcW w:w="5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2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Accelerated</w:t>
            </w:r>
          </w:p>
        </w:tc>
        <w:tc>
          <w:tcPr>
            <w:tcW w:w="5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Non-accelerated</w:t>
            </w:r>
          </w:p>
        </w:tc>
        <w:tc>
          <w:tcPr>
            <w:tcW w:w="6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8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Emerging growth</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filer</w:t>
            </w:r>
          </w:p>
        </w:tc>
        <w:tc>
          <w:tcPr>
            <w:tcW w:w="560" w:type="dxa"/>
            <w:vAlign w:val="bottom"/>
            <w:vMerge w:val="continue"/>
          </w:tcPr>
          <w:p>
            <w:pPr>
              <w:spacing w:after="0"/>
              <w:rPr>
                <w:sz w:val="22"/>
                <w:szCs w:val="22"/>
                <w:color w:val="auto"/>
              </w:rPr>
            </w:pPr>
          </w:p>
        </w:tc>
        <w:tc>
          <w:tcPr>
            <w:tcW w:w="12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filer</w:t>
            </w:r>
          </w:p>
        </w:tc>
        <w:tc>
          <w:tcPr>
            <w:tcW w:w="560" w:type="dxa"/>
            <w:vAlign w:val="bottom"/>
            <w:vMerge w:val="continue"/>
          </w:tcPr>
          <w:p>
            <w:pPr>
              <w:spacing w:after="0"/>
              <w:rPr>
                <w:sz w:val="22"/>
                <w:szCs w:val="22"/>
                <w:color w:val="auto"/>
              </w:rPr>
            </w:pPr>
          </w:p>
        </w:tc>
        <w:tc>
          <w:tcPr>
            <w:tcW w:w="1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filer</w:t>
            </w:r>
          </w:p>
        </w:tc>
        <w:tc>
          <w:tcPr>
            <w:tcW w:w="600" w:type="dxa"/>
            <w:vAlign w:val="bottom"/>
            <w:vMerge w:val="continue"/>
          </w:tcPr>
          <w:p>
            <w:pPr>
              <w:spacing w:after="0"/>
              <w:rPr>
                <w:sz w:val="22"/>
                <w:szCs w:val="22"/>
                <w:color w:val="auto"/>
              </w:rPr>
            </w:pP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company</w:t>
            </w:r>
          </w:p>
        </w:tc>
        <w:tc>
          <w:tcPr>
            <w:tcW w:w="580" w:type="dxa"/>
            <w:vAlign w:val="bottom"/>
            <w:vMerge w:val="continue"/>
          </w:tcPr>
          <w:p>
            <w:pPr>
              <w:spacing w:after="0"/>
              <w:rPr>
                <w:sz w:val="22"/>
                <w:szCs w:val="22"/>
                <w:color w:val="auto"/>
              </w:rPr>
            </w:pP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company</w:t>
            </w: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left="500" w:right="124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At May 4, 2026, there were 36,431,649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77470</wp:posOffset>
            </wp:positionV>
            <wp:extent cx="6900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ectPr>
          <w:pgSz w:w="11900" w:h="16838" w:orient="portrait"/>
          <w:cols w:equalWidth="0" w:num="1">
            <w:col w:w="11240"/>
          </w:cols>
          <w:pgMar w:left="320" w:top="1440" w:right="339" w:bottom="673" w:gutter="0" w:footer="0" w:header="0"/>
        </w:sectPr>
      </w:pP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673"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4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40" w:type="dxa"/>
            <w:vAlign w:val="bottom"/>
            <w:gridSpan w:val="10"/>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0000FF"/>
            </w:tcBorders>
            <w:gridSpan w:val="10"/>
            <w:vMerge w:val="continue"/>
          </w:tcPr>
          <w:p>
            <w:pPr>
              <w:spacing w:after="0"/>
              <w:rPr>
                <w:sz w:val="15"/>
                <w:szCs w:val="15"/>
                <w:color w:val="auto"/>
              </w:rPr>
            </w:pPr>
          </w:p>
        </w:tc>
        <w:tc>
          <w:tcPr>
            <w:tcW w:w="8040" w:type="dxa"/>
            <w:vAlign w:val="bottom"/>
            <w:gridSpan w:val="10"/>
            <w:vMerge w:val="continue"/>
          </w:tcPr>
          <w:p>
            <w:pPr>
              <w:spacing w:after="0"/>
              <w:rPr>
                <w:sz w:val="15"/>
                <w:szCs w:val="15"/>
                <w:color w:val="auto"/>
              </w:rPr>
            </w:pPr>
          </w:p>
        </w:tc>
        <w:tc>
          <w:tcPr>
            <w:tcW w:w="60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300" w:type="dxa"/>
            <w:vAlign w:val="bottom"/>
            <w:gridSpan w:val="8"/>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20" w:type="dxa"/>
            <w:vAlign w:val="bottom"/>
            <w:tcBorders>
              <w:top w:val="single" w:sz="8" w:color="0000FF"/>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w:t>
            </w:r>
          </w:p>
        </w:tc>
        <w:tc>
          <w:tcPr>
            <w:tcW w:w="180" w:type="dxa"/>
            <w:vAlign w:val="bottom"/>
            <w:tcBorders>
              <w:top w:val="single" w:sz="8" w:color="0000FF"/>
            </w:tcBorders>
          </w:tcPr>
          <w:p>
            <w:pPr>
              <w:spacing w:after="0"/>
              <w:rPr>
                <w:sz w:val="18"/>
                <w:szCs w:val="18"/>
                <w:color w:val="auto"/>
              </w:rPr>
            </w:pPr>
          </w:p>
        </w:tc>
        <w:tc>
          <w:tcPr>
            <w:tcW w:w="466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5520" w:type="dxa"/>
            <w:vAlign w:val="bottom"/>
            <w:gridSpan w:val="6"/>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240" w:type="dxa"/>
            <w:vAlign w:val="bottom"/>
            <w:gridSpan w:val="4"/>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0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9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gridSpan w:val="4"/>
          </w:tcPr>
          <w:p>
            <w:pPr>
              <w:spacing w:after="0"/>
              <w:rPr>
                <w:sz w:val="18"/>
                <w:szCs w:val="18"/>
                <w:color w:val="auto"/>
              </w:rPr>
            </w:pP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4"/>
          </w:tcPr>
          <w:p>
            <w:pPr>
              <w:spacing w:after="0"/>
              <w:rPr>
                <w:sz w:val="18"/>
                <w:szCs w:val="18"/>
                <w:color w:val="auto"/>
              </w:rPr>
            </w:pPr>
          </w:p>
        </w:tc>
        <w:tc>
          <w:tcPr>
            <w:tcW w:w="5440" w:type="dxa"/>
            <w:vAlign w:val="bottom"/>
            <w:gridSpan w:val="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24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240" w:type="dxa"/>
            <w:vAlign w:val="bottom"/>
            <w:gridSpan w:val="2"/>
          </w:tcPr>
          <w:p>
            <w:pPr>
              <w:spacing w:after="0"/>
              <w:rPr>
                <w:sz w:val="18"/>
                <w:szCs w:val="18"/>
                <w:color w:val="auto"/>
              </w:rPr>
            </w:pPr>
          </w:p>
        </w:tc>
        <w:tc>
          <w:tcPr>
            <w:tcW w:w="8240" w:type="dxa"/>
            <w:vAlign w:val="bottom"/>
            <w:gridSpan w:val="11"/>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80" w:type="dxa"/>
            <w:vAlign w:val="bottom"/>
            <w:tcBorders>
              <w:left w:val="single" w:sz="8" w:color="0000FF"/>
            </w:tcBorders>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rPr>
                <w:sz w:val="18"/>
                <w:szCs w:val="18"/>
                <w:color w:val="auto"/>
              </w:rPr>
            </w:pP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200" w:type="dxa"/>
            <w:vAlign w:val="bottom"/>
            <w:gridSpan w:val="1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32"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537,712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450,739</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$311 and $368, respectively</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217,065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136,679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84,719</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0" w:type="dxa"/>
            <w:vAlign w:val="bottom"/>
          </w:tcPr>
          <w:p>
            <w:pPr>
              <w:spacing w:after="0"/>
              <w:rPr>
                <w:sz w:val="1"/>
                <w:szCs w:val="1"/>
                <w:color w:val="auto"/>
              </w:rPr>
            </w:pPr>
          </w:p>
        </w:tc>
      </w:tr>
      <w:tr>
        <w:trPr>
          <w:trHeight w:val="207"/>
        </w:trPr>
        <w:tc>
          <w:tcPr>
            <w:tcW w:w="7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1,008,386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931,716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111,049</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33,440</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18,852</w:t>
            </w:r>
          </w:p>
        </w:tc>
        <w:tc>
          <w:tcPr>
            <w:tcW w:w="0" w:type="dxa"/>
            <w:vAlign w:val="bottom"/>
          </w:tcPr>
          <w:p>
            <w:pPr>
              <w:spacing w:after="0"/>
              <w:rPr>
                <w:sz w:val="1"/>
                <w:szCs w:val="1"/>
                <w:color w:val="auto"/>
              </w:rPr>
            </w:pPr>
          </w:p>
        </w:tc>
      </w:tr>
      <w:tr>
        <w:trPr>
          <w:trHeight w:val="234"/>
        </w:trPr>
        <w:tc>
          <w:tcPr>
            <w:tcW w:w="7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1,180,039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1,108,984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75,135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67,080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297,949</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6,356</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11,028</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23,908</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446,387</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470,970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468,214</w:t>
            </w:r>
          </w:p>
        </w:tc>
        <w:tc>
          <w:tcPr>
            <w:tcW w:w="0" w:type="dxa"/>
            <w:vAlign w:val="bottom"/>
          </w:tcPr>
          <w:p>
            <w:pPr>
              <w:spacing w:after="0"/>
              <w:rPr>
                <w:sz w:val="1"/>
                <w:szCs w:val="1"/>
                <w:color w:val="auto"/>
              </w:rPr>
            </w:pPr>
          </w:p>
        </w:tc>
      </w:tr>
      <w:tr>
        <w:trPr>
          <w:trHeight w:val="19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G)</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$0.01; 5,000,000 shares authorized; none issued</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par value $0.01; 90,000,000 shares authorized;</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Shares issued: 38,849,553 and 38,628,588, respectively</w:t>
            </w: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outstanding: 36,431,499 and 36,210,534, respectively</w:t>
            </w:r>
          </w:p>
        </w:tc>
        <w:tc>
          <w:tcPr>
            <w:tcW w:w="2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62,834</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710,532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629,848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2,418,054 shares at cost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(28,130)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(27,042)</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709,069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640,770</w:t>
            </w:r>
          </w:p>
        </w:tc>
        <w:tc>
          <w:tcPr>
            <w:tcW w:w="0" w:type="dxa"/>
            <w:vAlign w:val="bottom"/>
          </w:tcPr>
          <w:p>
            <w:pPr>
              <w:spacing w:after="0"/>
              <w:rPr>
                <w:sz w:val="1"/>
                <w:szCs w:val="1"/>
                <w:color w:val="auto"/>
              </w:rPr>
            </w:pPr>
          </w:p>
        </w:tc>
      </w:tr>
      <w:tr>
        <w:trPr>
          <w:trHeight w:val="207"/>
        </w:trPr>
        <w:tc>
          <w:tcPr>
            <w:tcW w:w="76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1,180,039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1,108,984</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00"/>
          </w:cols>
          <w:pgMar w:left="320" w:top="133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296,615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547,799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520,062</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208,679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195,199</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388,445</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377,106</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142,956</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43,243</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57,581</w:t>
            </w: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100,352</w:t>
            </w: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94,491</w:t>
            </w:r>
          </w:p>
        </w:tc>
        <w:tc>
          <w:tcPr>
            <w:tcW w:w="0" w:type="dxa"/>
            <w:vAlign w:val="bottom"/>
          </w:tcPr>
          <w:p>
            <w:pPr>
              <w:spacing w:after="0"/>
              <w:rPr>
                <w:sz w:val="1"/>
                <w:szCs w:val="1"/>
                <w:color w:val="auto"/>
              </w:rPr>
            </w:pPr>
          </w:p>
        </w:tc>
      </w:tr>
      <w:tr>
        <w:trPr>
          <w:trHeight w:val="256"/>
        </w:trPr>
        <w:tc>
          <w:tcPr>
            <w:tcW w:w="5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101,911</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16,144</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20,818</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45,887</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46,330</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87,277</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81,093</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2.39</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36,159</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36,489</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0.0900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0.0892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0.1792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0.1775</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 w:name="page5"/>
    <w:bookmarkEnd w:id="4"/>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Comprehensive Income (Unaudited)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45,887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87,277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81,093</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(3,224)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(1,088)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(7,132)</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42,663</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86,189</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73,961</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Stockholders’ Equity (Unaudited)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2025</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629,848</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(27,042)</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640,770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41,390</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7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2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20" w:type="dxa"/>
            <w:vAlign w:val="bottom"/>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2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2025</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50,721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667,941</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(24,906)</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668,886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45,887</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45,887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7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2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20" w:type="dxa"/>
            <w:vAlign w:val="bottom"/>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2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(3,296)</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(3,291)</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March 31, 2026</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710,532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709,069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5"/>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2"/>
                <w:szCs w:val="2"/>
                <w:color w:val="auto"/>
              </w:rPr>
            </w:pPr>
          </w:p>
        </w:tc>
        <w:tc>
          <w:tcPr>
            <w:tcW w:w="9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2024</w:t>
            </w:r>
          </w:p>
        </w:tc>
        <w:tc>
          <w:tcPr>
            <w:tcW w:w="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70,111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462,194</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(24,361)</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483,073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34,763</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2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20" w:type="dxa"/>
            <w:vAlign w:val="bottom"/>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2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38,612</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59,959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493,673</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(32,430)</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496,332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46,330</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Balance, March 31, 2025</w:t>
            </w:r>
          </w:p>
        </w:tc>
        <w:tc>
          <w:tcPr>
            <w:tcW w:w="2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38,623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60,990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536,736</w:t>
            </w:r>
          </w:p>
        </w:tc>
        <w:tc>
          <w:tcPr>
            <w:tcW w:w="10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(31,493)</w:t>
            </w:r>
          </w:p>
        </w:tc>
        <w:tc>
          <w:tcPr>
            <w:tcW w:w="1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32"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2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8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87,277</w:t>
            </w:r>
          </w:p>
        </w:tc>
        <w:tc>
          <w:tcPr>
            <w:tcW w:w="10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81,093</w:t>
            </w: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mark-to-market loss (gain) on derivative contracts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Bad debt expense (recovery),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(13,713)</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59,480</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(22,614)</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33,421</w:t>
            </w: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withheld in lieu of employee tax withholding</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(18,407)</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45,637</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450,739</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315,331</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4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537,712</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359,542</w:t>
            </w:r>
          </w:p>
        </w:tc>
      </w:tr>
      <w:tr>
        <w:trPr>
          <w:trHeight w:val="21"/>
        </w:trPr>
        <w:tc>
          <w:tcPr>
            <w:tcW w:w="6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332"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Overview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(we, us, our, Powell or the Company) is a Delaware corporation founded by William E. Powell in 1947. We develop, design, manufacture and service custom-engineered equipment and systems that distribute, control and monitor the flow of electrical energy and provide protection to motors, transformers and other electrically powered equipment. Our major subsidiaries, all of which are wholly owned, include Powell Electrical Systems, Inc.; Powell Canada Inc.; Powell (UK) Limited; and Powell Industries International Limited.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Powell and our wholly-owned subsidiaries. All intercompany accounts and transactions have been eliminated in consolidation.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thereto of Powell and its subsidiaries included in Powell’s Annual Report on Form 10-K for the year ended September 30, 2025, which was filed with the Securities and Exchange Commission (SEC) on November 19,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2026 and Fiscal 2025 used throughout this report shall mean the current fiscal year ending September 30, 2026 and the prior fiscal year ended September 30,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allowance for credit losses, provision for excess and obsolete inventory, warranty accruals and income taxes. The amounts recorded for warranties, legal, income taxes, impairment of long-lived assets, intangible assets and goodwill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basis for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 deductible. Estimates routinely change as new events occur, additional information becomes available or operating environments change. Actual results may differ from our prior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 w:name="page9"/>
    <w:bookmarkEnd w:id="8"/>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Split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2026, the Company’s Board of Directors adopted an amendment to the Company’s Amended and Restated Certificate of Incorporation to proportionately increase the number of shares of the Company’s authorized common stock from 30,000,000 to 90,000,000 in connection with a forward stock split.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April 2, 2026, the Company effected a three-for-one forward split of its common stock and </w:t>
      </w:r>
      <w:r>
        <w:rPr>
          <w:rFonts w:ascii="Times New Roman" w:cs="Times New Roman" w:eastAsia="Times New Roman" w:hAnsi="Times New Roman"/>
          <w:sz w:val="18"/>
          <w:szCs w:val="18"/>
          <w:color w:val="333D42"/>
        </w:rPr>
        <w:t>proportionately</w:t>
      </w:r>
      <w:r>
        <w:rPr>
          <w:rFonts w:ascii="Times New Roman" w:cs="Times New Roman" w:eastAsia="Times New Roman" w:hAnsi="Times New Roman"/>
          <w:sz w:val="18"/>
          <w:szCs w:val="18"/>
          <w:color w:val="auto"/>
        </w:rPr>
        <w:t xml:space="preserve"> increased the number of shares of authorized common stock from 30,000,000 to 90,000,000 (the Stock Split). Each shareholder of record as of the close of trading on March 20, 2026 (the Record Date) received, after the close of trading on April 2, 2026, two additional shares for every one share held on the Record Date. The shares of common stock retain a par value of $0.01 per share. Trading began on a split-adjusted basis at market open on April 6, 2026.</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 and per share amounts included in the accompanying consolidated financial statements and applicable disclosures throughout this Quarterly Report on Form 10-Q have been retroactively adjusted to reflect the Stock Split.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Issued but Not Yet Adopted</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the transparency of income tax disclosures. It requires greater disaggregation of information in the tax rate reconciliation and income taxes paid disaggregated by jurisdiction. This ASU is effective for fiscal years beginning after December 15, 2024, and should be applied on a prospective basis. Retrospective application and early adoption were permitted. We are currently evaluating the impacts of the new standard.</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Reporting Comprehensive Income – Expense Disaggregation Disclosures</w:t>
      </w:r>
      <w:r>
        <w:rPr>
          <w:rFonts w:ascii="Times New Roman" w:cs="Times New Roman" w:eastAsia="Times New Roman" w:hAnsi="Times New Roman"/>
          <w:sz w:val="18"/>
          <w:szCs w:val="18"/>
          <w:color w:val="auto"/>
        </w:rPr>
        <w:t>, which requires additional qualitative and quantitative information about specific expense categories in the notes to financial statements for both interim and annual reporting periods. In January 2025, the FASB further clarified the effective date for interim reporting periods. This ASU is effective for fiscal years beginning after December 15, 2026 and interim periods within those fiscal years beginning after December 15, 2027, with early adoption permitted. We are currently evaluating the impacts of the new standard.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 include the weighted average of additional shares associated with the incremental effect of dilutive restricted stock and restricted stock units. Outstanding share and per-share amounts disclosed for all periods below have been retroactively adjusted to reflect the effect of the Stock Split.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 as adjusted for the Stock Split: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6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6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45,887</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46,330</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87,277</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81,093</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36,429</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36,159</w:t>
            </w:r>
          </w:p>
        </w:tc>
      </w:tr>
      <w:tr>
        <w:trPr>
          <w:trHeight w:val="230"/>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and restricted stock units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3"/>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36,584</w:t>
            </w:r>
          </w:p>
        </w:tc>
        <w:tc>
          <w:tcPr>
            <w:tcW w:w="1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36,523</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36,543</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36,489</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9"/>
        </w:trPr>
        <w:tc>
          <w:tcPr>
            <w:tcW w:w="4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Detail of Selected Balance Sheet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w:t>
            </w:r>
          </w:p>
        </w:tc>
        <w:tc>
          <w:tcPr>
            <w:tcW w:w="1860" w:type="dxa"/>
            <w:vAlign w:val="bottom"/>
            <w:gridSpan w:val="2"/>
            <w:shd w:val="clear" w:color="auto" w:fill="CFF0FC"/>
          </w:tcPr>
          <w:p>
            <w:pPr>
              <w:jc w:val="right"/>
              <w:ind w:right="16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92,881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inventories</w:t>
            </w:r>
          </w:p>
        </w:tc>
        <w:tc>
          <w:tcPr>
            <w:tcW w:w="1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60" w:type="dxa"/>
            <w:vAlign w:val="bottom"/>
            <w:tcBorders>
              <w:bottom w:val="single" w:sz="8" w:color="auto"/>
            </w:tcBorders>
            <w:gridSpan w:val="2"/>
          </w:tcPr>
          <w:p>
            <w:pPr>
              <w:jc w:val="right"/>
              <w:ind w:right="16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5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are summarized below (in thousands):</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15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24,387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133,187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100,534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99,840</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5,728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ind w:right="15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267,366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(155,544)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(151,848)</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ind w:right="15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111,822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111,049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under finance lease as of March 31, 2026 or September 30, 2025.</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6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6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5,822</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r>
      <w:tr>
        <w:trPr>
          <w:trHeight w:val="230"/>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w:t>
            </w:r>
          </w:p>
        </w:tc>
      </w:tr>
      <w:tr>
        <w:trPr>
          <w:trHeight w:val="230"/>
        </w:trPr>
        <w:tc>
          <w:tcPr>
            <w:tcW w:w="46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8"/>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6,284</w:t>
            </w: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custom-engineered modules or electrical houses (E-Houses). Some contracts may also include the installation and the commissioning of these enclosures.</w:t>
      </w:r>
    </w:p>
    <w:p>
      <w:pPr>
        <w:spacing w:after="0" w:line="1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 w:name="page11"/>
    <w:bookmarkEnd w:id="1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 Revenues from our custom-engineered products and value-added services transferred to customers over time accounted for approximately 95% of revenues for both the three and six months ended March 31, 2026, 95% of revenues for the three months ended March 31, 2025, and 96% of revenues for the six months ended March 31, 2025</w:t>
      </w:r>
      <w:r>
        <w:rPr>
          <w:rFonts w:ascii="Arial" w:cs="Arial" w:eastAsia="Arial" w:hAnsi="Arial"/>
          <w:sz w:val="14"/>
          <w:szCs w:val="14"/>
          <w:color w:val="auto"/>
        </w:rPr>
        <w: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5% of revenues for both the three and six months ended March 31, 2026, 5% of revenues for the three months ended March 31, 2025, and 4% of revenues for the six months ended March 31, 2025.</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yet been performed. As of March 31, 2026, we had backlog of $1.8 billion, of which approximately $1.1 billion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reduced profits. Whenever revisions of estimated contract costs and contract values indicate that the contract costs will exceed estimated revenues, thus creating a loss, a provision for the total estimated loss is recorded in that period.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March 31, 2026 and 2025, our operating results were positively impacted by $14.2 million and $8.8 million, respectively, as a result of net changes in contract estimates related to projects in progress at the beginning of the respective period. These changes in estimates resulted primarily from favorable project execution, reduced cost estimates and negotiations of variable consideration, discussed below, as well as revenue recognized from project cancellations and other changes in facts and circumstances during these periods. Gross unfavorable changes in contract estimates were immaterial for both the six months ended March 31, 2026 and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Condensed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of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as of March 31, 2026 and September 30, 2025 are summarized below (in thousands):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9"/>
              </w:rPr>
              <w:t>113,297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rPr>
              <w:t>136,679</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595"/>
              <w:spacing w:after="0"/>
              <w:rPr>
                <w:sz w:val="20"/>
                <w:szCs w:val="20"/>
                <w:color w:val="auto"/>
              </w:rPr>
            </w:pPr>
            <w:r>
              <w:rPr>
                <w:rFonts w:ascii="Times New Roman" w:cs="Times New Roman" w:eastAsia="Times New Roman" w:hAnsi="Times New Roman"/>
                <w:sz w:val="18"/>
                <w:szCs w:val="18"/>
                <w:color w:val="auto"/>
                <w:w w:val="99"/>
              </w:rPr>
              <w:t>(314,506)</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655"/>
              <w:spacing w:after="0"/>
              <w:rPr>
                <w:sz w:val="20"/>
                <w:szCs w:val="20"/>
                <w:color w:val="auto"/>
              </w:rPr>
            </w:pPr>
            <w:r>
              <w:rPr>
                <w:rFonts w:ascii="Times New Roman" w:cs="Times New Roman" w:eastAsia="Times New Roman" w:hAnsi="Times New Roman"/>
                <w:sz w:val="18"/>
                <w:szCs w:val="18"/>
                <w:color w:val="auto"/>
                <w:w w:val="99"/>
              </w:rPr>
              <w:t>(297,949)</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99"/>
              </w:rPr>
              <w:t>(201,209)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9"/>
              </w:rPr>
              <w:t>(161,270)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contract billing position remained a net liability at both March 31, 2026 and September 30, 2025, primarily due to favorable contract billing milestones. We typically allocate a significant percentage of the progress billing to the early stages of the contract. To determine the amount of revenue recognized during the period from contract liabilities, we first allocate revenue to the individual contract liability balance outstanding at the beginning of the period until the revenue exceeds that balance. During the six months ended March 31, 2026, we recognized revenue of $204.3 million that was related to contract liabilities outstanding at September 30, 2025.</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is subject to agreement by our customer. Payment is typically expected within 30 days of invoice. Any uncollected invoiced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amounts for our performance obligations recognized over time, including contract retentions, are recorded as accounts receivable in the Condensed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March 31, 2026 and September 30, 2025, we had retention amounts of $6.0 million and $8.1 million, respectively. Of the retained amount at March 31, 2026, $5.8 million is expected to be collected in the next twelve months and is recorded in accounts receivable. The remaining $0.2 million is recorded in other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three and six months ended March 31, 2026 and 2025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227,834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427,150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425,606</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65,664</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11,425</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48"/>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296,615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278,631</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547,799</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520,062</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98"/>
        </w:trPr>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24"/>
                <w:szCs w:val="24"/>
                <w:color w:val="auto"/>
              </w:rPr>
            </w:pPr>
          </w:p>
        </w:tc>
        <w:tc>
          <w:tcPr>
            <w:tcW w:w="25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4"/>
        </w:trPr>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210,633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196,846</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149,752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121,579</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84,669</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76,887</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rail traction power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18,236</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21,845</w:t>
            </w:r>
          </w:p>
        </w:tc>
      </w:tr>
      <w:tr>
        <w:trPr>
          <w:trHeight w:val="248"/>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296,615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278,631</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547,799</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520,062</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 Goodwill and Other Intangible Assets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intangible assets include goodwill of $6.0 million, which is not being amortized, and other intangible assets of $5.6 million being amortized over their estimated useful lives. No impairment expense has been recorded for the last three fiscal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changes in the carrying amount of goodwill for the six months ended March 31, 2026 </w:t>
      </w:r>
      <w:r>
        <w:rPr>
          <w:rFonts w:ascii="Arial" w:cs="Arial" w:eastAsia="Arial" w:hAnsi="Arial"/>
          <w:sz w:val="14"/>
          <w:szCs w:val="14"/>
          <w:color w:val="auto"/>
        </w:rPr>
        <w:t>for</w:t>
      </w:r>
      <w:r>
        <w:rPr>
          <w:rFonts w:ascii="Times New Roman" w:cs="Times New Roman" w:eastAsia="Times New Roman" w:hAnsi="Times New Roman"/>
          <w:sz w:val="18"/>
          <w:szCs w:val="18"/>
          <w:color w:val="auto"/>
        </w:rPr>
        <w:t xml:space="preserve"> our single reporting segment are as follows (in thousands):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9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balances, subject to amortization, at March 31, 2026 and September 30, 2025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80" w:type="dxa"/>
            <w:vAlign w:val="bottom"/>
          </w:tcPr>
          <w:p>
            <w:pPr>
              <w:spacing w:after="0"/>
              <w:rPr>
                <w:sz w:val="11"/>
                <w:szCs w:val="11"/>
                <w:color w:val="auto"/>
              </w:rPr>
            </w:pPr>
          </w:p>
        </w:tc>
        <w:tc>
          <w:tcPr>
            <w:tcW w:w="172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340" w:type="dxa"/>
            <w:vAlign w:val="bottom"/>
          </w:tcPr>
          <w:p>
            <w:pPr>
              <w:spacing w:after="0"/>
              <w:rPr>
                <w:sz w:val="11"/>
                <w:szCs w:val="11"/>
                <w:color w:val="auto"/>
              </w:rPr>
            </w:pPr>
          </w:p>
        </w:tc>
        <w:tc>
          <w:tcPr>
            <w:tcW w:w="1420" w:type="dxa"/>
            <w:vAlign w:val="bottom"/>
            <w:gridSpan w:val="2"/>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1320" w:type="dxa"/>
            <w:vAlign w:val="bottom"/>
          </w:tcPr>
          <w:p>
            <w:pPr>
              <w:jc w:val="center"/>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Useful Lives</w:t>
            </w:r>
          </w:p>
        </w:tc>
        <w:tc>
          <w:tcPr>
            <w:tcW w:w="34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340" w:type="dxa"/>
            <w:vAlign w:val="bottom"/>
          </w:tcPr>
          <w:p>
            <w:pPr>
              <w:spacing w:after="0"/>
              <w:rPr>
                <w:sz w:val="17"/>
                <w:szCs w:val="17"/>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7"/>
                <w:szCs w:val="17"/>
                <w:color w:val="auto"/>
              </w:rPr>
            </w:pPr>
          </w:p>
        </w:tc>
        <w:tc>
          <w:tcPr>
            <w:tcW w:w="132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Technologies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17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340" w:type="dxa"/>
            <w:vAlign w:val="bottom"/>
          </w:tcPr>
          <w:p>
            <w:pPr>
              <w:spacing w:after="0"/>
              <w:rPr>
                <w:sz w:val="11"/>
                <w:szCs w:val="11"/>
                <w:color w:val="auto"/>
              </w:rPr>
            </w:pPr>
          </w:p>
        </w:tc>
        <w:tc>
          <w:tcPr>
            <w:tcW w:w="1420" w:type="dxa"/>
            <w:vAlign w:val="bottom"/>
            <w:gridSpan w:val="2"/>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1320" w:type="dxa"/>
            <w:vAlign w:val="bottom"/>
          </w:tcPr>
          <w:p>
            <w:pPr>
              <w:jc w:val="center"/>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Useful Lives</w:t>
            </w:r>
          </w:p>
        </w:tc>
        <w:tc>
          <w:tcPr>
            <w:tcW w:w="34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340" w:type="dxa"/>
            <w:vAlign w:val="bottom"/>
          </w:tcPr>
          <w:p>
            <w:pPr>
              <w:spacing w:after="0"/>
              <w:rPr>
                <w:sz w:val="17"/>
                <w:szCs w:val="17"/>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7"/>
                <w:szCs w:val="17"/>
                <w:color w:val="auto"/>
              </w:rPr>
            </w:pPr>
          </w:p>
        </w:tc>
        <w:tc>
          <w:tcPr>
            <w:tcW w:w="132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Technologies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additional technology intangible asset of $0.5 million associated with an intellectual property acquired in December 2023 which has not yet been subject to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 w:name="page15"/>
    <w:bookmarkEnd w:id="14"/>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2026, the estimated future amortization expense of intangible assets is as follows (in thousands):</w:t>
            </w: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621"/>
        </w:trPr>
        <w:tc>
          <w:tcPr>
            <w:tcW w:w="9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48"/>
        </w:trPr>
        <w:tc>
          <w:tcPr>
            <w:tcW w:w="9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credit agreement with Bank of America, N.A. and Texas Capital Bank with an aggregate commitment of $150.0 million, consisting of $100.0 million committed by Bank of America and $50.0 million committed by Texas Capital Bank (the U.S. Revolver). The U.S. Revolver has an expiration date of October 4, 2028.</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there were no amounts borrowed under the U.S. Revolver, and letters of credit outstanding were $78.7 million. There was $71.3 million available for the issuance of letters of credit and borrowings under the U.S. Revolver as of March 31, 2026.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were in compliance with all of the financial covenants of the U.S. Revolver.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$78.7 million as of March 31, 2026. We also had surety bonds totaling $432.8 million that were outstanding, with additional bonding capacity of $767.2 million available, at March 31, 2026. We have strong surety relationships; however, a change in market conditions or the sureties’ assessment of our financial position could cause the sureties to require cash collateralization for undischarged liabilities under the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$19.8 million facility agreement (Facility Agreement) between Powell (UK) Limited and a large international bank that provides Powell (UK) Limited the ability to enter into bank guarantees as well as forward exchange contracts and currency options. At March 31, 2026, we had outstanding guarantees totaling $6.4 million, with an additional capacity of $13.4 million available under this Facility Agreement. The Facility Agreement provides for customary events of default and carries cross-default provisions with the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March 31, 2026, we were in compliance with all of the financial covenants of the Facility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Liquidated Damages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March 31, 2026, certain contracts had a probable exposure to liquidated damages claims of $4.4 million, which could possibly increase to $7.5 million under certain circumstances. Based on our actual or projected failure to meet these various contractual commitments, $3.8 million has been recorded as a reduction to revenue. We will attempt to obtain change orders, contract extensions or accelerate project completion, which may resolve the potential for any unrecorded liquidated damages claims. Should we fail to achieve relief on some or all of these contractual obligations, we could be required to pay additional liquidated damages, which could negatively impact our future operating results.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our Annual Report on Form 10-K for the fiscal year ended September 30, 2025 for a full description of our existing stock-based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issue restricted stock units (RSUs) to certain officers and key employees of the Company. The fair value of the RSUs is based on the price of our common stock as reported on the NASDAQ Global Market during a specified period prior to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revenue growth, earnings and safety performance of the Company following the grant date. At March 31, 2026, there were 166,431 RSUs outstanding, as adjusted for the Stock Split.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as adjusted for the Stock Split, for the six months ended March 31, 2026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26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8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0"/>
        </w:trPr>
        <w:tc>
          <w:tcPr>
            <w:tcW w:w="82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26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350,658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r>
      <w:tr>
        <w:trPr>
          <w:trHeight w:val="230"/>
        </w:trPr>
        <w:tc>
          <w:tcPr>
            <w:tcW w:w="8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(243,312)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30"/>
        </w:trPr>
        <w:tc>
          <w:tcPr>
            <w:tcW w:w="82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Forfeited/canceled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166,431</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55.84</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2026 and 2025, we recorded compensation expense of $2.5 million and $2.2 million, respectively, related to the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year, every non-employee director receives restricted shares of the Company’s common stock with a grant-date value of $0.1 million. The number of granted shares is calculated by dividing the $0.1 million by the average of high and low prices of our common stock on the grant date. The shares shall vest on the earlier of the grant anniversary date or the date of the next annual meeting of stockholders, whichever occurs first. In February 2026, 4,200 shares of restricted stock were issued to our non-employee directors at a price of $184.83 per share, as adjusted for the Stock Split. During both the six months ended March 31, 2026 and 2025, we recorded compensation expense of $0.4 million related to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March 31, 2026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2026</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740" w:type="dxa"/>
            <w:vAlign w:val="bottom"/>
            <w:gridSpan w:val="3"/>
          </w:tcPr>
          <w:p>
            <w:pPr>
              <w:jc w:val="center"/>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gridSpan w:val="3"/>
          </w:tcPr>
          <w:p>
            <w:pPr>
              <w:jc w:val="center"/>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74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8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740" w:type="dxa"/>
            <w:vAlign w:val="bottom"/>
            <w:gridSpan w:val="3"/>
          </w:tcPr>
          <w:p>
            <w:pPr>
              <w:jc w:val="center"/>
              <w:ind w:right="54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80" w:type="dxa"/>
            <w:vAlign w:val="bottom"/>
            <w:gridSpan w:val="3"/>
          </w:tcPr>
          <w:p>
            <w:pPr>
              <w:jc w:val="center"/>
              <w:ind w:right="60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7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537,712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Contingent future payments related to the acquisition of</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Remsdaq</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7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2025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2025</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7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80" w:type="dxa"/>
            <w:vAlign w:val="bottom"/>
            <w:gridSpan w:val="3"/>
          </w:tcPr>
          <w:p>
            <w:pPr>
              <w:jc w:val="center"/>
              <w:ind w:right="5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450,739</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Contingent future payments related to the acquisition of</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Remsdaq</w:t>
            </w:r>
          </w:p>
        </w:tc>
        <w:tc>
          <w:tcPr>
            <w:tcW w:w="1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17" w:name="page18"/>
    <w:bookmarkEnd w:id="17"/>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Rabbi trust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Contingent future payments related to the acquisition of Remsdaq </w:t>
      </w:r>
      <w:r>
        <w:rPr>
          <w:rFonts w:ascii="Times New Roman" w:cs="Times New Roman" w:eastAsia="Times New Roman" w:hAnsi="Times New Roman"/>
          <w:sz w:val="18"/>
          <w:szCs w:val="18"/>
          <w:color w:val="auto"/>
        </w:rPr>
        <w:t>– The contingent future payments were calculated using a probability outcome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internally developed assumptions; accordingly, they are categorized as Level 3 in the fair value measurement hierarchy.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quarter ended March 31, 2026.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Leases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leases consist primarily of office and warehouse space and construction equipment. All of our future lease obligations are related to non-cancelable operating leases. The following table provides a summary of lease cost components for the three and six months ended March 31, 2026 and 2025, respectively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20" w:type="dxa"/>
            <w:vAlign w:val="bottom"/>
            <w:gridSpan w:val="2"/>
            <w:vMerge w:val="continue"/>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9"/>
        </w:trPr>
        <w:tc>
          <w:tcPr>
            <w:tcW w:w="4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2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The following table provides a summary of the operating lease assets and operating lease liabilities included in our Condensed Consolidated Balance Sheets as of March 31, 2026 and September 30, 2025, respectively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r>
      <w:tr>
        <w:trPr>
          <w:trHeight w:val="223"/>
        </w:trPr>
        <w:tc>
          <w:tcPr>
            <w:tcW w:w="6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29"/>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1,955</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9"/>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 w:type="dxa"/>
            <w:vAlign w:val="bottom"/>
          </w:tcPr>
          <w:p>
            <w:pPr>
              <w:spacing w:after="0"/>
              <w:rPr>
                <w:sz w:val="19"/>
                <w:szCs w:val="19"/>
                <w:color w:val="auto"/>
              </w:rPr>
            </w:pPr>
          </w:p>
        </w:tc>
      </w:tr>
      <w:tr>
        <w:trPr>
          <w:trHeight w:val="229"/>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7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 w:type="dxa"/>
            <w:vAlign w:val="bottom"/>
            <w:tcBorders>
              <w:bottom w:val="single" w:sz="8" w:color="auto"/>
            </w:tcBorders>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33"/>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March 31, 2026 (in thousands):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23"/>
        </w:trPr>
        <w:tc>
          <w:tcPr>
            <w:tcW w:w="40" w:type="dxa"/>
            <w:vAlign w:val="bottom"/>
          </w:tcPr>
          <w:p>
            <w:pPr>
              <w:spacing w:after="0"/>
              <w:rPr>
                <w:sz w:val="19"/>
                <w:szCs w:val="19"/>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17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7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17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 as of March 31, 2026 and 2025 were 7.47% and 6.55%, respectively. The weighted average remaining lease term was 2.17 years and 2.34 years, respectively, at March 31, 2026 and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Segment Information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manage our business as one reportable operating segment and our revenues are primarily generated from the development, design, manufacturing and servicing of custom-engineered equipment and systems for the distribution, control and monitoring of electrical energy.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The CODM manages and allocates resources on a total consolidated basis by assessing performance of revenues and earnings before interest and taxes (“EBIT”) using actual-to-actual, actual-to-plan and actual-to-forecast variance analysis. The measure of segment profit and loss regularly provided to the CODM that is most consistent with GAAP is consolidated net income, as presented in our Consolidated Statements of Operations. The CODM does not manage cost components by product, customer type or service type, nor does the CODM regularly receive disaggregated information at this level.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9" w:name="page20"/>
    <w:bookmarkEnd w:id="19"/>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March 31, 2026 and 2025, the summary of segment net income, including segment expenses, for our single reportable segment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286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296,615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547,799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520,062</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208,679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195,199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388,445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377,106</w:t>
            </w:r>
          </w:p>
        </w:tc>
      </w:tr>
      <w:tr>
        <w:trPr>
          <w:trHeight w:val="229"/>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29,475</w:t>
            </w:r>
          </w:p>
        </w:tc>
      </w:tr>
      <w:tr>
        <w:trPr>
          <w:trHeight w:val="229"/>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w:t>
            </w:r>
          </w:p>
        </w:tc>
      </w:tr>
      <w:tr>
        <w:trPr>
          <w:trHeight w:val="230"/>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r>
      <w:tr>
        <w:trPr>
          <w:trHeight w:val="229"/>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Realized currency (gain) loss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4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239,034</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219,712</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447,447</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425,571</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 EBIT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94,491</w:t>
            </w:r>
          </w:p>
        </w:tc>
      </w:tr>
      <w:tr>
        <w:trPr>
          <w:trHeight w:val="229"/>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r>
      <w:tr>
        <w:trPr>
          <w:trHeight w:val="229"/>
        </w:trPr>
        <w:tc>
          <w:tcPr>
            <w:tcW w:w="4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16,144</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20,818</w:t>
            </w: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45,887</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46,330</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87,277</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81,093</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87,936</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142,956</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by country represent sales to unaffiliated customers as determined by the ultimate destination of our products and services, summarized for the three and six months ended March 31, 2026 and 2025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286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6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227,834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427,150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425,606</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65,664</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11,425</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2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48"/>
        </w:trPr>
        <w:tc>
          <w:tcPr>
            <w:tcW w:w="4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296,615</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278,631</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547,799</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520,062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Long-lived assets by country consist of property, plant and equipment, net of accumulated depreciation and are determined based on the location of the tangible assets, summarized below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16"/>
                <w:szCs w:val="16"/>
                <w:color w:val="auto"/>
              </w:rPr>
            </w:pPr>
          </w:p>
        </w:tc>
        <w:tc>
          <w:tcPr>
            <w:tcW w:w="18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6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3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72,540</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70,699</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32,744</w:t>
            </w:r>
          </w:p>
        </w:tc>
      </w:tr>
      <w:tr>
        <w:trPr>
          <w:trHeight w:val="230"/>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w:t>
            </w:r>
          </w:p>
        </w:tc>
      </w:tr>
      <w:tr>
        <w:trPr>
          <w:trHeight w:val="248"/>
        </w:trPr>
        <w:tc>
          <w:tcPr>
            <w:tcW w:w="6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111,049</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L.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effective tax rate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300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61,784</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62,474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108,820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101,911</w:t>
            </w:r>
          </w:p>
        </w:tc>
      </w:tr>
      <w:tr>
        <w:trPr>
          <w:trHeight w:val="216"/>
        </w:trPr>
        <w:tc>
          <w:tcPr>
            <w:tcW w:w="4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15,897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16,144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21,543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20,818</w:t>
            </w:r>
          </w:p>
        </w:tc>
      </w:tr>
      <w:tr>
        <w:trPr>
          <w:trHeight w:val="162"/>
        </w:trPr>
        <w:tc>
          <w:tcPr>
            <w:tcW w:w="42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45,887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46,330</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87,277</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81,093</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2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income tax provision reflects an effective tax rate on pre-tax income of 26% and 20% for the three and six months ended March 31, 2026 and March 31, 2025. The effective tax rates for each period were favorably impacted by the estimated Research and Development (R&amp;D) Tax Credit, which was offset by the tax expense related to certain nondeductible items. In addition, discrete items related to the vesting of RSUs recorded in the first quarters of Fiscal 2026 and Fiscal 2025 favorably impacted the effective tax rate for the six months ended March 31, 2026 and March 31, 2025.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Subsequent Events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33D42"/>
        </w:rPr>
        <w:t>Common Stock Split</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333D42"/>
        </w:rPr>
        <w:t xml:space="preserve">On April 2, 2026, the Company effected a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333D42"/>
        </w:rPr>
        <w:t>-for-</w:t>
      </w:r>
      <w:r>
        <w:rPr>
          <w:rFonts w:ascii="Times New Roman" w:cs="Times New Roman" w:eastAsia="Times New Roman" w:hAnsi="Times New Roman"/>
          <w:sz w:val="18"/>
          <w:szCs w:val="18"/>
          <w:color w:val="000000"/>
        </w:rPr>
        <w:t>one</w:t>
      </w:r>
      <w:r>
        <w:rPr>
          <w:rFonts w:ascii="Times New Roman" w:cs="Times New Roman" w:eastAsia="Times New Roman" w:hAnsi="Times New Roman"/>
          <w:sz w:val="18"/>
          <w:szCs w:val="18"/>
          <w:color w:val="333D42"/>
        </w:rPr>
        <w:t xml:space="preserve"> forward split of its common stock and proportionately increased the number of shares of authorized common stock from </w:t>
      </w:r>
      <w:r>
        <w:rPr>
          <w:rFonts w:ascii="Times New Roman" w:cs="Times New Roman" w:eastAsia="Times New Roman" w:hAnsi="Times New Roman"/>
          <w:sz w:val="18"/>
          <w:szCs w:val="18"/>
          <w:color w:val="000000"/>
        </w:rPr>
        <w:t>30,000,000 to 90,000,000</w:t>
      </w:r>
      <w:r>
        <w:rPr>
          <w:rFonts w:ascii="Times New Roman" w:cs="Times New Roman" w:eastAsia="Times New Roman" w:hAnsi="Times New Roman"/>
          <w:sz w:val="18"/>
          <w:szCs w:val="18"/>
          <w:color w:val="333D42"/>
        </w:rPr>
        <w:t xml:space="preserve">. Each shareholder of record as of the close of trading on March 20, 2026 received, after the close of trading on April 2, 2026, </w:t>
      </w:r>
      <w:r>
        <w:rPr>
          <w:rFonts w:ascii="Times New Roman" w:cs="Times New Roman" w:eastAsia="Times New Roman" w:hAnsi="Times New Roman"/>
          <w:sz w:val="18"/>
          <w:szCs w:val="18"/>
          <w:color w:val="000000"/>
        </w:rPr>
        <w:t>two</w:t>
      </w:r>
      <w:r>
        <w:rPr>
          <w:rFonts w:ascii="Times New Roman" w:cs="Times New Roman" w:eastAsia="Times New Roman" w:hAnsi="Times New Roman"/>
          <w:sz w:val="18"/>
          <w:szCs w:val="18"/>
          <w:color w:val="333D42"/>
        </w:rPr>
        <w:t xml:space="preserve"> additional shares f</w:t>
      </w:r>
      <w:r>
        <w:rPr>
          <w:rFonts w:ascii="Times New Roman" w:cs="Times New Roman" w:eastAsia="Times New Roman" w:hAnsi="Times New Roman"/>
          <w:sz w:val="18"/>
          <w:szCs w:val="18"/>
          <w:color w:val="000000"/>
        </w:rPr>
        <w:t>or every one sha</w:t>
      </w:r>
      <w:r>
        <w:rPr>
          <w:rFonts w:ascii="Times New Roman" w:cs="Times New Roman" w:eastAsia="Times New Roman" w:hAnsi="Times New Roman"/>
          <w:sz w:val="18"/>
          <w:szCs w:val="18"/>
          <w:color w:val="333D42"/>
        </w:rPr>
        <w:t xml:space="preserve">re held on the Record Date. The shares of common stock retain a par value of </w:t>
      </w:r>
      <w:r>
        <w:rPr>
          <w:rFonts w:ascii="Times New Roman" w:cs="Times New Roman" w:eastAsia="Times New Roman" w:hAnsi="Times New Roman"/>
          <w:sz w:val="18"/>
          <w:szCs w:val="18"/>
          <w:color w:val="000000"/>
        </w:rPr>
        <w:t>$0.01</w:t>
      </w:r>
      <w:r>
        <w:rPr>
          <w:rFonts w:ascii="Times New Roman" w:cs="Times New Roman" w:eastAsia="Times New Roman" w:hAnsi="Times New Roman"/>
          <w:sz w:val="18"/>
          <w:szCs w:val="18"/>
          <w:color w:val="333D42"/>
        </w:rPr>
        <w:t xml:space="preserve"> per share. Trading began on a split-adjusted basis at market open on April 6, 2026. See Note A. Overview and Summary of Significant Accounting Policies for addition information regarding the Common Stock Split.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5, 2026, our Board of Directors declared a quarterly cash dividend on our common stock in the amount of $0.09 per share. The dividend is payable on June 17, 2026 to shareholders of record at the close of business on May 20, 2026.</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references to “we,” “us,” “our,” “Powell” or “the Company” include Powell Industries, Inc. and its consolidated subsidiaries.</w:t>
      </w:r>
    </w:p>
    <w:p>
      <w:pPr>
        <w:spacing w:after="0" w:line="17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(the Exchange Act). All statements, other than statements of historical fact, included in this report are forward-looking statements. Such forward-looking statements include, but are not limited to, projections and estimates of the timing and success of specific projects and our future backlog (including our characterization of new orders as “large”or “mega,” which is used herein to indicate orders ranging from $10 to $50 million or larger than $50 million, respectively), revenues, income, acquisitions, liquidity and capital expenditures, the effect of tariffs, as well as other statements that are not historical facts contained in or incorporated by reference into this report. Statements that contain words such as “believes,” “expects,” “anticipates,” “intends,” “estimates,” “continue,” “should,” “could,” “may,” “plan,” “project,” “predict,” “potential,” “possible,” “would,” “outlook,” “will” or similar expressions are forward-looking statements.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report. We disclaim any obligation to update or revise these statements unless required by applicable law, whether as a result of new information, future events or otherwise. We caution you not to unduly rely on them. We have based these forward-looking statements on expectations and assumptions of management at the time the statements were made. While our management considers these expectations and assumptions to be reasonable, they are inherently subject to significant business, economic, competitive, regulatory and other risks, contingencies and uncertainties that could cause actual results to differ materially from those included in this report, most of which are difficult to predict and many of which are beyond our control. These risks, contingencies and uncertainties include, but are not limited to, the potential failure to adequately predict costs (including in connection with our fixed-price contracts) and prevent cost overruns, including the impacts of inflation, the effect of tariffs, potentially disruptive or unanticipated changes in suppliers, the availability of cash on hand and other sources of liquidity to fund our operating expenses and capital expenditures, the impacts of future legislative and regulatory initiatives, the potential effects of ongoing military disputes (including current conflicts in Ukraine and Iran), electronic, cyber or physical security breaches, and other factors detailed herein and in our other SEC filings. Additional important risks, uncertainties and other factors are detailed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 and Industry</w:t>
      </w:r>
    </w:p>
    <w:p>
      <w:pPr>
        <w:spacing w:after="0" w:line="121" w:lineRule="exact"/>
        <w:rPr>
          <w:sz w:val="20"/>
          <w:szCs w:val="20"/>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cyclical nature of the end markets that we serve. This cyclicality has had, and may continue to have, an adverse effect on our operating results.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cancellations and scope reductions and, therefore, may not be a reliable indicator of our future earnings.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place competitive bids and adequately project future costs may result in losses on our fixed-price contracts with customers.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concentration and limited supplier capacity may adversely impact our business and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skilled and unskilled labor, and we may be unable to attract and retain qualified employees.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recognized over time from our fixed-price contracts could result in volatility in our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use of subcontractors.</w:t>
      </w:r>
    </w:p>
    <w:p>
      <w:pPr>
        <w:spacing w:after="0" w:line="117" w:lineRule="exact"/>
        <w:rPr>
          <w:rFonts w:ascii="Times New Roman" w:cs="Times New Roman" w:eastAsia="Times New Roman" w:hAnsi="Times New Roman"/>
          <w:sz w:val="18"/>
          <w:szCs w:val="18"/>
          <w:color w:val="auto"/>
        </w:rPr>
      </w:pPr>
    </w:p>
    <w:p>
      <w:pPr>
        <w:jc w:val="both"/>
        <w:ind w:left="620" w:hanging="329"/>
        <w:spacing w:after="0" w:line="266"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may make existing products and production methods obsolete. The development or use of Artificial Intelligence (AI) by our competitors or other third parties may impair our ability to compete effectively and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AI initiatives, which could adversely affect our business, reputation, and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with expansions, relocations, or consolidations of existing facilities could adversely affect our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contracts contain performance obligations that may subject us to penalties or additional liabilities.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product diversification through strategic acquisitions involve a number of risks.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2" w:name="page23"/>
    <w:bookmarkEnd w:id="22"/>
    <w:p>
      <w:pPr>
        <w:spacing w:after="0" w:line="5" w:lineRule="exact"/>
        <w:rPr>
          <w:sz w:val="20"/>
          <w:szCs w:val="20"/>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Misconduct by our employees or subcontractors, or a failure to </w:t>
      </w:r>
      <w:r>
        <w:rPr>
          <w:rFonts w:ascii="Times New Roman" w:cs="Times New Roman" w:eastAsia="Times New Roman" w:hAnsi="Times New Roman"/>
          <w:sz w:val="18"/>
          <w:szCs w:val="18"/>
          <w:color w:val="252525"/>
        </w:rPr>
        <w:t>comply with applicable laws or regulations, could harm our reputation, damage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relationships with customers and subject us to criminal and civil enforcement actions.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Unsatisfactory safety performance may subject us to penalties, negatively impact customer relationships, result in higher operating costs, and negatively impact employee morale and turnover.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Financial Condition and Markets</w:t>
      </w:r>
    </w:p>
    <w:p>
      <w:pPr>
        <w:spacing w:after="0" w:line="121" w:lineRule="exact"/>
        <w:rPr>
          <w:sz w:val="20"/>
          <w:szCs w:val="20"/>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financial market conditions may impact our customer base, suppliers and backlog.</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and supply of materials used to manufacture our products may reduce our profits and could adversely impact our ability to meet commitments to our customers.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surety bonds, letters of credit, bank guarantees, or other financial assurances, may be necessary for us to successfully bid on and obtain certain contracts.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in compliance with covenants or obtain waivers or amendments under our credit agreement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credit to customers in conjunction with our performance under fixed-price contracts which subjects us to potential credit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revenues may be concentrated among a small number of customers and may be subject to the risks of particular industries.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are different from, or possibly greater than, the risks we are exposed to domestically and may adversely affect our operations.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credit and capital markets may be limited, which could adversely affect our liquidity, operations, and growth strategy.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Corporate Structure and our Common Stock</w:t>
      </w:r>
    </w:p>
    <w:p>
      <w:pPr>
        <w:spacing w:after="0" w:line="121" w:lineRule="exact"/>
        <w:rPr>
          <w:sz w:val="20"/>
          <w:szCs w:val="20"/>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 change in control of our company, even if that change would be beneficial to our shareholders.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liability of our directors and officers for monetary damages for breach of their fiduciary duty of care is limited by the Delaware General Corporation Law and by our certificate of incorporation.</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exclusive-forum provision contained in our bylaws could limit our stockholders’ ability to obtain a favorable judicial forum for disputes with us or our directors, officers or other employees.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decline or fluctuate significantly due to unforeseen circumstances that may be outside of our control. These fluctuations may cause our stockholders to incur losses.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or pay future dividends on our common stock.</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preferred stock on terms that could adversely affect the voting power or value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Legal and Regulatory Matters</w:t>
      </w:r>
    </w:p>
    <w:p>
      <w:pPr>
        <w:spacing w:after="0" w:line="121" w:lineRule="exact"/>
        <w:rPr>
          <w:sz w:val="20"/>
          <w:szCs w:val="20"/>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adversely impacted by the effects of government regulations.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claims, lawsuits and proceedings could ultimately reduce our profitability and liquidity and weaken our financial condition.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may change our effective tax rate and could have a material effect on our financial results.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obtain, enforce, and protect intellectual property rights or third-party claims that we are infringing on their intellectual property could harm our business.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arising from tariffs and other economic proposals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weaknesses in our internal controls over financial reporting could adversely affect our ability to report on our financial condition and results of operations accurately or on a timely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carry insurance against many potential liabilities, but our management of risk may leave us exposed to unidentified or unanticipated risks.</w:t>
      </w:r>
    </w:p>
    <w:p>
      <w:pPr>
        <w:spacing w:after="0" w:line="200" w:lineRule="exact"/>
        <w:rPr>
          <w:rFonts w:ascii="Times New Roman" w:cs="Times New Roman" w:eastAsia="Times New Roman" w:hAnsi="Times New Roman"/>
          <w:sz w:val="18"/>
          <w:szCs w:val="18"/>
          <w:color w:val="auto"/>
        </w:rPr>
      </w:pPr>
    </w:p>
    <w:p>
      <w:pPr>
        <w:spacing w:after="0" w:line="36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5" w:lineRule="exact"/>
        <w:rPr>
          <w:sz w:val="20"/>
          <w:szCs w:val="20"/>
          <w:color w:val="auto"/>
        </w:rPr>
      </w:pPr>
    </w:p>
    <w:p>
      <w:pPr>
        <w:ind w:left="620" w:hanging="329"/>
        <w:spacing w:after="0" w:line="282" w:lineRule="auto"/>
        <w:tabs>
          <w:tab w:leader="none" w:pos="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including natural disasters, health epidemics, acts of war and terrorism, climate change, among others, could disrupt our business.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our business systems or cybersecurity attacks on any of our facilities, or those of third parties, could adversely affect our business, results of operations and reputation.</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data protection, and information security may require significant resources and present certain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Environmental, Social, and Governance (ESG) initiatives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 could disrupt our business.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Refer to “Risk Factors” in Part I. Item 1A of our Annual Report on Form 10-K for the year ended September 30, 2025, which was filed with the SEC on November 19, 2025. We can provide no assurance that the forward-looking statements contained in this report will occur as expected, and actual results may differ materially from those included in this report.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note that we announce material financial information in SEC filings, press releases and public conference calls. Based on guidance from the SEC, we may use the Investors section of our website to communicate with investors. It is possible that the financial and other information posted there could be deemed to be material information. The information on our website is not part of, and is not incorporated to,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in this Quarterly Report on Form 10-Q and with our Annual Report on Form 10-K for the fiscal year ended September 30, 2025, which was filed with the SEC on November 19, 2025 and is available on the SEC’s website at www.sec.gov.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distribute, control and monitor the flow of electrical energy and provide protection to motors, transformers and other electrically powered equipment. 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second quarter of Fiscal 2026, we reported revenue of $296.6 million, net income of $45.9 million, and generated $51.2 million in cash from operating activities. As of March 31, 2026, we had total assets of $1.2 billion.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 2026, we effected a three-for-one forward split of our common stock and proportionately increased the number of authorized common stock from 30,000,000 to 90,000,000 (the Stock Split). Each shareholder of record as of the close of trading on March 20, 2026 (the Record Date) received, after the close of trading on April 2, 2026, two additional shares for every one share held on the Record Date. Trading began on a split-adjusted basis at market open on April 6,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Outlook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backlog increased to $1.8 billion as of March 31, 2026, with approximately $1.1 billion expected to be recognized as revenue within the next twelve months. During the first half of Fiscal 2026, commercial activity remained favorable across most of our end markets, with particularly strong demand in the commercial and other industrial, electric utility, and oil and gas (excluding petrochemical) markets.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diversification of our business over the past several years, including expansion into secular growth markets such as electric utility and data centers, has reduced the cyclicality of our business. This diversification allows us to see beyond the current cycle and invest alongside our customers with greater visibility. Customer relationships in these markets are increasingly strategic and consultative, with opportunities ranging from discrete project engagements to broader, infrastructure planning arrangements.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half of Fiscal 2026, we secured four mega orders, including two data center projects, one Liquefied Natural Gas (LNG) project, and one project in the electric utility market, reflecting continued customer investment and strong activity across these end markets. Subsequent to the second fiscal quarter, we secured an additional mega order in the data center market with a value in excess of $400 million. We remain encouraged by the outlook for both the data center and electric utility end markets and the durability of the current investment cycles. Notwithstanding this momentum, we continue to monitor macroeconomic conditions and geopolitical developments that could affect customer spending behavior or the timing of project awards. While current demand indicators remain positive, these external factors could influence future levels of market activity.</w:t>
      </w:r>
    </w:p>
    <w:p>
      <w:pPr>
        <w:spacing w:after="0" w:line="7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Oil and gas and petrochemical markets. </w:t>
      </w:r>
      <w:r>
        <w:rPr>
          <w:rFonts w:ascii="Times New Roman" w:cs="Times New Roman" w:eastAsia="Times New Roman" w:hAnsi="Times New Roman"/>
          <w:sz w:val="18"/>
          <w:szCs w:val="18"/>
          <w:color w:val="auto"/>
        </w:rPr>
        <w:t>The North American oil and gas end markets continue to exhibit strong commercial activity levels in response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rising global demand for LNG and gas-to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chemical processes that leverage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natural gas feedstocks. We believe the fundamentals of the U.S. natural gas market, through abundant supply and competitive cost, continue to support investments in LNG facilities and related gas processing infrastructure. These dynamics contributed to sustained order activity, including a mega LNG project award during the first fiscal quarter. Commercial activity in the petrochemical market has remained subdued over the past several quarters. However, we are cautiously optimistic that the petrochemical market may be entering the early stages of a cyclical inflection following an extended period of reduced investment activity. Beyond traditional crude oil refining and other oil and gas downstream operations, we have broadened our end markets into hydrogen production, carbon capture as well as alternative fuels, such as biofuels and sustainable aviation fuel, aligned with growing demand for cleaner energy solutions.</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Electric utility market. </w:t>
      </w:r>
      <w:r>
        <w:rPr>
          <w:rFonts w:ascii="Times New Roman" w:cs="Times New Roman" w:eastAsia="Times New Roman" w:hAnsi="Times New Roman"/>
          <w:sz w:val="18"/>
          <w:szCs w:val="18"/>
          <w:color w:val="auto"/>
        </w:rPr>
        <w:t>Aligned with our strategy of end-market diversification, we continue to focus on growth in electrical distribution substations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addressing a resurgence of power generation investment in this market. During the second quarter of Fiscal 2026, we secured a mega order of approximately $75 million, reflecting continued customer investment in grid modernization and generation capacity.</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Commercial and other industrial markets. </w:t>
      </w:r>
      <w:r>
        <w:rPr>
          <w:rFonts w:ascii="Times New Roman" w:cs="Times New Roman" w:eastAsia="Times New Roman" w:hAnsi="Times New Roman"/>
          <w:sz w:val="18"/>
          <w:szCs w:val="18"/>
          <w:color w:val="auto"/>
        </w:rPr>
        <w:t>As a result of a mix of factors, we are experiencing strong growth in commercial facilities that provide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of various consumer goods and the expansion of data centers that support cloud computing and increasing investments in artificial intelligence. During the first half of Fiscal 2026, we were awarded projects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5" w:name="page26"/>
    <w:bookmarkEnd w:id="25"/>
    <w:p>
      <w:pPr>
        <w:spacing w:after="0" w:line="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related to data center infrastructure with a combined value exceeding $300 million, including two mega projects, each with an order value greater than $75 million. Subsequent to the second fiscal quarter, we secured an additional mega order in the data center market with a value in excess of $400 million. Commercial activity in this market sector reflects the continued investment in data center infrastructure, and we are also observing increased activity across other industrial end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results are impacted by several factors such as the timing of new order awards, project backlog, changes in project cost estimates, customer approval of final engineering specifications and delays in customer construction schedules, all of which contribute to short-term earnings variability and the timing of project execution. Our operating results also have been, and may continue to be, impacted by the timing and resolution of change orders and the resolution of potential contract claims and liquidated damages, all of which could improve or deteriorate gross margins during the period in which these items are resolved with our customers. Disruptions in the global supply chain have negatively impacted and may continue to negatively impact our business and operating results due to the limited supply of, delays for and uncertainty in the timing of the receipt of key component parts and commodities. We continue to remain focused on the variables that impact our markets as well as cost management, labor availability and supply chain challenges.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inflation, which can cause increases in our costs of labor, indirect expenses and raw materials, primarily copper, aluminum and steel.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Fixed-price contracts can limit our ability to pass these increases to our customers, thus negatively impacting our earnings and operations in future periods.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half of Fiscal 2026, we continued experiencing high volatility in commodity prices, and ongoing supply chain delays for specific engineered components remained a persistent challenge for us. Moreover, ongoing and recently proposed changes to U.S. global trade policy (including legal changes thereto), along with potential international retaliatory measures, and concerns over inflation, recession and slowing growth have continued to cause high volatility in global markets and uncertainty around short- and long-term economic impacts in the United States and other markets we serve. We continue to evaluate and monitor the potential impacts of these changes and measures, including the imposition of tariffs, on our business and operations. We could potentially face the challenge of increased costs of raw materials and engineered components as well as negative impacts on our margins; however, it is not possible to predict the impact, if any, of any changes or proposed changes to the U.S. global trade policy, or any international retaliatory measures, on our business and operations. In response to the rising cost environment and persistent supply chain challenges, we are taking strategic measures to effectively manage our product pricing, refine delivery schedules, and manage bid validity dates with our customers. Our supplier engagement includes improving forecasting and negotiating favorable terms that allow us to meet or exceed customer timelines. Additionally, we remain focused on enhancing factory efficiencies and improving project execution to mitigate risks and maintain customer satisfaction.</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March 31, 2026 Compared to the Quarter Ended March 31, 2025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increased by 6%, or $18.0 million, to $296.6 million in the second quarter of Fiscal 2026. Domestic revenue increased by 2%, or $4.4 million, to $232.3 million in the second quarter of Fiscal 2026. International revenue increased by 27%, or $13.5 million, to $64.3 million in the second quarter of Fiscal 2026, primarily driven by increased activities in the Middle East and Africa, Europe, as well as the Asia/Pacific regions. International revenue includes both revenue generated at our international facilities and export project revenue produced at our domestic facilities.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2026, revenue growth was led by strength in our commercial and other industrial, electric utility, and oil and gas (excluding petrochemical) markets. Revenue from the commercial and other industrial market increased 35%, or $14.1 million, to $54.4 million; while revenue from the electric utility market grew by 14%, or $10.1 million, to $80.5 million. Revenue from the oil and gas market (excluding petrochemical) increased 11%, or $11.6 million, to $112.7 million. These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were primarily driven by our strategic initiative to expand into higher-growth electric utility and commercial and other industrial markets, supported by strong backlog and robust booking activity in these end markets. Partially offsetting these increases, revenue from the petrochemical market declined by 37%, or $16.2 million, to $27.6 million, and revenue from the light rail traction power market decreased 10%, or $1.0 million, to $9.0 million. These declines were primarily attributable to lower booking activity, particularly within the petrochemical market. Revenue from all other markets combined decreased 5%, or $0.7 million, to $12.3 million in the second quarter of Fiscal 2026.</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increased 5%, or $4.5 million, to $87.9 million for the second quarter of Fiscal 2026. Gross profit as a percentage of revenue remained flat at 30% compared to the second quarter of Fiscal 2025. The increase in gross profit was primarily attributable to higher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19%, or $4.1 million, to $25.8 million in the second quarter of Fiscal 2026, primarily due to higher compensation expenses. As a percentage of revenue, selling, general and administrative expenses increased to 9% during the second quarter of Fiscal 2026, compared to 8% in the second quarter of Fiscal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income tax provision of $15.9 million in the second quarter of Fiscal 2026, compared to an income tax provision of $16.1 million in the second quarter of Fiscal 2025 resulting in an effective tax rate of 26% for the second quarters of Fiscal 2026 and Fiscal 2025. For each of the three months ended March 31, 2026 and 2025, the effective tax rates were favorably impacted by the estimated Research and Development (R&amp;D) Tax Credit, which was offset by the tax expense related to certain nondeductible items. For additional information regarding our income taxes, see Note L. Income Taxes of Notes to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2026, we recorded net income of $45.9 million, or $1.25 per diluted share, compared to net income of $46.3 million, or $1.27 per diluted share (as adjusted for the Stock Split), in the second quarter of Fiscal 2025. The decrease in net income was primarily driven by higher selling, general and administrative expenses and increased research and development expenses, partially offset by higher gross profit in the second quarter of Fiscal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order backlog, which represents our remaining unsatisfied performance obligations, reflects the estimated transaction price for goods and services for which we have a material right but for which work has not yet been performed. Order backlog at March 31, 2026 totaled $1.8 billion, representing a 12% increase from $1.6 billion at December 31, 2025. This increase was mainly driven by growth in the commercial and other industrial and electric utility markets. As of March 31, 2026, the electric utility market represented 30% of total backlog, while the oil and gas market (excluding petrochemical) and the commercial and other industrial market each accounted for 29%.</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Bookings, net of cancellations and scope reductions, increased 97% in the second quarter of Fiscal 2026 to $489.7 million, compared to $249.0 million in the second quarter of Fiscal 2025. This increase was primarily driven by stronger booking activity across most of our end markets, particularly within the commercial and other industrial and electric utility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March 31, 2026 Compared to the Six Months Ended March 31, 2025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increased 5%, or $27.7 million, to $547.8 million in the six months ended March 31, 2026. Domestic revenue increased modestly by 0.4%, or $1.5 million, to $427.2 million, while international revenue increased 27.7%, or $26.2 million, to $120.6 million. The increase in international revenue was primarily driven by increased activity in the Middle East and Africa region, as well as the Asia/Pacific and Europe regions. International revenue includes both revenue generated at our international facilities and export project revenue produced at our domestic facilities.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growth during the six months ended March 31, 2026 was led by strength in the electric utility, commercial and other industrial, and oil and gas (excluding petrochemical) markets. Revenue from the electric utility market increased 23%, or $28.2 million, to $149.8 million, while revenue from the commercial and other industrial market increased 12%, or $10.4 million, to $95.1 million. Revenue from the oil and gas market (excluding petrochemical) increased 7%, or $13.8 million, to $210.6 million. These increases were primarily driven by our strategic initiative to expand our business into the electric utility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commercial and other industrial markets, as well as improved market activities in these end markets. Partially offsetting these increases, revenue from the petrochemical market decreased 35%, or $26.6 million, to $50.3 million, and revenue from the light rail traction power market decreased 3%, or $0.6 million, to $17.7 million in the first half of Fiscal 2026. These declines were primarily attributable to a reduction in backlog within the petrochemical market following the completion of a large petrochemical order secured in Fiscal 2023, as well as lower booking activity in these markets. Revenue from all other markets combined increased 11%, or $2.5 million, to $24.4 million in the six months ended March 31,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11%, or $16.4 million, to $159.4 million for the six months ended March 31, 2026. Gross profit as a percentage of revenue increased to 29% in the first half of Fiscal 2026, as compared to 27% in the six months ended March 31, 2025. The increase in gross profit was primarily driven by higher revenues, as well as improved gross profit margin resulting from favorable volume leverage and strong project execution in a stable pricing environment.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18%, or $7.8 million, to $51.0 million in the six months ended March 31, 2026, primarily due to higher compensation expenses and increased infrastructure expenses. As a percentage of revenue, selling, general and administrative expenses increased to 9% during the first half of Fiscal 2026, compared to 8% during the first half of Fiscal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income tax provision of $21.5 million in the six months ended March 31, 2026, compared to an income tax provision of $20.8 million in the six months ended March 31, 2025 resulting in an effective tax rate of 20% for the first half of Fiscal 2026 and Fiscal 2025. For each of the six months ended March 31, 2026 and 2025, the effective tax rates were favorably impacted by discrete items related to the vesting of RSUs and the estimated R&amp;D Tax Credit. The lower effective tax rates relative to statutory rates were primarily driven by higher stock prices associated with the vested RSUs. For additional information regarding our income taxes, see Note L. Income Taxes of Notes to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six months ended March 31, 2026, we recorded net income of $87.3 million, or $2.39 per diluted share, compared to net income of $81.1 million, or $2.22 per diluted share (as adjusted for the Stock Split), in the six months ended March 31, 2025. The increase in net income was primarily driven by higher gross profit during the first half of Fiscal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Order backlog, which represents our remaining unsatisfied performance obligations, reflects the estimated transaction price for goods and services for which we have a material right but for which work has not yet been performed. Order backlog at March 31, 2026 totaled $1.8 billion, representing a 28% increase from $1.4 billion at September 30, 2025. This increase was mainly driven by growth in the commercial and other industrial, electric utility and oil and gas (excluding petrochemical) markets. As of March 31, 2026, the electric utility market represented 30% of total backlog, while the oil and gas market (excluding petrochemical) and the commercial and other industrial market each accounted for 29%.</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Bookings, net of cancellations and scope reductions, increased 79% to $928.5 million during the six months ended March 31, 2026, compared to $517.6 million during the six months ended March 31, 2025. This increase was primarily driven by stronger booking activity in the commercial and other industrial and electric utility markets as well as continued growth in the oil and gas market (excluding petrochemical).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current assets exceeded current liabilities by 2.3 times.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cash equivalents and short-term investments increased to $544.9 million at March 31, 2026, compared to $475.5 million at September 30, 2025. The increase was primarily driven by our strong earnings performance, partially offset by cash payments related to shares withheld in lieu of employee tax withholding and dividend payments. We invest our cash, cash equivalents and short-term investments in accordance with the Company’s investment policy approved by the Board of Directors. We believe that our cash, cash equivalents and short-term investments, together with available borrowings under our U.S. credit facility, will be sufficient to support our ongoing operating activities, dividend payments and future organic and inorganic business growth, as well as research and development initiatives for the next twelve months and beyond.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evaluate our capital allocation framework relative to our strategic objectives, we intend to continue deploying capital toward both organic and inorganic initiatives while maintaining a disciplined approach to other capital allocation strategies aimed at enhancing shareholder value. We regularly reassess our capital allocation priorities, which currently include funding working capital requirements, research and development, capital expenditures, and other organic growth opportunities, while also returning capital to shareholders and selectively pursuing strategic inorganic growth opportunities. Our capital allocation decisions are influenced by a number of factors, including market conditions, our financial position and capital requirements, competing uses of cash, and other relevant considerations.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$124.1 million of our cash, cash equivalents and short-term investments at March 31, 2026 was held outside of the U.S. to support our international operations. We intend to indefinitely reinvest all current and future foreign earnings internationally to ensure adequate liquidity and working capital for our international business. In the event that we elect to repatriate some or all of the foreign earnings that were previously deemed to be indefinitely reinvested outside the U.S., we may incur additional tax expense upon such repatriation under current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credit agreement with Bank of America, N.A. and Texas Capital Bank with an aggregate commitment of $150.0 million, consisting of $100.0 million committed by Bank of America and $50.0 million committed by Texas Capital Bank (the U.S. Revolver). The U.S. Revolver has an expiration date of October 4, 2028.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there were no amounts borrowed under the U.S. Revolver, and letters of credit outstanding were $78.7 million. There was $71.3 million available for the issuance of letters of credit and borrowings under the U.S. Revolver as of March 31, 2026. For further information regarding our debt, see Notes F. Long-Term Debt and G. Commitments and Contingencies of Notes to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provided net cash of $94.8 million during the six months ended March 31, 2026 and provided net cash of $59.5 million during the same period in Fiscal 2025. Cash flow from operations is primarily influenced by project volume and margins, working capital requirements, the timing of milestone payments from customers, and payment terms with suppliers. The increase in operating cash flow was primarily driven by improved earnings and higher milestone payments associated with strong booking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Investing activities provided $14.0 million of cash during the six months ended March 31, 2026 and provided $4.6 million of cash during the same period in Fiscal 2025. Cash provided by investing activities in the first six months of Fiscal 2026 was primarily due to maturities of short-term investments, partially offset by capital spending. We continue to progress the expansion of our Jacintoport fabrication yard in Houston, which is planned to be completed by the end of Fiscal 2026.</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$21.0 million during the six months ended March 31, 2026 compared to $18.4 million used during the same period in Fiscal 2025. The increase in cash used in financing activities was primarily due to cash payments related to shares withheld in lieu of employee tax withholding, largely driven by the increase of our share price in the first half of Fiscal 2026 compared to the same period of Fiscal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our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be consistent with those estimates. There have been no material changes to our critical accounting policies as disclosed in our Annual Report on Form 10-K for the fiscal year ended September 30, 2025, which was filed with the SEC on November 19, 2025.</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market risks as of and for the three and six months ended March 31, 2026, as compared to the information previously reported under Part II, Item 7A within our Annual Report on Form 10-K for the fiscal year ended September 30,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Rules 13a-15 or 15d-15 of the Exchange Act that occurred during the second quarter of Fiscal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Annual Report on Form 10-K for the fiscal year ended September 30,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11, 2026, Richard E. Williams, Director of the Company, adopted a “Rule 10b5-1 trading arrangement,” as the term is defined in Item 408(a) of Regulation S-K, for the sale of up to 7,500 shares of the Company’s common stock as adjusted for the Stock Split, subject to certain conditions, from May 14, 2026 through December 31, 2026.</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27, 2026, Mohit Singh, Director of the Company, adopted a “Rule 10b5-1 trading arrangement,” as the term is defined in Item 408(a) of Regulation S-K, for the sale of up to 1,350 shares of the Company’s common stock as adjusted for the Stock Split, subject to certain conditions, from May 28, 2026 through February 26,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8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48"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tab/>
        <w:t>—</w:t>
      </w:r>
      <w:r>
        <w:rPr>
          <w:sz w:val="20"/>
          <w:szCs w:val="20"/>
          <w:color w:val="auto"/>
        </w:rPr>
        <w:tab/>
      </w:r>
      <w:hyperlink r:id="rId47">
        <w:r>
          <w:rPr>
            <w:rFonts w:ascii="Times New Roman" w:cs="Times New Roman" w:eastAsia="Times New Roman" w:hAnsi="Times New Roman"/>
            <w:sz w:val="17"/>
            <w:szCs w:val="17"/>
            <w:u w:val="single" w:color="auto"/>
            <w:color w:val="0000FF"/>
          </w:rPr>
          <w:t>Amended and Restated Certificate of Incorporation of Powell Industries, Inc. filed with the Secretary of State of the State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ind w:left="1680" w:right="760"/>
        <w:spacing w:after="0" w:line="226" w:lineRule="auto"/>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u w:val="single" w:color="auto"/>
            <w:color w:val="0000FF"/>
          </w:rPr>
          <w:t>Delaware on February 19, 2025 (filed as Exhibit 3.1 to our Form 8-K filed February 19, 2025, and incorporated herein by</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reference)</w:t>
        </w:r>
        <w:r>
          <w:rPr>
            <w:rFonts w:ascii="Times New Roman" w:cs="Times New Roman" w:eastAsia="Times New Roman" w:hAnsi="Times New Roman"/>
            <w:sz w:val="18"/>
            <w:szCs w:val="18"/>
            <w:color w:val="000000"/>
          </w:rPr>
          <w:t>.</w:t>
        </w:r>
      </w:hyperlink>
    </w:p>
    <w:p>
      <w:pPr>
        <w:spacing w:after="0" w:line="157" w:lineRule="exact"/>
        <w:rPr>
          <w:sz w:val="20"/>
          <w:szCs w:val="20"/>
          <w:color w:val="auto"/>
        </w:rPr>
      </w:pPr>
    </w:p>
    <w:p>
      <w:pPr>
        <w:ind w:left="1340" w:hanging="773"/>
        <w:spacing w:after="0" w:line="250"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tab/>
        <w:t xml:space="preserve">— </w:t>
      </w:r>
      <w:hyperlink r:id="rId49">
        <w:r>
          <w:rPr>
            <w:rFonts w:ascii="Times New Roman" w:cs="Times New Roman" w:eastAsia="Times New Roman" w:hAnsi="Times New Roman"/>
            <w:sz w:val="18"/>
            <w:szCs w:val="18"/>
            <w:u w:val="single" w:color="auto"/>
            <w:color w:val="0000FF"/>
          </w:rPr>
          <w:t>Second Amended and Restated Bylaws of Powell Industries, Inc. (filed as Exhibit 3.1 to our Form 8-K filed February 24, 2025, and</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FF"/>
          </w:rPr>
          <w:t>incorporated herein by reference).</w:t>
        </w:r>
      </w:hyperlink>
    </w:p>
    <w:p>
      <w:pPr>
        <w:spacing w:after="0" w:line="149"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tab/>
        <w:t>—</w:t>
      </w:r>
      <w:r>
        <w:rPr>
          <w:sz w:val="20"/>
          <w:szCs w:val="20"/>
          <w:color w:val="auto"/>
        </w:rPr>
        <w:tab/>
      </w:r>
      <w:hyperlink r:id="rId50">
        <w:r>
          <w:rPr>
            <w:rFonts w:ascii="Times New Roman" w:cs="Times New Roman" w:eastAsia="Times New Roman" w:hAnsi="Times New Roman"/>
            <w:sz w:val="18"/>
            <w:szCs w:val="18"/>
            <w:u w:val="single" w:color="auto"/>
            <w:color w:val="0000FF"/>
          </w:rPr>
          <w:t>Certificate of Amendment to Amended and Restated Certificate of Incorporation of Powell Industries, Inc. filed with the Secretary</w:t>
        </w:r>
      </w:hyperlink>
    </w:p>
    <w:p>
      <w:pPr>
        <w:spacing w:after="0" w:line="2" w:lineRule="exact"/>
        <w:rPr>
          <w:sz w:val="20"/>
          <w:szCs w:val="20"/>
          <w:color w:val="auto"/>
        </w:rPr>
      </w:pPr>
    </w:p>
    <w:p>
      <w:pPr>
        <w:ind w:left="1680"/>
        <w:spacing w:after="0" w:line="226" w:lineRule="auto"/>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of the State of Delaware on March 31, 2026 (filed as Exhibit 3.1 to our Form 8-K filed March 31, 2026, and incorporated herein by</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reference).</w:t>
        </w:r>
      </w:hyperlink>
    </w:p>
    <w:p>
      <w:pPr>
        <w:spacing w:after="0" w:line="157"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*31.1</w:t>
        <w:tab/>
        <w:t>—</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13a-14(a)/15d-14(a).</w:t>
      </w:r>
    </w:p>
    <w:p>
      <w:pPr>
        <w:spacing w:after="0" w:line="18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*31.2</w:t>
        <w:tab/>
        <w:t>—</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13a-14(a)/15d-14(a).</w:t>
      </w:r>
    </w:p>
    <w:p>
      <w:pPr>
        <w:spacing w:after="0" w:line="185"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**32.1</w:t>
        <w:tab/>
        <w:t xml:space="preserve">— </w:t>
      </w:r>
      <w:r>
        <w:rPr>
          <w:rFonts w:ascii="Times New Roman" w:cs="Times New Roman" w:eastAsia="Times New Roman" w:hAnsi="Times New Roman"/>
          <w:sz w:val="18"/>
          <w:szCs w:val="18"/>
          <w:u w:val="single" w:color="auto"/>
          <w:color w:val="0000FF"/>
        </w:rPr>
        <w:t>Certification of Chief Executive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**32.2</w:t>
        <w:tab/>
        <w:t xml:space="preserve">— </w:t>
      </w:r>
      <w:r>
        <w:rPr>
          <w:rFonts w:ascii="Times New Roman" w:cs="Times New Roman" w:eastAsia="Times New Roman" w:hAnsi="Times New Roman"/>
          <w:sz w:val="18"/>
          <w:szCs w:val="18"/>
          <w:u w:val="single" w:color="auto"/>
          <w:color w:val="0000FF"/>
        </w:rPr>
        <w:t>Certification of Chief Financial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right="20" w:hanging="854"/>
        <w:spacing w:after="0" w:line="242" w:lineRule="auto"/>
        <w:tabs>
          <w:tab w:leader="none" w:pos="1320" w:val="left"/>
        </w:tabs>
        <w:rPr>
          <w:sz w:val="20"/>
          <w:szCs w:val="20"/>
          <w:color w:val="auto"/>
        </w:rPr>
      </w:pPr>
      <w:r>
        <w:rPr>
          <w:rFonts w:ascii="Times New Roman" w:cs="Times New Roman" w:eastAsia="Times New Roman" w:hAnsi="Times New Roman"/>
          <w:sz w:val="18"/>
          <w:szCs w:val="18"/>
          <w:color w:val="auto"/>
        </w:rPr>
        <w:t>*101</w:t>
        <w:tab/>
        <w:t>— The following financial statements from the Company’s Quarterly Report on Form 10-Q for the quarter ended March 31, 2026, formatted in Inline XBRL: (i) Condensed Consolidated Balance Sheets (Unaudited); (ii) Condensed Consolidated Statements of Operations (Unaudited);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 tagged as blocks of text and including detailed tags.</w:t>
      </w:r>
    </w:p>
    <w:p>
      <w:pPr>
        <w:spacing w:after="0" w:line="185" w:lineRule="exact"/>
        <w:rPr>
          <w:sz w:val="20"/>
          <w:szCs w:val="20"/>
          <w:color w:val="auto"/>
        </w:rPr>
      </w:pPr>
    </w:p>
    <w:p>
      <w:pPr>
        <w:ind w:left="1340" w:right="360" w:hanging="854"/>
        <w:spacing w:after="0" w:line="266" w:lineRule="auto"/>
        <w:tabs>
          <w:tab w:leader="none" w:pos="1320" w:val="left"/>
        </w:tabs>
        <w:rPr>
          <w:sz w:val="20"/>
          <w:szCs w:val="20"/>
          <w:color w:val="auto"/>
        </w:rPr>
      </w:pPr>
      <w:r>
        <w:rPr>
          <w:rFonts w:ascii="Times New Roman" w:cs="Times New Roman" w:eastAsia="Times New Roman" w:hAnsi="Times New Roman"/>
          <w:sz w:val="18"/>
          <w:szCs w:val="18"/>
          <w:color w:val="auto"/>
        </w:rPr>
        <w:t>*104</w:t>
        <w:tab/>
        <w:t>— The cover page from the Company’s Quarterly Report on Form 10-Q for the quarter ended March 31, 2026, formatted in Inline XBRL (included as Exhibit 101).</w:t>
      </w:r>
    </w:p>
    <w:p>
      <w:pPr>
        <w:spacing w:after="0" w:line="203" w:lineRule="exact"/>
        <w:rPr>
          <w:sz w:val="20"/>
          <w:szCs w:val="20"/>
          <w:color w:val="auto"/>
        </w:rPr>
      </w:pPr>
    </w:p>
    <w:p>
      <w:pPr>
        <w:ind w:left="20" w:right="6400" w:firstLine="6"/>
        <w:spacing w:after="0" w:line="268" w:lineRule="auto"/>
        <w:tabs>
          <w:tab w:leader="none" w:pos="1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or arrangements * Filed herewith</w:t>
      </w:r>
    </w:p>
    <w:p>
      <w:pPr>
        <w:spacing w:after="0" w:line="1"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2" w:right="39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79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POWELL INDUSTRIES, INC.</w:t>
            </w:r>
          </w:p>
        </w:tc>
      </w:tr>
      <w:tr>
        <w:trPr>
          <w:trHeight w:val="234"/>
        </w:trPr>
        <w:tc>
          <w:tcPr>
            <w:tcW w:w="3260" w:type="dxa"/>
            <w:vAlign w:val="bottom"/>
          </w:tcPr>
          <w:p>
            <w:pPr>
              <w:spacing w:after="0"/>
              <w:rPr>
                <w:sz w:val="20"/>
                <w:szCs w:val="20"/>
                <w:color w:val="auto"/>
              </w:rPr>
            </w:pPr>
          </w:p>
        </w:tc>
        <w:tc>
          <w:tcPr>
            <w:tcW w:w="79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7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A. Cope</w:t>
            </w:r>
          </w:p>
        </w:tc>
      </w:tr>
      <w:tr>
        <w:trPr>
          <w:trHeight w:val="218"/>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A. Cope</w:t>
            </w:r>
          </w:p>
        </w:tc>
      </w:tr>
      <w:tr>
        <w:trPr>
          <w:trHeight w:val="230"/>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7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18"/>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r>
        <w:trPr>
          <w:trHeight w:val="230"/>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9"/>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and Principal Accounting Officer</w:t>
            </w:r>
          </w:p>
        </w:tc>
      </w:tr>
      <w:tr>
        <w:trPr>
          <w:trHeight w:val="234"/>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332"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A. Cope,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Powell Industries,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ind w:left="5640"/>
        <w:spacing w:after="0" w:line="203" w:lineRule="auto"/>
        <w:rPr>
          <w:sz w:val="20"/>
          <w:szCs w:val="20"/>
          <w:color w:val="auto"/>
        </w:rPr>
      </w:pPr>
      <w:r>
        <w:rPr>
          <w:rFonts w:ascii="Times New Roman" w:cs="Times New Roman" w:eastAsia="Times New Roman" w:hAnsi="Times New Roman"/>
          <w:sz w:val="18"/>
          <w:szCs w:val="18"/>
          <w:color w:val="auto"/>
        </w:rPr>
        <w:t>Brett A. Cope</w:t>
      </w:r>
    </w:p>
    <w:p>
      <w:pPr>
        <w:ind w:left="5640"/>
        <w:spacing w:after="0" w:line="219"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ectPr>
          <w:pgSz w:w="11900" w:h="16838" w:orient="portrait"/>
          <w:cols w:equalWidth="0" w:num="1">
            <w:col w:w="11240"/>
          </w:cols>
          <w:pgMar w:left="320" w:top="124"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Metcalf,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Powell Industries,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ind w:left="5640"/>
        <w:spacing w:after="0" w:line="203" w:lineRule="auto"/>
        <w:rPr>
          <w:sz w:val="20"/>
          <w:szCs w:val="20"/>
          <w:color w:val="auto"/>
        </w:rPr>
      </w:pPr>
      <w:r>
        <w:rPr>
          <w:rFonts w:ascii="Times New Roman" w:cs="Times New Roman" w:eastAsia="Times New Roman" w:hAnsi="Times New Roman"/>
          <w:sz w:val="18"/>
          <w:szCs w:val="18"/>
          <w:color w:val="auto"/>
        </w:rPr>
        <w:t>Michael W. Metcalf</w:t>
      </w:r>
    </w:p>
    <w:p>
      <w:pPr>
        <w:ind w:left="5640"/>
        <w:spacing w:after="0" w:line="219" w:lineRule="auto"/>
        <w:rPr>
          <w:sz w:val="20"/>
          <w:szCs w:val="20"/>
          <w:color w:val="auto"/>
        </w:rPr>
      </w:pPr>
      <w:r>
        <w:rPr>
          <w:rFonts w:ascii="Times New Roman" w:cs="Times New Roman" w:eastAsia="Times New Roman" w:hAnsi="Times New Roman"/>
          <w:sz w:val="18"/>
          <w:szCs w:val="18"/>
          <w:color w:val="auto"/>
        </w:rPr>
        <w:t>Executive Vice President</w:t>
      </w:r>
    </w:p>
    <w:p>
      <w:pPr>
        <w:ind w:left="5640"/>
        <w:spacing w:after="0" w:line="204" w:lineRule="auto"/>
        <w:rPr>
          <w:sz w:val="20"/>
          <w:szCs w:val="20"/>
          <w:color w:val="auto"/>
        </w:rPr>
      </w:pPr>
      <w:r>
        <w:rPr>
          <w:rFonts w:ascii="Times New Roman" w:cs="Times New Roman" w:eastAsia="Times New Roman" w:hAnsi="Times New Roman"/>
          <w:sz w:val="18"/>
          <w:szCs w:val="18"/>
          <w:color w:val="auto"/>
        </w:rPr>
        <w:t>Chief Financial and Principal Accounting Officer</w:t>
      </w:r>
    </w:p>
    <w:p>
      <w:pPr>
        <w:ind w:left="564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ectPr>
          <w:pgSz w:w="11900" w:h="16838" w:orient="portrait"/>
          <w:cols w:equalWidth="0" w:num="1">
            <w:col w:w="11240"/>
          </w:cols>
          <w:pgMar w:left="320" w:top="12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(the “Report”) on Form 10-Q of Powell Industries, Inc. (the “Company”) for the quarter ended March 31, 2026, as filed with the Securities and Exchange Commission on the date hereof, I, Brett A. Cope,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ind w:left="5640"/>
        <w:spacing w:after="0" w:line="219" w:lineRule="auto"/>
        <w:rPr>
          <w:sz w:val="20"/>
          <w:szCs w:val="20"/>
          <w:color w:val="auto"/>
        </w:rPr>
      </w:pPr>
      <w:r>
        <w:rPr>
          <w:rFonts w:ascii="Times New Roman" w:cs="Times New Roman" w:eastAsia="Times New Roman" w:hAnsi="Times New Roman"/>
          <w:sz w:val="18"/>
          <w:szCs w:val="18"/>
          <w:color w:val="auto"/>
        </w:rPr>
        <w:t>Brett A. Cope</w:t>
      </w: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ectPr>
          <w:pgSz w:w="11900" w:h="16838" w:orient="portrait"/>
          <w:cols w:equalWidth="0" w:num="1">
            <w:col w:w="11240"/>
          </w:cols>
          <w:pgMar w:left="320" w:top="12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this Quarterly Report (the “Report”) on Form 10-Q of Powell Industries, Inc. (the “Company”) for the quarter ended </w:t>
      </w:r>
      <w:r>
        <w:rPr>
          <w:rFonts w:ascii="Times New Roman" w:cs="Times New Roman" w:eastAsia="Times New Roman" w:hAnsi="Times New Roman"/>
          <w:sz w:val="16"/>
          <w:szCs w:val="16"/>
          <w:color w:val="auto"/>
        </w:rPr>
        <w:t>March 31, 2026</w:t>
      </w:r>
      <w:r>
        <w:rPr>
          <w:rFonts w:ascii="Times New Roman" w:cs="Times New Roman" w:eastAsia="Times New Roman" w:hAnsi="Times New Roman"/>
          <w:sz w:val="18"/>
          <w:szCs w:val="18"/>
          <w:color w:val="auto"/>
        </w:rPr>
        <w:t>, as filed with the Securities and Exchange Commission on the date hereof, I, Michael W. Metcalf, Executive Vice President and Chief Financial and Principal Accounting Officer of the Company, certify, pursuant to 18 U.S.C. Section 1350, as adopted pursuant to Section 906 of the Sarbanes-Oxley Act of 2002, that:</w:t>
      </w:r>
    </w:p>
    <w:p>
      <w:pPr>
        <w:spacing w:after="0" w:line="180"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ind w:left="5620"/>
        <w:spacing w:after="0" w:line="203" w:lineRule="auto"/>
        <w:rPr>
          <w:sz w:val="20"/>
          <w:szCs w:val="20"/>
          <w:color w:val="auto"/>
        </w:rPr>
      </w:pPr>
      <w:r>
        <w:rPr>
          <w:rFonts w:ascii="Times New Roman" w:cs="Times New Roman" w:eastAsia="Times New Roman" w:hAnsi="Times New Roman"/>
          <w:sz w:val="18"/>
          <w:szCs w:val="18"/>
          <w:color w:val="auto"/>
        </w:rPr>
        <w:t>Michael W. Metcalf</w:t>
      </w:r>
    </w:p>
    <w:p>
      <w:pPr>
        <w:ind w:left="5620"/>
        <w:spacing w:after="0" w:line="219" w:lineRule="auto"/>
        <w:rPr>
          <w:sz w:val="20"/>
          <w:szCs w:val="20"/>
          <w:color w:val="auto"/>
        </w:rPr>
      </w:pPr>
      <w:r>
        <w:rPr>
          <w:rFonts w:ascii="Times New Roman" w:cs="Times New Roman" w:eastAsia="Times New Roman" w:hAnsi="Times New Roman"/>
          <w:sz w:val="18"/>
          <w:szCs w:val="18"/>
          <w:color w:val="auto"/>
        </w:rPr>
        <w:t>Executive Vice President</w:t>
      </w:r>
    </w:p>
    <w:p>
      <w:pPr>
        <w:ind w:left="5620"/>
        <w:spacing w:after="0" w:line="204" w:lineRule="auto"/>
        <w:rPr>
          <w:sz w:val="20"/>
          <w:szCs w:val="20"/>
          <w:color w:val="auto"/>
        </w:rPr>
      </w:pPr>
      <w:r>
        <w:rPr>
          <w:rFonts w:ascii="Times New Roman" w:cs="Times New Roman" w:eastAsia="Times New Roman" w:hAnsi="Times New Roman"/>
          <w:sz w:val="18"/>
          <w:szCs w:val="18"/>
          <w:color w:val="auto"/>
        </w:rPr>
        <w:t>Chief Financial and Principal Accounting Officer</w:t>
      </w:r>
    </w:p>
    <w:p>
      <w:pPr>
        <w:ind w:left="56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6"/>
          <w:szCs w:val="16"/>
          <w:color w:val="auto"/>
        </w:rPr>
        <w:t>May 5,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51" Type="http://schemas.openxmlformats.org/officeDocument/2006/relationships/image" Target="media/image41.png"/><Relationship Id="rId47" Type="http://schemas.openxmlformats.org/officeDocument/2006/relationships/hyperlink" Target="https://www.sec.gov/Archives/edgar/data/80420/000008042025000034/ex31-amendedandrestatedcer.htm" TargetMode="External"/><Relationship Id="rId49" Type="http://schemas.openxmlformats.org/officeDocument/2006/relationships/hyperlink" Target="https://www.sec.gov/Archives/edgar/data/80420/000008042025000044/ex31-secondamendedandresta.htm" TargetMode="External"/><Relationship Id="rId50" Type="http://schemas.openxmlformats.org/officeDocument/2006/relationships/hyperlink" Target="https://www.sec.gov/Archives/edgar/data/80420/000008042026000054/ex31-certificateofamend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2026-05-05T11:15:14Z</dcterms:created>
  <dcterms:modified xsi:type="dcterms:W3CDTF">2026-05-05T11:15:14Z</dcterms:modified>
</cp:coreProperties>
</file>