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FORM 10-K</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1" w:lineRule="exact"/>
        <w:rPr>
          <w:sz w:val="24"/>
          <w:szCs w:val="24"/>
          <w:color w:val="auto"/>
        </w:rPr>
      </w:pPr>
    </w:p>
    <w:p>
      <w:pPr>
        <w:jc w:val="center"/>
        <w:ind w:left="1540" w:right="3579" w:hanging="1025"/>
        <w:spacing w:after="0" w:line="273" w:lineRule="auto"/>
        <w:tabs>
          <w:tab w:leader="none" w:pos="164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 [FEE REQUIRED]</w:t>
      </w:r>
    </w:p>
    <w:p>
      <w:pPr>
        <w:spacing w:after="0" w:line="175"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FOR THE FISCAL YEAR ENDED OCTOBER 31, 1996</w:t>
      </w:r>
    </w:p>
    <w:p>
      <w:pPr>
        <w:spacing w:after="0" w:line="200"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color w:val="auto"/>
        </w:rPr>
        <w:t>OR</w:t>
      </w:r>
    </w:p>
    <w:p>
      <w:pPr>
        <w:spacing w:after="0" w:line="201" w:lineRule="exact"/>
        <w:rPr>
          <w:sz w:val="24"/>
          <w:szCs w:val="24"/>
          <w:color w:val="auto"/>
        </w:rPr>
      </w:pPr>
    </w:p>
    <w:p>
      <w:pPr>
        <w:jc w:val="right"/>
        <w:ind w:left="1340" w:right="3479" w:hanging="825"/>
        <w:spacing w:after="0" w:line="273" w:lineRule="auto"/>
        <w:tabs>
          <w:tab w:leader="none" w:pos="72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TRANSITION REPORT PURSUANT TO SECTION 13 OR 15(d) OF THE SECURITIES EXCHANGE ACT OF 1934 [NO FEE REQUIRED]</w:t>
      </w:r>
    </w:p>
    <w:p>
      <w:pPr>
        <w:spacing w:after="0" w:line="175"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FOR THE TRANSITION PERIOD FROM ________ TO ________</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 0-6050</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POWELL INDUSTRIES, INC.</w:t>
      </w:r>
    </w:p>
    <w:p>
      <w:pPr>
        <w:spacing w:after="0" w:line="4"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392" w:lineRule="exact"/>
        <w:rPr>
          <w:sz w:val="24"/>
          <w:szCs w:val="24"/>
          <w:color w:val="auto"/>
        </w:rPr>
      </w:pPr>
    </w:p>
    <w:tbl>
      <w:tblPr>
        <w:tblLayout w:type="fixed"/>
        <w:tblInd w:w="320" w:type="dxa"/>
        <w:tblCellMar>
          <w:top w:w="0" w:type="dxa"/>
          <w:left w:w="0" w:type="dxa"/>
          <w:bottom w:w="0" w:type="dxa"/>
          <w:right w:w="0" w:type="dxa"/>
        </w:tblCellMar>
      </w:tblPr>
      <w:tr>
        <w:trPr>
          <w:trHeight w:val="193"/>
        </w:trPr>
        <w:tc>
          <w:tcPr>
            <w:tcW w:w="4940" w:type="dxa"/>
            <w:vAlign w:val="bottom"/>
          </w:tcPr>
          <w:p>
            <w:pPr>
              <w:jc w:val="center"/>
              <w:ind w:right="795"/>
              <w:spacing w:after="0"/>
              <w:rPr>
                <w:sz w:val="20"/>
                <w:szCs w:val="20"/>
                <w:color w:val="auto"/>
              </w:rPr>
            </w:pPr>
            <w:r>
              <w:rPr>
                <w:rFonts w:ascii="Courier New" w:cs="Courier New" w:eastAsia="Courier New" w:hAnsi="Courier New"/>
                <w:sz w:val="17"/>
                <w:szCs w:val="17"/>
                <w:color w:val="auto"/>
              </w:rPr>
              <w:t>NEVADA</w:t>
            </w:r>
          </w:p>
        </w:tc>
        <w:tc>
          <w:tcPr>
            <w:tcW w:w="2800" w:type="dxa"/>
            <w:vAlign w:val="bottom"/>
          </w:tcPr>
          <w:p>
            <w:pPr>
              <w:jc w:val="center"/>
              <w:ind w:left="895"/>
              <w:spacing w:after="0"/>
              <w:rPr>
                <w:sz w:val="20"/>
                <w:szCs w:val="20"/>
                <w:color w:val="auto"/>
              </w:rPr>
            </w:pPr>
            <w:r>
              <w:rPr>
                <w:rFonts w:ascii="Courier New" w:cs="Courier New" w:eastAsia="Courier New" w:hAnsi="Courier New"/>
                <w:sz w:val="17"/>
                <w:szCs w:val="17"/>
                <w:color w:val="auto"/>
                <w:w w:val="99"/>
              </w:rPr>
              <w:t>88-0106100</w:t>
            </w:r>
          </w:p>
        </w:tc>
      </w:tr>
      <w:tr>
        <w:trPr>
          <w:trHeight w:val="196"/>
        </w:trPr>
        <w:tc>
          <w:tcPr>
            <w:tcW w:w="4940" w:type="dxa"/>
            <w:vAlign w:val="bottom"/>
          </w:tcPr>
          <w:p>
            <w:pPr>
              <w:jc w:val="center"/>
              <w:ind w:right="895"/>
              <w:spacing w:after="0"/>
              <w:rPr>
                <w:sz w:val="20"/>
                <w:szCs w:val="20"/>
                <w:color w:val="auto"/>
              </w:rPr>
            </w:pPr>
            <w:r>
              <w:rPr>
                <w:rFonts w:ascii="Courier New" w:cs="Courier New" w:eastAsia="Courier New" w:hAnsi="Courier New"/>
                <w:sz w:val="17"/>
                <w:szCs w:val="17"/>
                <w:color w:val="auto"/>
                <w:w w:val="99"/>
              </w:rPr>
              <w:t>(State or other jurisdiction of</w:t>
            </w:r>
          </w:p>
        </w:tc>
        <w:tc>
          <w:tcPr>
            <w:tcW w:w="2800" w:type="dxa"/>
            <w:vAlign w:val="bottom"/>
          </w:tcPr>
          <w:p>
            <w:pPr>
              <w:jc w:val="center"/>
              <w:ind w:left="895"/>
              <w:spacing w:after="0"/>
              <w:rPr>
                <w:sz w:val="20"/>
                <w:szCs w:val="20"/>
                <w:color w:val="auto"/>
              </w:rPr>
            </w:pPr>
            <w:r>
              <w:rPr>
                <w:rFonts w:ascii="Courier New" w:cs="Courier New" w:eastAsia="Courier New" w:hAnsi="Courier New"/>
                <w:sz w:val="17"/>
                <w:szCs w:val="17"/>
                <w:color w:val="auto"/>
                <w:w w:val="99"/>
              </w:rPr>
              <w:t>(I.R.S. Employer</w:t>
            </w:r>
          </w:p>
        </w:tc>
      </w:tr>
      <w:tr>
        <w:trPr>
          <w:trHeight w:val="196"/>
        </w:trPr>
        <w:tc>
          <w:tcPr>
            <w:tcW w:w="4940" w:type="dxa"/>
            <w:vAlign w:val="bottom"/>
          </w:tcPr>
          <w:p>
            <w:pPr>
              <w:jc w:val="center"/>
              <w:ind w:right="795"/>
              <w:spacing w:after="0"/>
              <w:rPr>
                <w:sz w:val="20"/>
                <w:szCs w:val="20"/>
                <w:color w:val="auto"/>
              </w:rPr>
            </w:pPr>
            <w:r>
              <w:rPr>
                <w:rFonts w:ascii="Courier New" w:cs="Courier New" w:eastAsia="Courier New" w:hAnsi="Courier New"/>
                <w:sz w:val="17"/>
                <w:szCs w:val="17"/>
                <w:color w:val="auto"/>
                <w:w w:val="99"/>
              </w:rPr>
              <w:t>incorporation or organization)</w:t>
            </w:r>
          </w:p>
        </w:tc>
        <w:tc>
          <w:tcPr>
            <w:tcW w:w="2800" w:type="dxa"/>
            <w:vAlign w:val="bottom"/>
          </w:tcPr>
          <w:p>
            <w:pPr>
              <w:ind w:left="860"/>
              <w:spacing w:after="0"/>
              <w:rPr>
                <w:sz w:val="20"/>
                <w:szCs w:val="20"/>
                <w:color w:val="auto"/>
              </w:rPr>
            </w:pPr>
            <w:r>
              <w:rPr>
                <w:rFonts w:ascii="Courier New" w:cs="Courier New" w:eastAsia="Courier New" w:hAnsi="Courier New"/>
                <w:sz w:val="17"/>
                <w:szCs w:val="17"/>
                <w:color w:val="auto"/>
                <w:w w:val="99"/>
              </w:rPr>
              <w:t>Identification No.)</w:t>
            </w:r>
          </w:p>
        </w:tc>
      </w:tr>
      <w:tr>
        <w:trPr>
          <w:trHeight w:val="392"/>
        </w:trPr>
        <w:tc>
          <w:tcPr>
            <w:tcW w:w="4940" w:type="dxa"/>
            <w:vAlign w:val="bottom"/>
          </w:tcPr>
          <w:p>
            <w:pPr>
              <w:jc w:val="center"/>
              <w:ind w:right="895"/>
              <w:spacing w:after="0"/>
              <w:rPr>
                <w:sz w:val="20"/>
                <w:szCs w:val="20"/>
                <w:color w:val="auto"/>
              </w:rPr>
            </w:pPr>
            <w:r>
              <w:rPr>
                <w:rFonts w:ascii="Courier New" w:cs="Courier New" w:eastAsia="Courier New" w:hAnsi="Courier New"/>
                <w:sz w:val="17"/>
                <w:szCs w:val="17"/>
                <w:color w:val="auto"/>
                <w:w w:val="99"/>
              </w:rPr>
              <w:t>8550 MOSLEY DRIVE, HOUSTON, TEXAS</w:t>
            </w:r>
          </w:p>
        </w:tc>
        <w:tc>
          <w:tcPr>
            <w:tcW w:w="2800" w:type="dxa"/>
            <w:vAlign w:val="bottom"/>
          </w:tcPr>
          <w:p>
            <w:pPr>
              <w:jc w:val="center"/>
              <w:ind w:left="895"/>
              <w:spacing w:after="0"/>
              <w:rPr>
                <w:sz w:val="20"/>
                <w:szCs w:val="20"/>
                <w:color w:val="auto"/>
              </w:rPr>
            </w:pPr>
            <w:r>
              <w:rPr>
                <w:rFonts w:ascii="Courier New" w:cs="Courier New" w:eastAsia="Courier New" w:hAnsi="Courier New"/>
                <w:sz w:val="17"/>
                <w:szCs w:val="17"/>
                <w:color w:val="auto"/>
                <w:w w:val="99"/>
              </w:rPr>
              <w:t>77075-1180</w:t>
            </w:r>
          </w:p>
        </w:tc>
      </w:tr>
      <w:tr>
        <w:trPr>
          <w:trHeight w:val="196"/>
        </w:trPr>
        <w:tc>
          <w:tcPr>
            <w:tcW w:w="4940" w:type="dxa"/>
            <w:vAlign w:val="bottom"/>
          </w:tcPr>
          <w:p>
            <w:pPr>
              <w:jc w:val="center"/>
              <w:ind w:right="775"/>
              <w:spacing w:after="0"/>
              <w:rPr>
                <w:sz w:val="20"/>
                <w:szCs w:val="20"/>
                <w:color w:val="auto"/>
              </w:rPr>
            </w:pPr>
            <w:r>
              <w:rPr>
                <w:rFonts w:ascii="Courier New" w:cs="Courier New" w:eastAsia="Courier New" w:hAnsi="Courier New"/>
                <w:sz w:val="17"/>
                <w:szCs w:val="17"/>
                <w:color w:val="auto"/>
                <w:w w:val="99"/>
              </w:rPr>
              <w:t>(Address of principal executive offices)</w:t>
            </w:r>
          </w:p>
        </w:tc>
        <w:tc>
          <w:tcPr>
            <w:tcW w:w="2800" w:type="dxa"/>
            <w:vAlign w:val="bottom"/>
          </w:tcPr>
          <w:p>
            <w:pPr>
              <w:jc w:val="center"/>
              <w:ind w:left="895"/>
              <w:spacing w:after="0"/>
              <w:rPr>
                <w:sz w:val="20"/>
                <w:szCs w:val="20"/>
                <w:color w:val="auto"/>
              </w:rPr>
            </w:pPr>
            <w:r>
              <w:rPr>
                <w:rFonts w:ascii="Courier New" w:cs="Courier New" w:eastAsia="Courier New" w:hAnsi="Courier New"/>
                <w:sz w:val="17"/>
                <w:szCs w:val="17"/>
                <w:color w:val="auto"/>
                <w:w w:val="99"/>
              </w:rPr>
              <w:t>(Zip Code)</w:t>
            </w:r>
          </w:p>
        </w:tc>
      </w:tr>
    </w:tbl>
    <w:p>
      <w:pPr>
        <w:spacing w:after="0" w:line="396"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Registrant's telephone number, including area code: (713) 944-6900</w:t>
      </w:r>
    </w:p>
    <w:p>
      <w:pPr>
        <w:spacing w:after="0" w:line="200"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Securities registered pursuant to section 12(b) of the Act: NONE</w:t>
      </w:r>
    </w:p>
    <w:p>
      <w:pPr>
        <w:spacing w:after="0" w:line="200"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Securities registered pursuant to Section 12(g) of Act:</w:t>
      </w:r>
    </w:p>
    <w:p>
      <w:pPr>
        <w:spacing w:after="0" w:line="200"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Common Stock, par value $.01 per share</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10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Indicate by "X"</w:t>
            </w:r>
          </w:p>
        </w:tc>
        <w:tc>
          <w:tcPr>
            <w:tcW w:w="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whether</w:t>
            </w:r>
          </w:p>
        </w:tc>
        <w:tc>
          <w:tcPr>
            <w:tcW w:w="19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registrant (1)</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has</w:t>
            </w:r>
          </w:p>
        </w:tc>
        <w:tc>
          <w:tcPr>
            <w:tcW w:w="2900" w:type="dxa"/>
            <w:vAlign w:val="bottom"/>
          </w:tcPr>
          <w:p>
            <w:pPr>
              <w:ind w:left="40"/>
              <w:spacing w:after="0"/>
              <w:rPr>
                <w:sz w:val="20"/>
                <w:szCs w:val="20"/>
                <w:color w:val="auto"/>
              </w:rPr>
            </w:pPr>
            <w:r>
              <w:rPr>
                <w:rFonts w:ascii="Courier New" w:cs="Courier New" w:eastAsia="Courier New" w:hAnsi="Courier New"/>
                <w:sz w:val="17"/>
                <w:szCs w:val="17"/>
                <w:color w:val="auto"/>
              </w:rPr>
              <w:t>filed all reports required</w:t>
            </w:r>
          </w:p>
        </w:tc>
      </w:tr>
      <w:tr>
        <w:trPr>
          <w:trHeight w:val="1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to be filed</w:t>
            </w:r>
          </w:p>
        </w:tc>
        <w:tc>
          <w:tcPr>
            <w:tcW w:w="14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by Section 13</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or</w:t>
            </w:r>
          </w:p>
        </w:tc>
        <w:tc>
          <w:tcPr>
            <w:tcW w:w="5240" w:type="dxa"/>
            <w:vAlign w:val="bottom"/>
            <w:gridSpan w:val="4"/>
          </w:tcPr>
          <w:p>
            <w:pPr>
              <w:ind w:left="40"/>
              <w:spacing w:after="0"/>
              <w:rPr>
                <w:sz w:val="20"/>
                <w:szCs w:val="20"/>
                <w:color w:val="auto"/>
              </w:rPr>
            </w:pPr>
            <w:r>
              <w:rPr>
                <w:rFonts w:ascii="Courier New" w:cs="Courier New" w:eastAsia="Courier New" w:hAnsi="Courier New"/>
                <w:sz w:val="17"/>
                <w:szCs w:val="17"/>
                <w:color w:val="auto"/>
                <w:w w:val="99"/>
              </w:rPr>
              <w:t>15(d) of the Securities Exchange Act of 1934 during</w:t>
            </w:r>
          </w:p>
        </w:tc>
      </w:tr>
      <w:tr>
        <w:trPr>
          <w:trHeight w:val="196"/>
        </w:trPr>
        <w:tc>
          <w:tcPr>
            <w:tcW w:w="1680" w:type="dxa"/>
            <w:vAlign w:val="bottom"/>
            <w:gridSpan w:val="2"/>
          </w:tcPr>
          <w:p>
            <w:pPr>
              <w:spacing w:after="0"/>
              <w:rPr>
                <w:sz w:val="20"/>
                <w:szCs w:val="20"/>
                <w:color w:val="auto"/>
              </w:rPr>
            </w:pPr>
            <w:r>
              <w:rPr>
                <w:rFonts w:ascii="Courier New" w:cs="Courier New" w:eastAsia="Courier New" w:hAnsi="Courier New"/>
                <w:sz w:val="17"/>
                <w:szCs w:val="17"/>
                <w:color w:val="auto"/>
              </w:rPr>
              <w:t>the preceding 12</w:t>
            </w:r>
          </w:p>
        </w:tc>
        <w:tc>
          <w:tcPr>
            <w:tcW w:w="6480" w:type="dxa"/>
            <w:vAlign w:val="bottom"/>
            <w:gridSpan w:val="7"/>
          </w:tcPr>
          <w:p>
            <w:pPr>
              <w:ind w:left="60"/>
              <w:spacing w:after="0"/>
              <w:rPr>
                <w:sz w:val="20"/>
                <w:szCs w:val="20"/>
                <w:color w:val="auto"/>
              </w:rPr>
            </w:pPr>
            <w:r>
              <w:rPr>
                <w:rFonts w:ascii="Courier New" w:cs="Courier New" w:eastAsia="Courier New" w:hAnsi="Courier New"/>
                <w:sz w:val="17"/>
                <w:szCs w:val="17"/>
                <w:color w:val="auto"/>
              </w:rPr>
              <w:t>months (or for such shorter period that the registrant was</w:t>
            </w:r>
          </w:p>
        </w:tc>
      </w:tr>
      <w:tr>
        <w:trPr>
          <w:trHeight w:val="1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required to</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file</w:t>
            </w:r>
          </w:p>
        </w:tc>
        <w:tc>
          <w:tcPr>
            <w:tcW w:w="18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such reports) and</w:t>
            </w:r>
          </w:p>
        </w:tc>
        <w:tc>
          <w:tcPr>
            <w:tcW w:w="46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(2) has been subject to such filing</w:t>
            </w:r>
          </w:p>
        </w:tc>
      </w:tr>
      <w:tr>
        <w:trPr>
          <w:trHeight w:val="196"/>
        </w:trPr>
        <w:tc>
          <w:tcPr>
            <w:tcW w:w="1680" w:type="dxa"/>
            <w:vAlign w:val="bottom"/>
            <w:gridSpan w:val="2"/>
          </w:tcPr>
          <w:p>
            <w:pPr>
              <w:spacing w:after="0"/>
              <w:rPr>
                <w:sz w:val="20"/>
                <w:szCs w:val="20"/>
                <w:color w:val="auto"/>
              </w:rPr>
            </w:pPr>
            <w:r>
              <w:rPr>
                <w:rFonts w:ascii="Courier New" w:cs="Courier New" w:eastAsia="Courier New" w:hAnsi="Courier New"/>
                <w:sz w:val="17"/>
                <w:szCs w:val="17"/>
                <w:color w:val="auto"/>
              </w:rPr>
              <w:t>requirements for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past</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90</w:t>
            </w:r>
          </w:p>
        </w:tc>
        <w:tc>
          <w:tcPr>
            <w:tcW w:w="600" w:type="dxa"/>
            <w:vAlign w:val="bottom"/>
          </w:tcPr>
          <w:p>
            <w:pPr>
              <w:ind w:left="40"/>
              <w:spacing w:after="0"/>
              <w:rPr>
                <w:sz w:val="20"/>
                <w:szCs w:val="20"/>
                <w:color w:val="auto"/>
              </w:rPr>
            </w:pPr>
            <w:r>
              <w:rPr>
                <w:rFonts w:ascii="Courier New" w:cs="Courier New" w:eastAsia="Courier New" w:hAnsi="Courier New"/>
                <w:sz w:val="17"/>
                <w:szCs w:val="17"/>
                <w:color w:val="auto"/>
              </w:rPr>
              <w:t>days.</w:t>
            </w:r>
          </w:p>
        </w:tc>
        <w:tc>
          <w:tcPr>
            <w:tcW w:w="1340" w:type="dxa"/>
            <w:vAlign w:val="bottom"/>
          </w:tcPr>
          <w:p>
            <w:pPr>
              <w:ind w:left="160"/>
              <w:spacing w:after="0"/>
              <w:rPr>
                <w:sz w:val="20"/>
                <w:szCs w:val="20"/>
                <w:color w:val="auto"/>
              </w:rPr>
            </w:pPr>
            <w:r>
              <w:rPr>
                <w:rFonts w:ascii="Courier New" w:cs="Courier New" w:eastAsia="Courier New" w:hAnsi="Courier New"/>
                <w:sz w:val="17"/>
                <w:szCs w:val="17"/>
                <w:color w:val="auto"/>
              </w:rPr>
              <w:t>Yes [X]</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No</w:t>
            </w:r>
          </w:p>
        </w:tc>
        <w:tc>
          <w:tcPr>
            <w:tcW w:w="2900" w:type="dxa"/>
            <w:vAlign w:val="bottom"/>
          </w:tcPr>
          <w:p>
            <w:pPr>
              <w:ind w:left="40"/>
              <w:spacing w:after="0"/>
              <w:rPr>
                <w:sz w:val="20"/>
                <w:szCs w:val="20"/>
                <w:color w:val="auto"/>
              </w:rPr>
            </w:pPr>
            <w:r>
              <w:rPr>
                <w:rFonts w:ascii="Courier New" w:cs="Courier New" w:eastAsia="Courier New" w:hAnsi="Courier New"/>
                <w:sz w:val="17"/>
                <w:szCs w:val="17"/>
                <w:color w:val="auto"/>
              </w:rPr>
              <w:t>[ ]</w:t>
            </w:r>
          </w:p>
        </w:tc>
      </w:tr>
    </w:tbl>
    <w:p>
      <w:pPr>
        <w:spacing w:after="0" w:line="201" w:lineRule="exact"/>
        <w:rPr>
          <w:sz w:val="24"/>
          <w:szCs w:val="24"/>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Indicate by "X"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98" w:lineRule="exact"/>
        <w:rPr>
          <w:sz w:val="24"/>
          <w:szCs w:val="24"/>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aggregate market value of the voting stock held by non-affiliates of the registrant was approximately $85,137,000 as of January 14, 1997. The number of shares of the Company's Common Stock outstanding on that date was 10,604,471 shares</w:t>
      </w:r>
    </w:p>
    <w:p>
      <w:pPr>
        <w:spacing w:after="0" w:line="197"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201" w:lineRule="exact"/>
        <w:rPr>
          <w:sz w:val="24"/>
          <w:szCs w:val="24"/>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Portions of the Proxy Statement for the 1997 annual meeting of stockholders to be filed not later than 120 days after October 31, 1996 are incorporated by reference into Part III.</w:t>
      </w:r>
    </w:p>
    <w:p>
      <w:pPr>
        <w:spacing w:after="0" w:line="199" w:lineRule="exact"/>
        <w:rPr>
          <w:sz w:val="24"/>
          <w:szCs w:val="24"/>
          <w:color w:val="auto"/>
        </w:rPr>
      </w:pPr>
    </w:p>
    <w:p>
      <w:pPr>
        <w:ind w:left="200" w:hanging="195"/>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5"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PART I</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BUSINESS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Powell Industries, Inc. ("Powell" or the "Company") was incorporated under the laws of the State of Nevada in December 1968. The Company is the successor to a corporation founded by William E. Powell in 1947, which merged into the Company in 1977. During 1996 the Company completed the sale of its gas turbine packaging business and its microprocessor based distributed control equipment business. These businesses were operated by U. S. Turbine Corp. and Powell-Process Systems Inc., wholly owned subsidiaries of the Company.</w:t>
      </w:r>
    </w:p>
    <w:p>
      <w:pPr>
        <w:spacing w:after="0" w:line="199"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The Company sells, designs, develops, manufactures, packages and services systems and equipment for the distribution, control and management of electrical energy and other dynamic processes. The Company's offices are located in Houston, Texas with plants located in Houston, Greenville and Jacinto Port, Texas; Elyria, Ohio; Franklin Park, Illinois; Fremont and Pleasanton, California; and Norcross, Georgia. Most of the products manufactured by the Company are made pursuant to specifications required for a particular order.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 AND SYSTEMS</w:t>
      </w:r>
    </w:p>
    <w:p>
      <w:pPr>
        <w:spacing w:after="0" w:line="201" w:lineRule="exact"/>
        <w:rPr>
          <w:sz w:val="20"/>
          <w:szCs w:val="20"/>
          <w:color w:val="auto"/>
        </w:rPr>
      </w:pPr>
    </w:p>
    <w:p>
      <w:pPr>
        <w:ind w:right="2059" w:firstLine="510"/>
        <w:spacing w:after="0" w:line="263" w:lineRule="auto"/>
        <w:rPr>
          <w:sz w:val="20"/>
          <w:szCs w:val="20"/>
          <w:color w:val="auto"/>
        </w:rPr>
      </w:pPr>
      <w:r>
        <w:rPr>
          <w:rFonts w:ascii="Courier New" w:cs="Courier New" w:eastAsia="Courier New" w:hAnsi="Courier New"/>
          <w:sz w:val="16"/>
          <w:szCs w:val="16"/>
          <w:color w:val="auto"/>
        </w:rPr>
        <w:t>Powell designs, develops, manufactures, sells and services electrical power distribution and control equipment and systems through its subsidiaries: Powell Electrical Manufacturing Company; Powell-ESCO Company; Unibus, Inc.; Delta-Unibus Corp. and Transdyn Controls, Inc. As applicable to the context, "Company' is also sometimes used herein to refer to Powell and its subsidiaries.</w:t>
      </w:r>
    </w:p>
    <w:p>
      <w:pPr>
        <w:spacing w:after="0" w:line="184"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principal products are switchgear and related equipment, bus duct and process control systems. These products and systems are utilized primarily by refineries, petrochemical plants, utilities, paper mills, offshore platforms, commuter railways, vehicular transportation and numerous other industrial, commercial and governmental facilities. A brief description of each of the major products follows: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Switchgear and other related Equipment: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Free-standing metal enclosures containing a selection of electrical components that protect, monitor and control the flow of electricity from its source to motors, transformers and other electrically powered equipment. Major electrical components include customized portable buildings (PCR(R)), circuit breakers, protective relays, meters, control switches, fuses, motor control centers and both current and potential transformers. During the fiscal years ended October 31, 1996, 1995 and 1994, sales and service of switchgear and other related equipment accounted for 76%, 73% and 71%, respectively, of consolidated revenues of the Company.</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Bus Duct:</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Bus duct consists of insulated power conductors housed in a metal enclosure. Individual pieces of bus duct are arranged in whatever physical configuration may be required to distribute electrical power to or from a generator, transformer, switching device or other electrical apparatus. Powell can provide the nonsegregated phase, segregated phase and isolated phase styles of bus duct with numerous amperage and voltage ratings. Sales of bus duct accounted for 15%, 15% and 15% of consolidated revenues for fiscal years 1996, 1995 and 1994, respectively.</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Process Control Systems: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process control systems supplied by the Company consist principally of instrumentation, computer control, communications, and data management systems. Demand for process control systems has been for modernization and expansion projects as well as new facilities that mainly serve the transportation, environmental and utilities industries. During the fiscal years ended October 31, 1996, 1995 and 1994, sales of process control systems accounted for 9%, 12% and 14%, respectively, of consolidated revenues of the Company.</w:t>
      </w:r>
    </w:p>
    <w:p>
      <w:pPr>
        <w:sectPr>
          <w:pgSz w:w="11900" w:h="16838" w:orient="portrait"/>
          <w:cols w:equalWidth="0" w:num="1">
            <w:col w:w="10219"/>
          </w:cols>
          <w:pgMar w:left="240" w:top="311" w:right="1440" w:bottom="1440" w:gutter="0" w:footer="0" w:header="0"/>
        </w:sectPr>
      </w:pP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11"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SUPPLIERS</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All of the Company's products are manufactured using components and materials that are readily available from numerous domestic suppliers. The Company has three principal suppliers of components and anticipates no difficulty in obtaining its components in sufficient quantities to support its manufacturing and assembly operations.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METHODS OF DISTRIBUTION AND CUSTOMERS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Company's products are sold through manufacturers' representatives and its internal sales force. The Company is not dependent on any single customer for sales and the loss of any specific customer would not have a material adverse effect upon the Company. No single customer or export country accounted for more than 10% of consolidated revenues in the fiscal years ended 1996, 1995 or 1994. Export revenues were $63,884,000, $39,491,000 and $41,151,000 in fiscal years 1996, 1995 and 1994, respectively. See Note H of the Notes to Consolidated Financial Statements showing in what geographic area these revenues were recorded.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is engaged in a highly competitive business which is characterized by a small number of much larger companies that dominate the bulk of the market and a large number of smaller companies that compete for a limited share of such market. In the opinion of management, the competitive position of the Company is dependent on the ability of the Company to provide quality products to a customer's specifications, on a timely basis, at a competitive price, utilizing state-of-the-art materials, design and production methods. Some of the Company's principal competitors are larger and have greater capital and management resources.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01" w:lineRule="exact"/>
        <w:rPr>
          <w:sz w:val="20"/>
          <w:szCs w:val="20"/>
          <w:color w:val="auto"/>
        </w:rPr>
      </w:pPr>
    </w:p>
    <w:p>
      <w:pPr>
        <w:ind w:right="2559" w:firstLine="510"/>
        <w:spacing w:after="0" w:line="243" w:lineRule="auto"/>
        <w:rPr>
          <w:sz w:val="20"/>
          <w:szCs w:val="20"/>
          <w:color w:val="auto"/>
        </w:rPr>
      </w:pPr>
      <w:r>
        <w:rPr>
          <w:rFonts w:ascii="Courier New" w:cs="Courier New" w:eastAsia="Courier New" w:hAnsi="Courier New"/>
          <w:sz w:val="17"/>
          <w:szCs w:val="17"/>
          <w:color w:val="auto"/>
        </w:rPr>
        <w:t>At October 31, 1996, the Company employed 945 employees on a full-time basis. Management considers its employee relations to be good.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BACKLOG</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Company's backlog of orders was $106,457,000 and $103,315,000 at October 31, 1996 and 1995, respectively, and the percentage of its 1996 year end backlog that it does not expect to fill in fiscal year 1997 is 25%. Orders included in the backlog are represented by purchase orders which the Company believes to be firm. The terms on which the Company accepts orders include a penalty for cancellation. Historically, no material amount of orders included in backlog has been canceled. No material portion of the Company's business is seasonal in nature.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During the fiscal years ended October 31, 1996, 1995 and 1994, the Company spent approximately $2,283,000, $1,843,000 and $1,670,000 respectively, on research and development programs.</w:t>
      </w: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1"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PROPERTIES</w:t>
      </w:r>
    </w:p>
    <w:p>
      <w:pPr>
        <w:spacing w:after="0" w:line="201"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The following table sets forth information about the Company's principal facilities at October 31, 1996.</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ind w:left="460"/>
              <w:spacing w:after="0"/>
              <w:rPr>
                <w:sz w:val="20"/>
                <w:szCs w:val="20"/>
                <w:color w:val="auto"/>
              </w:rPr>
            </w:pPr>
            <w:r>
              <w:rPr>
                <w:rFonts w:ascii="Courier New" w:cs="Courier New" w:eastAsia="Courier New" w:hAnsi="Courier New"/>
                <w:sz w:val="17"/>
                <w:szCs w:val="17"/>
                <w:color w:val="auto"/>
              </w:rPr>
              <w:t>SQUARE</w:t>
            </w:r>
          </w:p>
        </w:tc>
        <w:tc>
          <w:tcPr>
            <w:tcW w:w="4940" w:type="dxa"/>
            <w:vAlign w:val="bottom"/>
          </w:tcPr>
          <w:p>
            <w:pPr>
              <w:spacing w:after="0"/>
              <w:rPr>
                <w:sz w:val="16"/>
                <w:szCs w:val="16"/>
                <w:color w:val="auto"/>
              </w:rPr>
            </w:pPr>
          </w:p>
        </w:tc>
      </w:tr>
      <w:tr>
        <w:trPr>
          <w:trHeight w:val="196"/>
        </w:trPr>
        <w:tc>
          <w:tcPr>
            <w:tcW w:w="2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40" w:type="dxa"/>
            <w:vAlign w:val="bottom"/>
          </w:tcPr>
          <w:p>
            <w:pPr>
              <w:ind w:left="460"/>
              <w:spacing w:after="0"/>
              <w:rPr>
                <w:sz w:val="20"/>
                <w:szCs w:val="20"/>
                <w:color w:val="auto"/>
              </w:rPr>
            </w:pPr>
            <w:r>
              <w:rPr>
                <w:rFonts w:ascii="Courier New" w:cs="Courier New" w:eastAsia="Courier New" w:hAnsi="Courier New"/>
                <w:sz w:val="17"/>
                <w:szCs w:val="17"/>
                <w:color w:val="auto"/>
              </w:rPr>
              <w:t>FOOTAGE</w:t>
            </w:r>
          </w:p>
        </w:tc>
        <w:tc>
          <w:tcPr>
            <w:tcW w:w="4940" w:type="dxa"/>
            <w:vAlign w:val="bottom"/>
          </w:tcPr>
          <w:p>
            <w:pPr>
              <w:spacing w:after="0"/>
              <w:rPr>
                <w:sz w:val="17"/>
                <w:szCs w:val="17"/>
                <w:color w:val="auto"/>
              </w:rPr>
            </w:pPr>
          </w:p>
        </w:tc>
      </w:tr>
      <w:tr>
        <w:trPr>
          <w:trHeight w:val="196"/>
        </w:trPr>
        <w:tc>
          <w:tcPr>
            <w:tcW w:w="2660" w:type="dxa"/>
            <w:vAlign w:val="bottom"/>
          </w:tcPr>
          <w:p>
            <w:pPr>
              <w:ind w:left="820"/>
              <w:spacing w:after="0"/>
              <w:rPr>
                <w:sz w:val="20"/>
                <w:szCs w:val="20"/>
                <w:color w:val="auto"/>
              </w:rPr>
            </w:pPr>
            <w:r>
              <w:rPr>
                <w:rFonts w:ascii="Courier New" w:cs="Courier New" w:eastAsia="Courier New" w:hAnsi="Courier New"/>
                <w:sz w:val="17"/>
                <w:szCs w:val="17"/>
                <w:color w:val="auto"/>
              </w:rPr>
              <w:t>LOCATION</w:t>
            </w: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ACRES</w:t>
            </w:r>
          </w:p>
        </w:tc>
        <w:tc>
          <w:tcPr>
            <w:tcW w:w="16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OF FACILITIES</w:t>
            </w:r>
          </w:p>
        </w:tc>
        <w:tc>
          <w:tcPr>
            <w:tcW w:w="4940" w:type="dxa"/>
            <w:vAlign w:val="bottom"/>
          </w:tcPr>
          <w:p>
            <w:pPr>
              <w:ind w:left="2080"/>
              <w:spacing w:after="0"/>
              <w:rPr>
                <w:sz w:val="20"/>
                <w:szCs w:val="20"/>
                <w:color w:val="auto"/>
              </w:rPr>
            </w:pPr>
            <w:r>
              <w:rPr>
                <w:rFonts w:ascii="Courier New" w:cs="Courier New" w:eastAsia="Courier New" w:hAnsi="Courier New"/>
                <w:sz w:val="17"/>
                <w:szCs w:val="17"/>
                <w:color w:val="auto"/>
              </w:rPr>
              <w:t>OCCUPANCY</w:t>
            </w:r>
          </w:p>
        </w:tc>
      </w:tr>
      <w:tr>
        <w:trPr>
          <w:trHeight w:val="196"/>
        </w:trPr>
        <w:tc>
          <w:tcPr>
            <w:tcW w:w="2660" w:type="dxa"/>
            <w:vAlign w:val="bottom"/>
          </w:tcPr>
          <w:p>
            <w:pPr>
              <w:ind w:left="82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4940" w:type="dxa"/>
            <w:vAlign w:val="bottom"/>
          </w:tcPr>
          <w:p>
            <w:pPr>
              <w:ind w:left="2080"/>
              <w:spacing w:after="0"/>
              <w:rPr>
                <w:sz w:val="20"/>
                <w:szCs w:val="20"/>
                <w:color w:val="auto"/>
              </w:rPr>
            </w:pPr>
            <w:r>
              <w:rPr>
                <w:rFonts w:ascii="Courier New" w:cs="Courier New" w:eastAsia="Courier New" w:hAnsi="Courier New"/>
                <w:sz w:val="17"/>
                <w:szCs w:val="17"/>
                <w:color w:val="auto"/>
              </w:rPr>
              <w:t>---------</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Owned:</w:t>
            </w: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96"/>
        </w:trPr>
        <w:tc>
          <w:tcPr>
            <w:tcW w:w="2660" w:type="dxa"/>
            <w:vAlign w:val="bottom"/>
          </w:tcPr>
          <w:p>
            <w:pPr>
              <w:ind w:left="200"/>
              <w:spacing w:after="0"/>
              <w:rPr>
                <w:sz w:val="20"/>
                <w:szCs w:val="20"/>
                <w:color w:val="auto"/>
              </w:rPr>
            </w:pPr>
            <w:r>
              <w:rPr>
                <w:rFonts w:ascii="Courier New" w:cs="Courier New" w:eastAsia="Courier New" w:hAnsi="Courier New"/>
                <w:sz w:val="17"/>
                <w:szCs w:val="17"/>
                <w:color w:val="auto"/>
              </w:rPr>
              <w:t>Franklin Park, IL......</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w:t>
            </w: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58,000</w:t>
            </w:r>
          </w:p>
        </w:tc>
        <w:tc>
          <w:tcPr>
            <w:tcW w:w="4940" w:type="dxa"/>
            <w:vAlign w:val="bottom"/>
          </w:tcPr>
          <w:p>
            <w:pPr>
              <w:ind w:left="140"/>
              <w:spacing w:after="0"/>
              <w:rPr>
                <w:sz w:val="20"/>
                <w:szCs w:val="20"/>
                <w:color w:val="auto"/>
              </w:rPr>
            </w:pPr>
            <w:r>
              <w:rPr>
                <w:rFonts w:ascii="Courier New" w:cs="Courier New" w:eastAsia="Courier New" w:hAnsi="Courier New"/>
                <w:sz w:val="17"/>
                <w:szCs w:val="17"/>
                <w:color w:val="auto"/>
              </w:rPr>
              <w:t>Delta-Unibus Corp.</w:t>
            </w:r>
          </w:p>
        </w:tc>
      </w:tr>
      <w:tr>
        <w:trPr>
          <w:trHeight w:val="196"/>
        </w:trPr>
        <w:tc>
          <w:tcPr>
            <w:tcW w:w="2660" w:type="dxa"/>
            <w:vAlign w:val="bottom"/>
          </w:tcPr>
          <w:p>
            <w:pPr>
              <w:ind w:left="200"/>
              <w:spacing w:after="0"/>
              <w:rPr>
                <w:sz w:val="20"/>
                <w:szCs w:val="20"/>
                <w:color w:val="auto"/>
              </w:rPr>
            </w:pPr>
            <w:r>
              <w:rPr>
                <w:rFonts w:ascii="Courier New" w:cs="Courier New" w:eastAsia="Courier New" w:hAnsi="Courier New"/>
                <w:sz w:val="17"/>
                <w:szCs w:val="17"/>
                <w:color w:val="auto"/>
              </w:rPr>
              <w:t>Greenville, TX.........</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19.0</w:t>
            </w: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109,000</w:t>
            </w:r>
          </w:p>
        </w:tc>
        <w:tc>
          <w:tcPr>
            <w:tcW w:w="4940" w:type="dxa"/>
            <w:vAlign w:val="bottom"/>
          </w:tcPr>
          <w:p>
            <w:pPr>
              <w:ind w:left="140"/>
              <w:spacing w:after="0"/>
              <w:rPr>
                <w:sz w:val="20"/>
                <w:szCs w:val="20"/>
                <w:color w:val="auto"/>
              </w:rPr>
            </w:pPr>
            <w:r>
              <w:rPr>
                <w:rFonts w:ascii="Courier New" w:cs="Courier New" w:eastAsia="Courier New" w:hAnsi="Courier New"/>
                <w:sz w:val="17"/>
                <w:szCs w:val="17"/>
                <w:color w:val="auto"/>
              </w:rPr>
              <w:t>Powell-ESCO Company</w:t>
            </w:r>
          </w:p>
        </w:tc>
      </w:tr>
      <w:tr>
        <w:trPr>
          <w:trHeight w:val="196"/>
        </w:trPr>
        <w:tc>
          <w:tcPr>
            <w:tcW w:w="2660" w:type="dxa"/>
            <w:vAlign w:val="bottom"/>
          </w:tcPr>
          <w:p>
            <w:pPr>
              <w:ind w:left="200"/>
              <w:spacing w:after="0"/>
              <w:rPr>
                <w:sz w:val="20"/>
                <w:szCs w:val="20"/>
                <w:color w:val="auto"/>
              </w:rPr>
            </w:pPr>
            <w:r>
              <w:rPr>
                <w:rFonts w:ascii="Courier New" w:cs="Courier New" w:eastAsia="Courier New" w:hAnsi="Courier New"/>
                <w:sz w:val="17"/>
                <w:szCs w:val="17"/>
                <w:color w:val="auto"/>
              </w:rPr>
              <w:t>Houston, TX............</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21.4</w:t>
            </w: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303,000</w:t>
            </w:r>
          </w:p>
        </w:tc>
        <w:tc>
          <w:tcPr>
            <w:tcW w:w="4940" w:type="dxa"/>
            <w:vAlign w:val="bottom"/>
          </w:tcPr>
          <w:p>
            <w:pPr>
              <w:ind w:left="140"/>
              <w:spacing w:after="0"/>
              <w:rPr>
                <w:sz w:val="20"/>
                <w:szCs w:val="20"/>
                <w:color w:val="auto"/>
              </w:rPr>
            </w:pPr>
            <w:r>
              <w:rPr>
                <w:rFonts w:ascii="Courier New" w:cs="Courier New" w:eastAsia="Courier New" w:hAnsi="Courier New"/>
                <w:sz w:val="17"/>
                <w:szCs w:val="17"/>
                <w:color w:val="auto"/>
              </w:rPr>
              <w:t>Powell Electrical Manufacturing Co.</w:t>
            </w:r>
          </w:p>
        </w:tc>
      </w:tr>
      <w:tr>
        <w:trPr>
          <w:trHeight w:val="196"/>
        </w:trPr>
        <w:tc>
          <w:tcPr>
            <w:tcW w:w="2660" w:type="dxa"/>
            <w:vAlign w:val="bottom"/>
          </w:tcPr>
          <w:p>
            <w:pPr>
              <w:ind w:left="200"/>
              <w:spacing w:after="0"/>
              <w:rPr>
                <w:sz w:val="20"/>
                <w:szCs w:val="20"/>
                <w:color w:val="auto"/>
              </w:rPr>
            </w:pPr>
            <w:r>
              <w:rPr>
                <w:rFonts w:ascii="Courier New" w:cs="Courier New" w:eastAsia="Courier New" w:hAnsi="Courier New"/>
                <w:sz w:val="17"/>
                <w:szCs w:val="17"/>
                <w:color w:val="auto"/>
              </w:rPr>
              <w:t>Jacinto Port, TX.......</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42.0</w:t>
            </w: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9,600</w:t>
            </w:r>
          </w:p>
        </w:tc>
        <w:tc>
          <w:tcPr>
            <w:tcW w:w="4940" w:type="dxa"/>
            <w:vAlign w:val="bottom"/>
          </w:tcPr>
          <w:p>
            <w:pPr>
              <w:ind w:left="140"/>
              <w:spacing w:after="0"/>
              <w:rPr>
                <w:sz w:val="20"/>
                <w:szCs w:val="20"/>
                <w:color w:val="auto"/>
              </w:rPr>
            </w:pPr>
            <w:r>
              <w:rPr>
                <w:rFonts w:ascii="Courier New" w:cs="Courier New" w:eastAsia="Courier New" w:hAnsi="Courier New"/>
                <w:sz w:val="17"/>
                <w:szCs w:val="17"/>
                <w:color w:val="auto"/>
              </w:rPr>
              <w:t>Powell Offshore Division</w:t>
            </w:r>
          </w:p>
        </w:tc>
      </w:tr>
      <w:tr>
        <w:trPr>
          <w:trHeight w:val="196"/>
        </w:trPr>
        <w:tc>
          <w:tcPr>
            <w:tcW w:w="2660" w:type="dxa"/>
            <w:vAlign w:val="bottom"/>
          </w:tcPr>
          <w:p>
            <w:pPr>
              <w:ind w:left="200"/>
              <w:spacing w:after="0"/>
              <w:rPr>
                <w:sz w:val="20"/>
                <w:szCs w:val="20"/>
                <w:color w:val="auto"/>
              </w:rPr>
            </w:pPr>
            <w:r>
              <w:rPr>
                <w:rFonts w:ascii="Courier New" w:cs="Courier New" w:eastAsia="Courier New" w:hAnsi="Courier New"/>
                <w:sz w:val="17"/>
                <w:szCs w:val="17"/>
                <w:color w:val="auto"/>
              </w:rPr>
              <w:t>Elyria, OH.............</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8.6</w:t>
            </w: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64,000</w:t>
            </w:r>
          </w:p>
        </w:tc>
        <w:tc>
          <w:tcPr>
            <w:tcW w:w="4940" w:type="dxa"/>
            <w:vAlign w:val="bottom"/>
          </w:tcPr>
          <w:p>
            <w:pPr>
              <w:ind w:left="140"/>
              <w:spacing w:after="0"/>
              <w:rPr>
                <w:sz w:val="20"/>
                <w:szCs w:val="20"/>
                <w:color w:val="auto"/>
              </w:rPr>
            </w:pPr>
            <w:r>
              <w:rPr>
                <w:rFonts w:ascii="Courier New" w:cs="Courier New" w:eastAsia="Courier New" w:hAnsi="Courier New"/>
                <w:sz w:val="17"/>
                <w:szCs w:val="17"/>
                <w:color w:val="auto"/>
              </w:rPr>
              <w:t>Unibus, Inc.</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Leased:</w:t>
            </w:r>
          </w:p>
        </w:tc>
        <w:tc>
          <w:tcPr>
            <w:tcW w:w="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196"/>
        </w:trPr>
        <w:tc>
          <w:tcPr>
            <w:tcW w:w="2660" w:type="dxa"/>
            <w:vAlign w:val="bottom"/>
          </w:tcPr>
          <w:p>
            <w:pPr>
              <w:ind w:left="200"/>
              <w:spacing w:after="0"/>
              <w:rPr>
                <w:sz w:val="20"/>
                <w:szCs w:val="20"/>
                <w:color w:val="auto"/>
              </w:rPr>
            </w:pPr>
            <w:r>
              <w:rPr>
                <w:rFonts w:ascii="Courier New" w:cs="Courier New" w:eastAsia="Courier New" w:hAnsi="Courier New"/>
                <w:sz w:val="17"/>
                <w:szCs w:val="17"/>
                <w:color w:val="auto"/>
              </w:rPr>
              <w:t>Fremont, CA............</w:t>
            </w:r>
          </w:p>
        </w:tc>
        <w:tc>
          <w:tcPr>
            <w:tcW w:w="760" w:type="dxa"/>
            <w:vAlign w:val="bottom"/>
          </w:tcPr>
          <w:p>
            <w:pPr>
              <w:spacing w:after="0"/>
              <w:rPr>
                <w:sz w:val="17"/>
                <w:szCs w:val="17"/>
                <w:color w:val="auto"/>
              </w:rPr>
            </w:pP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10,500</w:t>
            </w:r>
          </w:p>
        </w:tc>
        <w:tc>
          <w:tcPr>
            <w:tcW w:w="4940" w:type="dxa"/>
            <w:vAlign w:val="bottom"/>
          </w:tcPr>
          <w:p>
            <w:pPr>
              <w:ind w:left="140"/>
              <w:spacing w:after="0"/>
              <w:rPr>
                <w:sz w:val="20"/>
                <w:szCs w:val="20"/>
                <w:color w:val="auto"/>
              </w:rPr>
            </w:pPr>
            <w:r>
              <w:rPr>
                <w:rFonts w:ascii="Courier New" w:cs="Courier New" w:eastAsia="Courier New" w:hAnsi="Courier New"/>
                <w:sz w:val="17"/>
                <w:szCs w:val="17"/>
                <w:color w:val="auto"/>
                <w:w w:val="99"/>
              </w:rPr>
              <w:t>Powell-Innovative Breaker Technologies Division</w:t>
            </w:r>
          </w:p>
        </w:tc>
      </w:tr>
      <w:tr>
        <w:trPr>
          <w:trHeight w:val="196"/>
        </w:trPr>
        <w:tc>
          <w:tcPr>
            <w:tcW w:w="2660" w:type="dxa"/>
            <w:vAlign w:val="bottom"/>
          </w:tcPr>
          <w:p>
            <w:pPr>
              <w:ind w:left="200"/>
              <w:spacing w:after="0"/>
              <w:rPr>
                <w:sz w:val="20"/>
                <w:szCs w:val="20"/>
                <w:color w:val="auto"/>
              </w:rPr>
            </w:pPr>
            <w:r>
              <w:rPr>
                <w:rFonts w:ascii="Courier New" w:cs="Courier New" w:eastAsia="Courier New" w:hAnsi="Courier New"/>
                <w:sz w:val="17"/>
                <w:szCs w:val="17"/>
                <w:color w:val="auto"/>
              </w:rPr>
              <w:t>Pleasanton, CA.........</w:t>
            </w:r>
          </w:p>
        </w:tc>
        <w:tc>
          <w:tcPr>
            <w:tcW w:w="760" w:type="dxa"/>
            <w:vAlign w:val="bottom"/>
          </w:tcPr>
          <w:p>
            <w:pPr>
              <w:spacing w:after="0"/>
              <w:rPr>
                <w:sz w:val="17"/>
                <w:szCs w:val="17"/>
                <w:color w:val="auto"/>
              </w:rPr>
            </w:pP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39,100</w:t>
            </w:r>
          </w:p>
        </w:tc>
        <w:tc>
          <w:tcPr>
            <w:tcW w:w="4940" w:type="dxa"/>
            <w:vAlign w:val="bottom"/>
          </w:tcPr>
          <w:p>
            <w:pPr>
              <w:ind w:left="140"/>
              <w:spacing w:after="0"/>
              <w:rPr>
                <w:sz w:val="20"/>
                <w:szCs w:val="20"/>
                <w:color w:val="auto"/>
              </w:rPr>
            </w:pPr>
            <w:r>
              <w:rPr>
                <w:rFonts w:ascii="Courier New" w:cs="Courier New" w:eastAsia="Courier New" w:hAnsi="Courier New"/>
                <w:sz w:val="17"/>
                <w:szCs w:val="17"/>
                <w:color w:val="auto"/>
              </w:rPr>
              <w:t>Transdyn Controls, Inc.</w:t>
            </w:r>
          </w:p>
        </w:tc>
      </w:tr>
      <w:tr>
        <w:trPr>
          <w:trHeight w:val="196"/>
        </w:trPr>
        <w:tc>
          <w:tcPr>
            <w:tcW w:w="2660" w:type="dxa"/>
            <w:vAlign w:val="bottom"/>
          </w:tcPr>
          <w:p>
            <w:pPr>
              <w:ind w:left="200"/>
              <w:spacing w:after="0"/>
              <w:rPr>
                <w:sz w:val="20"/>
                <w:szCs w:val="20"/>
                <w:color w:val="auto"/>
              </w:rPr>
            </w:pPr>
            <w:r>
              <w:rPr>
                <w:rFonts w:ascii="Courier New" w:cs="Courier New" w:eastAsia="Courier New" w:hAnsi="Courier New"/>
                <w:sz w:val="17"/>
                <w:szCs w:val="17"/>
                <w:color w:val="auto"/>
              </w:rPr>
              <w:t>Norcross, GA...........</w:t>
            </w:r>
          </w:p>
        </w:tc>
        <w:tc>
          <w:tcPr>
            <w:tcW w:w="760" w:type="dxa"/>
            <w:vAlign w:val="bottom"/>
          </w:tcPr>
          <w:p>
            <w:pPr>
              <w:spacing w:after="0"/>
              <w:rPr>
                <w:sz w:val="17"/>
                <w:szCs w:val="17"/>
                <w:color w:val="auto"/>
              </w:rPr>
            </w:pP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19,200</w:t>
            </w:r>
          </w:p>
        </w:tc>
        <w:tc>
          <w:tcPr>
            <w:tcW w:w="4940" w:type="dxa"/>
            <w:vAlign w:val="bottom"/>
          </w:tcPr>
          <w:p>
            <w:pPr>
              <w:ind w:left="140"/>
              <w:spacing w:after="0"/>
              <w:rPr>
                <w:sz w:val="20"/>
                <w:szCs w:val="20"/>
                <w:color w:val="auto"/>
              </w:rPr>
            </w:pPr>
            <w:r>
              <w:rPr>
                <w:rFonts w:ascii="Courier New" w:cs="Courier New" w:eastAsia="Courier New" w:hAnsi="Courier New"/>
                <w:sz w:val="17"/>
                <w:szCs w:val="17"/>
                <w:color w:val="auto"/>
              </w:rPr>
              <w:t>Transdyn Controls, Inc.</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LEGAL PROCEEDINGS</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On August 5, 1993, the Company was served with a lawsuit by National Westminster Bank plc ("NatWest") alleging the Company had defaulted on a Construction Guaranty provided to NatWest in 1992 in connection with a project at MacDill Air Force Base. NatWest is seeking damages in excess of $20,000,000. The Company has denied the substantive allegations of the complaint and has filed counterclaims for damages against NatWest alleging fraud, bad faith and failure to preserve and protect its collateral and seeking a declaratory judgement that the Company is not in default of the Construction Guaranty.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ultimate disposition of the NatWest litigation is not presently determinable. Accordingly, although an unfavorable outcome to the NatWest litigation could have a material effect on the Company's financial position and results of operations, the Company believes it would be unreasonable to conclude that an unfavorable outcome is probable.</w:t>
      </w:r>
    </w:p>
    <w:p>
      <w:pPr>
        <w:spacing w:after="0" w:line="198" w:lineRule="exact"/>
        <w:rPr>
          <w:sz w:val="20"/>
          <w:szCs w:val="20"/>
          <w:color w:val="auto"/>
        </w:rPr>
      </w:pPr>
    </w:p>
    <w:p>
      <w:pPr>
        <w:jc w:val="both"/>
        <w:ind w:right="2359" w:firstLine="510"/>
        <w:spacing w:after="0" w:line="244" w:lineRule="auto"/>
        <w:rPr>
          <w:sz w:val="20"/>
          <w:szCs w:val="20"/>
          <w:color w:val="auto"/>
        </w:rPr>
      </w:pPr>
      <w:r>
        <w:rPr>
          <w:rFonts w:ascii="Courier New" w:cs="Courier New" w:eastAsia="Courier New" w:hAnsi="Courier New"/>
          <w:sz w:val="17"/>
          <w:szCs w:val="17"/>
          <w:color w:val="auto"/>
        </w:rPr>
        <w:t>The Company is party to other disputes arising in the ordinary course of business. Management does not believe the ultimate outcome of these disputes will materially effect the financial position or results of operations of the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201"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There were no matters which were submitted to a vote of security holders through proxies, or otherwise, during the fourth quarter of the fiscal year ended October 31, 1996.</w:t>
      </w: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1"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PART II</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MARKET FOR REGISTRANT'S COMMON EQUITY AND RELATED STOCKHOLDER MATTERS</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As of October 31, 1996, there were approximately 951 holders of record of Powell Industries, Inc. common stock which is traded on the over-the-counter market and listed on the NASDAQ National Market System under the symbol POWL.</w:t>
      </w:r>
    </w:p>
    <w:p>
      <w:pPr>
        <w:spacing w:after="0" w:line="200"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Quarterly stock prices and trading volumes for the last two fiscal years are as follows: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7"/>
                <w:szCs w:val="17"/>
                <w:color w:val="auto"/>
              </w:rPr>
              <w:t>AVERAGE</w:t>
            </w:r>
          </w:p>
        </w:tc>
      </w:tr>
      <w:tr>
        <w:trPr>
          <w:trHeight w:val="196"/>
        </w:trPr>
        <w:tc>
          <w:tcPr>
            <w:tcW w:w="470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HIGH</w:t>
            </w:r>
          </w:p>
        </w:tc>
        <w:tc>
          <w:tcPr>
            <w:tcW w:w="9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LOW</w:t>
            </w: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LAST</w:t>
            </w:r>
          </w:p>
        </w:tc>
        <w:tc>
          <w:tcPr>
            <w:tcW w:w="1420" w:type="dxa"/>
            <w:vAlign w:val="bottom"/>
          </w:tcPr>
          <w:p>
            <w:pPr>
              <w:ind w:left="200"/>
              <w:spacing w:after="0"/>
              <w:rPr>
                <w:sz w:val="20"/>
                <w:szCs w:val="20"/>
                <w:color w:val="auto"/>
              </w:rPr>
            </w:pPr>
            <w:r>
              <w:rPr>
                <w:rFonts w:ascii="Courier New" w:cs="Courier New" w:eastAsia="Courier New" w:hAnsi="Courier New"/>
                <w:sz w:val="17"/>
                <w:szCs w:val="17"/>
                <w:color w:val="auto"/>
                <w:w w:val="98"/>
              </w:rPr>
              <w:t>DAILY VOLUME</w:t>
            </w:r>
          </w:p>
        </w:tc>
      </w:tr>
      <w:tr>
        <w:trPr>
          <w:trHeight w:val="196"/>
        </w:trPr>
        <w:tc>
          <w:tcPr>
            <w:tcW w:w="47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470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470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$ 8.88</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$6.38</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$ 8.50</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23,295</w:t>
            </w:r>
          </w:p>
        </w:tc>
      </w:tr>
      <w:tr>
        <w:trPr>
          <w:trHeight w:val="196"/>
        </w:trPr>
        <w:tc>
          <w:tcPr>
            <w:tcW w:w="470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10.63</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8.38</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9.63</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31,914</w:t>
            </w:r>
          </w:p>
        </w:tc>
      </w:tr>
      <w:tr>
        <w:trPr>
          <w:trHeight w:val="196"/>
        </w:trPr>
        <w:tc>
          <w:tcPr>
            <w:tcW w:w="470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12.38</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9.13</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10.00</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29,380</w:t>
            </w:r>
          </w:p>
        </w:tc>
      </w:tr>
      <w:tr>
        <w:trPr>
          <w:trHeight w:val="196"/>
        </w:trPr>
        <w:tc>
          <w:tcPr>
            <w:tcW w:w="470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12.25</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8.75</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10.50</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20,617</w:t>
            </w:r>
          </w:p>
        </w:tc>
      </w:tr>
      <w:tr>
        <w:trPr>
          <w:trHeight w:val="196"/>
        </w:trPr>
        <w:tc>
          <w:tcPr>
            <w:tcW w:w="47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470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$ 6.38</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$5.13</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$ 5.88</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15,676</w:t>
            </w:r>
          </w:p>
        </w:tc>
      </w:tr>
      <w:tr>
        <w:trPr>
          <w:trHeight w:val="196"/>
        </w:trPr>
        <w:tc>
          <w:tcPr>
            <w:tcW w:w="470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6.38</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5.63</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5.88</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20,061</w:t>
            </w:r>
          </w:p>
        </w:tc>
      </w:tr>
      <w:tr>
        <w:trPr>
          <w:trHeight w:val="196"/>
        </w:trPr>
        <w:tc>
          <w:tcPr>
            <w:tcW w:w="470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7.00</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5.50</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6.00</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12,883</w:t>
            </w:r>
          </w:p>
        </w:tc>
      </w:tr>
      <w:tr>
        <w:trPr>
          <w:trHeight w:val="196"/>
        </w:trPr>
        <w:tc>
          <w:tcPr>
            <w:tcW w:w="470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7.25</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5.75</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6.88</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21,438</w:t>
            </w:r>
          </w:p>
        </w:tc>
      </w:tr>
    </w:tbl>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has paid no dividends on its common stock during the last three years and anticipates that it will not do so in the foreseeable future. The terms of the Company's loan agreements restrict the payment of dividends. See Note F of the Notes to Consolidated Financial Statements.</w:t>
      </w:r>
    </w:p>
    <w:p>
      <w:pPr>
        <w:spacing w:after="0" w:line="197"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1"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201"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The following data has been derived from consolidated financial statements that have been audited by Arthur Andersen LLP, independent public accountants. The information set forth below is not necessarily indicative of the results of future operations and should be read in conjunction with the consolidated financial statements and notes thereto appearing elsewhere in this Annual Report on Form 10-K.</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YEARS ENDED OCTOBER 31,</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744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7"/>
                <w:szCs w:val="17"/>
                <w:color w:val="auto"/>
              </w:rPr>
            </w:pPr>
          </w:p>
        </w:tc>
        <w:tc>
          <w:tcPr>
            <w:tcW w:w="12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128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1994</w:t>
            </w:r>
          </w:p>
        </w:tc>
        <w:tc>
          <w:tcPr>
            <w:tcW w:w="300" w:type="dxa"/>
            <w:vAlign w:val="bottom"/>
          </w:tcPr>
          <w:p>
            <w:pPr>
              <w:spacing w:after="0"/>
              <w:rPr>
                <w:sz w:val="17"/>
                <w:szCs w:val="17"/>
                <w:color w:val="auto"/>
              </w:rPr>
            </w:pPr>
          </w:p>
        </w:tc>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1993</w:t>
            </w:r>
          </w:p>
        </w:tc>
        <w:tc>
          <w:tcPr>
            <w:tcW w:w="260" w:type="dxa"/>
            <w:vAlign w:val="bottom"/>
          </w:tcPr>
          <w:p>
            <w:pPr>
              <w:spacing w:after="0"/>
              <w:rPr>
                <w:sz w:val="17"/>
                <w:szCs w:val="17"/>
                <w:color w:val="auto"/>
              </w:rPr>
            </w:pPr>
          </w:p>
        </w:tc>
        <w:tc>
          <w:tcPr>
            <w:tcW w:w="10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1992</w:t>
            </w:r>
          </w:p>
        </w:tc>
      </w:tr>
      <w:tr>
        <w:trPr>
          <w:trHeight w:val="196"/>
        </w:trPr>
        <w:tc>
          <w:tcPr>
            <w:tcW w:w="408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080" w:type="dxa"/>
            <w:vAlign w:val="bottom"/>
          </w:tcPr>
          <w:p>
            <w:pPr>
              <w:spacing w:after="0"/>
              <w:rPr>
                <w:sz w:val="20"/>
                <w:szCs w:val="20"/>
                <w:color w:val="auto"/>
              </w:rPr>
            </w:pPr>
            <w:r>
              <w:rPr>
                <w:rFonts w:ascii="Courier New" w:cs="Courier New" w:eastAsia="Courier New" w:hAnsi="Courier New"/>
                <w:sz w:val="17"/>
                <w:szCs w:val="17"/>
                <w:color w:val="auto"/>
              </w:rPr>
              <w:t>Statements of operations data:</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Revenues.............................</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$170,123,000</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$139,534,000</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$119,453,000</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$ 94,790,000</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$101,433,000</w:t>
            </w:r>
          </w:p>
        </w:tc>
      </w:tr>
      <w:tr>
        <w:trPr>
          <w:trHeight w:val="196"/>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Earnings from continuing</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operations.........................</w:t>
            </w:r>
          </w:p>
        </w:tc>
        <w:tc>
          <w:tcPr>
            <w:tcW w:w="3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10,758,000</w:t>
            </w:r>
          </w:p>
        </w:tc>
        <w:tc>
          <w:tcPr>
            <w:tcW w:w="2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7,080,000</w:t>
            </w:r>
          </w:p>
        </w:tc>
        <w:tc>
          <w:tcPr>
            <w:tcW w:w="2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4,559,000</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3,555,000</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7,961,000</w:t>
            </w:r>
          </w:p>
        </w:tc>
      </w:tr>
      <w:tr>
        <w:trPr>
          <w:trHeight w:val="196"/>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Earnings (loss) from discontinued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operations (net of tax)............</w:t>
            </w:r>
          </w:p>
        </w:tc>
        <w:tc>
          <w:tcPr>
            <w:tcW w:w="3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(5,998,000)</w:t>
            </w:r>
          </w:p>
        </w:tc>
        <w:tc>
          <w:tcPr>
            <w:tcW w:w="260" w:type="dxa"/>
            <w:vAlign w:val="bottom"/>
          </w:tcPr>
          <w:p>
            <w:pPr>
              <w:spacing w:after="0"/>
              <w:rPr>
                <w:sz w:val="17"/>
                <w:szCs w:val="17"/>
                <w:color w:val="auto"/>
              </w:rPr>
            </w:pP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(1,382,000)</w:t>
            </w:r>
          </w:p>
        </w:tc>
        <w:tc>
          <w:tcPr>
            <w:tcW w:w="2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(164,000)</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964,000</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448,000</w:t>
            </w:r>
          </w:p>
        </w:tc>
      </w:tr>
      <w:tr>
        <w:trPr>
          <w:trHeight w:val="196"/>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change in</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accounting principles (net of</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tax)...............................</w:t>
            </w:r>
          </w:p>
        </w:tc>
        <w:tc>
          <w:tcPr>
            <w:tcW w:w="3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(1,588,000)</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8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3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4,760,000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5,698,000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4,395,000</w:t>
            </w:r>
          </w:p>
        </w:tc>
        <w:tc>
          <w:tcPr>
            <w:tcW w:w="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2,931,000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8,409,000</w:t>
            </w:r>
          </w:p>
        </w:tc>
      </w:tr>
      <w:tr>
        <w:trPr>
          <w:trHeight w:val="196"/>
        </w:trPr>
        <w:tc>
          <w:tcPr>
            <w:tcW w:w="408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80" w:type="dxa"/>
            <w:vAlign w:val="bottom"/>
          </w:tcPr>
          <w:p>
            <w:pPr>
              <w:spacing w:after="0"/>
              <w:rPr>
                <w:sz w:val="20"/>
                <w:szCs w:val="20"/>
                <w:color w:val="auto"/>
              </w:rPr>
            </w:pPr>
            <w:r>
              <w:rPr>
                <w:rFonts w:ascii="Courier New" w:cs="Courier New" w:eastAsia="Courier New" w:hAnsi="Courier New"/>
                <w:sz w:val="17"/>
                <w:szCs w:val="17"/>
                <w:color w:val="auto"/>
              </w:rPr>
              <w:t>Net earnings per common and common</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equivalent share:</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Continuing operations................</w:t>
            </w:r>
          </w:p>
        </w:tc>
        <w:tc>
          <w:tcPr>
            <w:tcW w:w="3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.43</w:t>
            </w:r>
          </w:p>
        </w:tc>
        <w:tc>
          <w:tcPr>
            <w:tcW w:w="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.77</w:t>
            </w: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Discontinued operations..............</w:t>
            </w:r>
          </w:p>
        </w:tc>
        <w:tc>
          <w:tcPr>
            <w:tcW w:w="32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w:t>
            </w:r>
          </w:p>
        </w:tc>
        <w:tc>
          <w:tcPr>
            <w:tcW w:w="260" w:type="dxa"/>
            <w:vAlign w:val="bottom"/>
          </w:tcPr>
          <w:p>
            <w:pPr>
              <w:spacing w:after="0"/>
              <w:rPr>
                <w:sz w:val="17"/>
                <w:szCs w:val="17"/>
                <w:color w:val="auto"/>
              </w:rPr>
            </w:pP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w:t>
            </w:r>
          </w:p>
        </w:tc>
        <w:tc>
          <w:tcPr>
            <w:tcW w:w="2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(.01)</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.09</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.04</w:t>
            </w:r>
          </w:p>
        </w:tc>
      </w:tr>
      <w:tr>
        <w:trPr>
          <w:trHeight w:val="196"/>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change in</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accounting principles..............</w:t>
            </w:r>
          </w:p>
        </w:tc>
        <w:tc>
          <w:tcPr>
            <w:tcW w:w="3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8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Net earnings per common and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common equivalent share......</w:t>
            </w:r>
          </w:p>
        </w:tc>
        <w:tc>
          <w:tcPr>
            <w:tcW w:w="3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w:t>
            </w:r>
          </w:p>
        </w:tc>
        <w:tc>
          <w:tcPr>
            <w:tcW w:w="3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r>
        <w:trPr>
          <w:trHeight w:val="196"/>
        </w:trPr>
        <w:tc>
          <w:tcPr>
            <w:tcW w:w="408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Weighted average shares outstanding....</w:t>
            </w:r>
          </w:p>
        </w:tc>
        <w:tc>
          <w:tcPr>
            <w:tcW w:w="3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10,764,656</w:t>
            </w:r>
          </w:p>
        </w:tc>
        <w:tc>
          <w:tcPr>
            <w:tcW w:w="2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10,611,331</w:t>
            </w:r>
          </w:p>
        </w:tc>
        <w:tc>
          <w:tcPr>
            <w:tcW w:w="2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10,509,371</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10,478,632</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10,425,382</w:t>
            </w:r>
          </w:p>
        </w:tc>
      </w:tr>
      <w:tr>
        <w:trPr>
          <w:trHeight w:val="196"/>
        </w:trPr>
        <w:tc>
          <w:tcPr>
            <w:tcW w:w="408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Working capital......................</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$ 46,505,000</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$ 32,642,000</w:t>
            </w:r>
          </w:p>
        </w:tc>
        <w:tc>
          <w:tcPr>
            <w:tcW w:w="15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$ 30,351,000</w:t>
            </w:r>
          </w:p>
        </w:tc>
        <w:tc>
          <w:tcPr>
            <w:tcW w:w="15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$ 33,153,000</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$ 27,057,000</w:t>
            </w: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assets.........................</w:t>
            </w:r>
          </w:p>
        </w:tc>
        <w:tc>
          <w:tcPr>
            <w:tcW w:w="3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99,523,000</w:t>
            </w:r>
          </w:p>
        </w:tc>
        <w:tc>
          <w:tcPr>
            <w:tcW w:w="2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90,534,000</w:t>
            </w:r>
          </w:p>
        </w:tc>
        <w:tc>
          <w:tcPr>
            <w:tcW w:w="2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84,327,000</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76,114,000</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74,495,000</w:t>
            </w: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Long-term debt.......................</w:t>
            </w:r>
          </w:p>
        </w:tc>
        <w:tc>
          <w:tcPr>
            <w:tcW w:w="3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3,750,000</w:t>
            </w:r>
          </w:p>
        </w:tc>
        <w:tc>
          <w:tcPr>
            <w:tcW w:w="2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6,563,000</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9,375,000</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12,188,000</w:t>
            </w:r>
          </w:p>
        </w:tc>
      </w:tr>
      <w:tr>
        <w:trPr>
          <w:trHeight w:val="196"/>
        </w:trPr>
        <w:tc>
          <w:tcPr>
            <w:tcW w:w="4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Stockholders' equity.................</w:t>
            </w:r>
          </w:p>
        </w:tc>
        <w:tc>
          <w:tcPr>
            <w:tcW w:w="32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63,225,000</w:t>
            </w:r>
          </w:p>
        </w:tc>
        <w:tc>
          <w:tcPr>
            <w:tcW w:w="260" w:type="dxa"/>
            <w:vAlign w:val="bottom"/>
          </w:tcPr>
          <w:p>
            <w:pPr>
              <w:spacing w:after="0"/>
              <w:rPr>
                <w:sz w:val="17"/>
                <w:szCs w:val="17"/>
                <w:color w:val="auto"/>
              </w:rPr>
            </w:pPr>
          </w:p>
        </w:tc>
        <w:tc>
          <w:tcPr>
            <w:tcW w:w="12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57,657,000</w:t>
            </w:r>
          </w:p>
        </w:tc>
        <w:tc>
          <w:tcPr>
            <w:tcW w:w="260" w:type="dxa"/>
            <w:vAlign w:val="bottom"/>
          </w:tcPr>
          <w:p>
            <w:pPr>
              <w:spacing w:after="0"/>
              <w:rPr>
                <w:sz w:val="17"/>
                <w:szCs w:val="17"/>
                <w:color w:val="auto"/>
              </w:rPr>
            </w:pPr>
          </w:p>
        </w:tc>
        <w:tc>
          <w:tcPr>
            <w:tcW w:w="12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51,656,000</w:t>
            </w:r>
          </w:p>
        </w:tc>
        <w:tc>
          <w:tcPr>
            <w:tcW w:w="30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46,631,000</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43,159,000</w:t>
            </w:r>
          </w:p>
        </w:tc>
      </w:tr>
    </w:tbl>
    <w:p>
      <w:pPr>
        <w:spacing w:after="0" w:line="397" w:lineRule="exact"/>
        <w:rPr>
          <w:sz w:val="20"/>
          <w:szCs w:val="20"/>
          <w:color w:val="auto"/>
        </w:rPr>
      </w:pPr>
    </w:p>
    <w:p>
      <w:pPr>
        <w:ind w:right="3460"/>
        <w:spacing w:after="0" w:line="243"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99" w:lineRule="exact"/>
        <w:rPr>
          <w:sz w:val="20"/>
          <w:szCs w:val="20"/>
          <w:color w:val="auto"/>
        </w:rPr>
      </w:pPr>
    </w:p>
    <w:p>
      <w:pPr>
        <w:ind w:right="4580" w:firstLine="510"/>
        <w:spacing w:after="0" w:line="243" w:lineRule="auto"/>
        <w:rPr>
          <w:sz w:val="20"/>
          <w:szCs w:val="20"/>
          <w:color w:val="auto"/>
        </w:rPr>
      </w:pPr>
      <w:r>
        <w:rPr>
          <w:rFonts w:ascii="Courier New" w:cs="Courier New" w:eastAsia="Courier New" w:hAnsi="Courier New"/>
          <w:sz w:val="17"/>
          <w:szCs w:val="17"/>
          <w:color w:val="auto"/>
        </w:rPr>
        <w:t>The following discussion should be read in conjunction with the consolidated financial statements.</w:t>
      </w:r>
    </w:p>
    <w:p>
      <w:pPr>
        <w:spacing w:after="0" w:line="199" w:lineRule="exact"/>
        <w:rPr>
          <w:sz w:val="20"/>
          <w:szCs w:val="20"/>
          <w:color w:val="auto"/>
        </w:rPr>
      </w:pPr>
    </w:p>
    <w:p>
      <w:pPr>
        <w:ind w:right="3360" w:firstLine="510"/>
        <w:spacing w:after="0" w:line="244" w:lineRule="auto"/>
        <w:rPr>
          <w:sz w:val="20"/>
          <w:szCs w:val="20"/>
          <w:color w:val="auto"/>
        </w:rPr>
      </w:pPr>
      <w:r>
        <w:rPr>
          <w:rFonts w:ascii="Courier New" w:cs="Courier New" w:eastAsia="Courier New" w:hAnsi="Courier New"/>
          <w:sz w:val="17"/>
          <w:szCs w:val="17"/>
          <w:color w:val="auto"/>
        </w:rPr>
        <w:t>Any forward-looking statements made by or on behalf of the Company are made pursuant to the safe harbor provisions of the Private Securities Litigation Reform Act of 1995. Readers are cautioned that such forward-looking statements involve risks and uncertainty in that actual results may differ materially from those projected in the forward-looking statements. These risks and uncertainties include, without limitation, the following:</w:t>
      </w:r>
    </w:p>
    <w:p>
      <w:pPr>
        <w:spacing w:after="0" w:line="199" w:lineRule="exact"/>
        <w:rPr>
          <w:sz w:val="20"/>
          <w:szCs w:val="20"/>
          <w:color w:val="auto"/>
        </w:rPr>
      </w:pPr>
    </w:p>
    <w:p>
      <w:pPr>
        <w:ind w:left="720" w:right="3360" w:hanging="205"/>
        <w:spacing w:after="0" w:line="243" w:lineRule="auto"/>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Difficulties in scheduling which could arise from the inability to obtain materials or components in sufficient quantities as needed for the Company's manufacturing and assembly operations,</w:t>
      </w:r>
    </w:p>
    <w:p>
      <w:pPr>
        <w:spacing w:after="0" w:line="199" w:lineRule="exact"/>
        <w:rPr>
          <w:rFonts w:ascii="Courier New" w:cs="Courier New" w:eastAsia="Courier New" w:hAnsi="Courier New"/>
          <w:sz w:val="17"/>
          <w:szCs w:val="17"/>
          <w:color w:val="auto"/>
        </w:rPr>
      </w:pPr>
    </w:p>
    <w:p>
      <w:pPr>
        <w:ind w:left="720" w:right="3660" w:hanging="205"/>
        <w:spacing w:after="0" w:line="243" w:lineRule="auto"/>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Difficulties in scheduling which could arise from significant customer directed shipment delay,</w:t>
      </w:r>
    </w:p>
    <w:p>
      <w:pPr>
        <w:spacing w:after="0" w:line="197" w:lineRule="exact"/>
        <w:rPr>
          <w:rFonts w:ascii="Courier New" w:cs="Courier New" w:eastAsia="Courier New" w:hAnsi="Courier New"/>
          <w:sz w:val="17"/>
          <w:szCs w:val="17"/>
          <w:color w:val="auto"/>
        </w:rPr>
      </w:pPr>
    </w:p>
    <w:p>
      <w:pPr>
        <w:ind w:left="720" w:hanging="205"/>
        <w:spacing w:after="0"/>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Significant decrease in the Company's backlog,</w:t>
      </w:r>
    </w:p>
    <w:p>
      <w:pPr>
        <w:spacing w:after="0" w:line="200" w:lineRule="exact"/>
        <w:rPr>
          <w:rFonts w:ascii="Courier New" w:cs="Courier New" w:eastAsia="Courier New" w:hAnsi="Courier New"/>
          <w:sz w:val="17"/>
          <w:szCs w:val="17"/>
          <w:color w:val="auto"/>
        </w:rPr>
      </w:pPr>
    </w:p>
    <w:p>
      <w:pPr>
        <w:ind w:left="720" w:right="3960" w:hanging="205"/>
        <w:spacing w:after="0" w:line="243" w:lineRule="auto"/>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Unforeseen political or economic problems in countries to which the Company exports its products,</w:t>
      </w:r>
    </w:p>
    <w:p>
      <w:pPr>
        <w:spacing w:after="0" w:line="197" w:lineRule="exact"/>
        <w:rPr>
          <w:rFonts w:ascii="Courier New" w:cs="Courier New" w:eastAsia="Courier New" w:hAnsi="Courier New"/>
          <w:sz w:val="17"/>
          <w:szCs w:val="17"/>
          <w:color w:val="auto"/>
        </w:rPr>
      </w:pPr>
    </w:p>
    <w:p>
      <w:pPr>
        <w:ind w:left="720" w:hanging="205"/>
        <w:spacing w:after="0"/>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Unforeseen material employee relations problems,</w:t>
      </w:r>
    </w:p>
    <w:p>
      <w:pPr>
        <w:spacing w:after="0" w:line="200" w:lineRule="exact"/>
        <w:rPr>
          <w:rFonts w:ascii="Courier New" w:cs="Courier New" w:eastAsia="Courier New" w:hAnsi="Courier New"/>
          <w:sz w:val="17"/>
          <w:szCs w:val="17"/>
          <w:color w:val="auto"/>
        </w:rPr>
      </w:pPr>
    </w:p>
    <w:p>
      <w:pPr>
        <w:ind w:left="720" w:right="3360" w:hanging="205"/>
        <w:spacing w:after="0" w:line="243" w:lineRule="auto"/>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Problems in the quality, the design, the production methods or pricing of its products,</w:t>
      </w:r>
    </w:p>
    <w:p>
      <w:pPr>
        <w:spacing w:after="0" w:line="197" w:lineRule="exact"/>
        <w:rPr>
          <w:rFonts w:ascii="Courier New" w:cs="Courier New" w:eastAsia="Courier New" w:hAnsi="Courier New"/>
          <w:sz w:val="17"/>
          <w:szCs w:val="17"/>
          <w:color w:val="auto"/>
        </w:rPr>
      </w:pPr>
    </w:p>
    <w:p>
      <w:pPr>
        <w:ind w:left="720" w:hanging="205"/>
        <w:spacing w:after="0"/>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Unfavorable material litigation or claims made against the Company, and</w:t>
      </w:r>
    </w:p>
    <w:p>
      <w:pPr>
        <w:spacing w:after="0" w:line="199" w:lineRule="exact"/>
        <w:rPr>
          <w:rFonts w:ascii="Courier New" w:cs="Courier New" w:eastAsia="Courier New" w:hAnsi="Courier New"/>
          <w:sz w:val="17"/>
          <w:szCs w:val="17"/>
          <w:color w:val="auto"/>
        </w:rPr>
      </w:pPr>
    </w:p>
    <w:p>
      <w:pPr>
        <w:ind w:left="720" w:hanging="205"/>
        <w:spacing w:after="0"/>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general market conditions, competition and pricing.</w:t>
      </w:r>
    </w:p>
    <w:p>
      <w:pPr>
        <w:sectPr>
          <w:pgSz w:w="11900" w:h="16838" w:orient="portrait"/>
          <w:cols w:equalWidth="0" w:num="1">
            <w:col w:w="11520"/>
          </w:cols>
          <w:pgMar w:left="240" w:top="311" w:right="139" w:bottom="0" w:gutter="0" w:footer="0" w:header="0"/>
        </w:sectPr>
      </w:pPr>
    </w:p>
    <w:p>
      <w:pPr>
        <w:spacing w:after="0" w:line="201"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311" w:right="139" w:bottom="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following table sets forth, as a percentage of revenues, certain items from the Consolidated Statements of Operations.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560" w:type="dxa"/>
            <w:vAlign w:val="bottom"/>
            <w:gridSpan w:val="3"/>
          </w:tcPr>
          <w:p>
            <w:pPr>
              <w:ind w:left="120"/>
              <w:spacing w:after="0"/>
              <w:rPr>
                <w:sz w:val="20"/>
                <w:szCs w:val="20"/>
                <w:color w:val="auto"/>
              </w:rPr>
            </w:pPr>
            <w:r>
              <w:rPr>
                <w:rFonts w:ascii="Courier New" w:cs="Courier New" w:eastAsia="Courier New" w:hAnsi="Courier New"/>
                <w:sz w:val="17"/>
                <w:szCs w:val="17"/>
                <w:color w:val="auto"/>
              </w:rPr>
              <w:t>YEARS ENDED OCTOBER 31,</w:t>
            </w:r>
          </w:p>
        </w:tc>
      </w:tr>
      <w:tr>
        <w:trPr>
          <w:trHeight w:val="196"/>
        </w:trPr>
        <w:tc>
          <w:tcPr>
            <w:tcW w:w="6220" w:type="dxa"/>
            <w:vAlign w:val="bottom"/>
          </w:tcPr>
          <w:p>
            <w:pPr>
              <w:spacing w:after="0"/>
              <w:rPr>
                <w:sz w:val="17"/>
                <w:szCs w:val="17"/>
                <w:color w:val="auto"/>
              </w:rPr>
            </w:pPr>
          </w:p>
        </w:tc>
        <w:tc>
          <w:tcPr>
            <w:tcW w:w="256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1995</w:t>
            </w:r>
          </w:p>
        </w:tc>
        <w:tc>
          <w:tcPr>
            <w:tcW w:w="7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22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100.0%</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25.3</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22.2</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22.3</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15.8</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14.5</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16.3</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Interest, net...............................................</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Earnings from continuing operations.........................</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6.3</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5.1</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Losses from discontinued operations.........................</w:t>
            </w: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(3.5)</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Net earnings................................................</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2.8</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 reported revenues of $170,123,000, $139,534,000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$119,453,000 in fiscal years 1996, 1995 and 1994 respectively. Revenues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increased 22% in fiscal year 1996 as compared to fiscal year 1995 due primarily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increased volume of shipments of electrical distribution equipment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export customers. Revenues increased 17% in fiscal year 1995 as compared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year 1994 due primarily to the improvement in revenues of electrical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distribution equipment to domestic transit customers.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Export revenues continued to be an important component of the Company's operations accounting for 38%, 28% and 34% of consolidated revenues in fiscal years 1996, 1995 and 1994, respectively. A schedule is provided in Note H of the Notes to Consolidated Financial Statements showing in which geographic area these sales were made. Management anticipates that consolidated revenues will increase in fiscal 1997 and that export revenues will continue to contribute approximately 35% to 40% to consolidated revenues.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GROSS PROFIT</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Gross profit, as a percentage of revenues, was 25.3%, 22.2% and 22.3% in fiscal years 1996, 1995 and 1994, respectively. Gross profit improved in fiscal year 1996 from fiscal year 1995 due to improved prices, higher volumes and higher margin contracts and services resulting primarily from a more favorable economy in most of the markets in which the Company competes. Gross profit varied only slightly from fiscal year 1995 to fiscal year 1994 due to changes in product mix. The Company continues to focus on productivity improvements to respond to the competitive market it serves.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Selling, general and administrative expenses as a percentage of revenues were 15.8%, 14.5% and 16.3% for fiscal years 1996, 1995 and 1994, respectively. The increase in fiscal year 1996, as a percentage of revenues is due to higher marketing, incentives and commissions expenses. The decrease in fiscal year 1995 as a percentage of revenues, is due to a higher revenue volume without a corresponding increase in costs.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NET</w:t>
      </w:r>
    </w:p>
    <w:p>
      <w:pPr>
        <w:spacing w:after="0" w:line="201"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Interest expense (net of interest income) is lower in fiscal years 1996 and 1995 primarily due to a reduction in total debt.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 PROVISION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effective tax rate on earnings from continuing operations before income taxes was 33%, 30% and 29% for fiscal years 1996, 1995 and 1994, respectively. The effective tax rates are lower than the statutory rate due primarily to foreign sales corporation credits.</w:t>
      </w:r>
    </w:p>
    <w:p>
      <w:pPr>
        <w:sectPr>
          <w:pgSz w:w="11900" w:h="16838" w:orient="portrait"/>
          <w:cols w:equalWidth="0" w:num="1">
            <w:col w:w="10219"/>
          </w:cols>
          <w:pgMar w:left="240" w:top="311" w:right="1440" w:bottom="1440" w:gutter="0" w:footer="0" w:header="0"/>
        </w:sectPr>
      </w:pPr>
    </w:p>
    <w:p>
      <w:pPr>
        <w:spacing w:after="0" w:line="198"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1"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FROM CONTINUING OPERATIONS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Earnings from continuing operations recorded in fiscal year 1996 were $10,758,000 or $1.00 per share. This represented a 52.0% percent increase in earnings when compared to fiscal year 1995 earnings. The increase was primarily due to the factors discussed above. Earnings from continuing operations recorded in fiscal year 1995 were $7,080,000 or $.67 per share, an increase of 55.3% compared to net earnings in fiscal year 1994.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DISCONTINUED OPERATIONS</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See Note L to Notes to Consolidated Financial Statements for discussion of the operations that were discontinued in fiscal year 1996.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EARNINGS</w:t>
      </w:r>
    </w:p>
    <w:p>
      <w:pPr>
        <w:spacing w:after="0" w:line="201" w:lineRule="exact"/>
        <w:rPr>
          <w:sz w:val="20"/>
          <w:szCs w:val="20"/>
          <w:color w:val="auto"/>
        </w:rPr>
      </w:pPr>
    </w:p>
    <w:p>
      <w:pPr>
        <w:jc w:val="both"/>
        <w:ind w:right="2059" w:firstLine="510"/>
        <w:spacing w:after="0" w:line="244" w:lineRule="auto"/>
        <w:rPr>
          <w:sz w:val="20"/>
          <w:szCs w:val="20"/>
          <w:color w:val="auto"/>
        </w:rPr>
      </w:pPr>
      <w:r>
        <w:rPr>
          <w:rFonts w:ascii="Courier New" w:cs="Courier New" w:eastAsia="Courier New" w:hAnsi="Courier New"/>
          <w:sz w:val="17"/>
          <w:szCs w:val="17"/>
          <w:color w:val="auto"/>
        </w:rPr>
        <w:t>Net earnings were $4,760,000 or $.44 per share in fiscal year 1996 compared to $5,698,000 or $.54 per share and $4,395,000 or $.42 per share in fiscal year 1995 and 1994, respectively. The losses from discontinued operations, explained in the previous paragraph, resulted in lower net earnings in fiscal year 1996 as compared to fiscal year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October 1995, the Company entered into a $15,000,000 revolving line of credit agreement with a major domestic bank. As of October 31, 1996, the Company did not have borrowings outstanding under this revolving line of credit. The Company's ability to satisfy its cash requirements is evaluated by analyzing key measures of liquidity applicable to the Company. The following table is a summary of the measures which are significant to management.</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w:t>
            </w:r>
          </w:p>
        </w:tc>
        <w:tc>
          <w:tcPr>
            <w:tcW w:w="360" w:type="dxa"/>
            <w:vAlign w:val="bottom"/>
          </w:tcPr>
          <w:p>
            <w:pPr>
              <w:spacing w:after="0"/>
              <w:rPr>
                <w:sz w:val="17"/>
                <w:szCs w:val="17"/>
                <w:color w:val="auto"/>
              </w:rPr>
            </w:pPr>
          </w:p>
        </w:tc>
        <w:tc>
          <w:tcPr>
            <w:tcW w:w="1540" w:type="dxa"/>
            <w:vAlign w:val="bottom"/>
            <w:gridSpan w:val="3"/>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600" w:type="dxa"/>
            <w:vAlign w:val="bottom"/>
          </w:tcPr>
          <w:p>
            <w:pPr>
              <w:spacing w:after="0"/>
              <w:rPr>
                <w:sz w:val="20"/>
                <w:szCs w:val="20"/>
                <w:color w:val="auto"/>
              </w:rPr>
            </w:pPr>
            <w:r>
              <w:rPr>
                <w:rFonts w:ascii="Courier New" w:cs="Courier New" w:eastAsia="Courier New" w:hAnsi="Courier New"/>
                <w:sz w:val="17"/>
                <w:szCs w:val="17"/>
                <w:color w:val="auto"/>
              </w:rPr>
              <w:t>Working capital.............................</w:t>
            </w:r>
          </w:p>
        </w:tc>
        <w:tc>
          <w:tcPr>
            <w:tcW w:w="1420" w:type="dxa"/>
            <w:vAlign w:val="bottom"/>
            <w:gridSpan w:val="3"/>
          </w:tcPr>
          <w:p>
            <w:pPr>
              <w:jc w:val="right"/>
              <w:ind w:right="115"/>
              <w:spacing w:after="0"/>
              <w:rPr>
                <w:sz w:val="20"/>
                <w:szCs w:val="20"/>
                <w:color w:val="auto"/>
              </w:rPr>
            </w:pPr>
            <w:r>
              <w:rPr>
                <w:rFonts w:ascii="Courier New" w:cs="Courier New" w:eastAsia="Courier New" w:hAnsi="Courier New"/>
                <w:sz w:val="17"/>
                <w:szCs w:val="17"/>
                <w:color w:val="auto"/>
              </w:rPr>
              <w:t>$46,505,000</w:t>
            </w:r>
          </w:p>
        </w:tc>
        <w:tc>
          <w:tcPr>
            <w:tcW w:w="1540" w:type="dxa"/>
            <w:vAlign w:val="bottom"/>
            <w:gridSpan w:val="3"/>
          </w:tcPr>
          <w:p>
            <w:pPr>
              <w:jc w:val="right"/>
              <w:ind w:right="115"/>
              <w:spacing w:after="0"/>
              <w:rPr>
                <w:sz w:val="20"/>
                <w:szCs w:val="20"/>
                <w:color w:val="auto"/>
              </w:rPr>
            </w:pPr>
            <w:r>
              <w:rPr>
                <w:rFonts w:ascii="Courier New" w:cs="Courier New" w:eastAsia="Courier New" w:hAnsi="Courier New"/>
                <w:sz w:val="17"/>
                <w:szCs w:val="17"/>
                <w:color w:val="auto"/>
              </w:rPr>
              <w:t>$32,642,000</w:t>
            </w:r>
          </w:p>
        </w:tc>
        <w:tc>
          <w:tcPr>
            <w:tcW w:w="13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$30,351,000</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Current ratio...............................</w:t>
            </w:r>
          </w:p>
        </w:tc>
        <w:tc>
          <w:tcPr>
            <w:tcW w:w="8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2.42</w:t>
            </w:r>
          </w:p>
        </w:tc>
        <w:tc>
          <w:tcPr>
            <w:tcW w:w="240" w:type="dxa"/>
            <w:vAlign w:val="bottom"/>
          </w:tcPr>
          <w:p>
            <w:pPr>
              <w:spacing w:after="0"/>
              <w:rPr>
                <w:sz w:val="20"/>
                <w:szCs w:val="20"/>
                <w:color w:val="auto"/>
              </w:rPr>
            </w:pPr>
            <w:r>
              <w:rPr>
                <w:rFonts w:ascii="Courier New" w:cs="Courier New" w:eastAsia="Courier New" w:hAnsi="Courier New"/>
                <w:sz w:val="17"/>
                <w:szCs w:val="17"/>
                <w:color w:val="auto"/>
              </w:rPr>
              <w:t>to</w:t>
            </w:r>
          </w:p>
        </w:tc>
        <w:tc>
          <w:tcPr>
            <w:tcW w:w="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2.30</w:t>
            </w:r>
          </w:p>
        </w:tc>
        <w:tc>
          <w:tcPr>
            <w:tcW w:w="260" w:type="dxa"/>
            <w:vAlign w:val="bottom"/>
          </w:tcPr>
          <w:p>
            <w:pPr>
              <w:spacing w:after="0"/>
              <w:rPr>
                <w:sz w:val="20"/>
                <w:szCs w:val="20"/>
                <w:color w:val="auto"/>
              </w:rPr>
            </w:pPr>
            <w:r>
              <w:rPr>
                <w:rFonts w:ascii="Courier New" w:cs="Courier New" w:eastAsia="Courier New" w:hAnsi="Courier New"/>
                <w:sz w:val="17"/>
                <w:szCs w:val="17"/>
                <w:color w:val="auto"/>
              </w:rPr>
              <w:t>to</w:t>
            </w:r>
          </w:p>
        </w:tc>
        <w:tc>
          <w:tcPr>
            <w:tcW w:w="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2.39</w:t>
            </w:r>
          </w:p>
        </w:tc>
        <w:tc>
          <w:tcPr>
            <w:tcW w:w="240" w:type="dxa"/>
            <w:vAlign w:val="bottom"/>
          </w:tcPr>
          <w:p>
            <w:pPr>
              <w:spacing w:after="0"/>
              <w:rPr>
                <w:sz w:val="20"/>
                <w:szCs w:val="20"/>
                <w:color w:val="auto"/>
              </w:rPr>
            </w:pPr>
            <w:r>
              <w:rPr>
                <w:rFonts w:ascii="Courier New" w:cs="Courier New" w:eastAsia="Courier New" w:hAnsi="Courier New"/>
                <w:sz w:val="17"/>
                <w:szCs w:val="17"/>
                <w:color w:val="auto"/>
              </w:rPr>
              <w:t>to</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196"/>
        </w:trPr>
        <w:tc>
          <w:tcPr>
            <w:tcW w:w="4600" w:type="dxa"/>
            <w:vAlign w:val="bottom"/>
          </w:tcPr>
          <w:p>
            <w:pPr>
              <w:spacing w:after="0"/>
              <w:rPr>
                <w:sz w:val="20"/>
                <w:szCs w:val="20"/>
                <w:color w:val="auto"/>
              </w:rPr>
            </w:pPr>
            <w:r>
              <w:rPr>
                <w:rFonts w:ascii="Courier New" w:cs="Courier New" w:eastAsia="Courier New" w:hAnsi="Courier New"/>
                <w:sz w:val="17"/>
                <w:szCs w:val="17"/>
                <w:color w:val="auto"/>
              </w:rPr>
              <w:t>Debt to total capitalization................</w:t>
            </w:r>
          </w:p>
        </w:tc>
        <w:tc>
          <w:tcPr>
            <w:tcW w:w="8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w:t>
            </w:r>
          </w:p>
        </w:tc>
        <w:tc>
          <w:tcPr>
            <w:tcW w:w="240" w:type="dxa"/>
            <w:vAlign w:val="bottom"/>
          </w:tcPr>
          <w:p>
            <w:pPr>
              <w:spacing w:after="0"/>
              <w:rPr>
                <w:sz w:val="20"/>
                <w:szCs w:val="20"/>
                <w:color w:val="auto"/>
              </w:rPr>
            </w:pPr>
            <w:r>
              <w:rPr>
                <w:rFonts w:ascii="Courier New" w:cs="Courier New" w:eastAsia="Courier New" w:hAnsi="Courier New"/>
                <w:sz w:val="17"/>
                <w:szCs w:val="17"/>
                <w:color w:val="auto"/>
              </w:rPr>
              <w:t>to</w:t>
            </w:r>
          </w:p>
        </w:tc>
        <w:tc>
          <w:tcPr>
            <w:tcW w:w="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w:t>
            </w:r>
          </w:p>
        </w:tc>
        <w:tc>
          <w:tcPr>
            <w:tcW w:w="260" w:type="dxa"/>
            <w:vAlign w:val="bottom"/>
          </w:tcPr>
          <w:p>
            <w:pPr>
              <w:spacing w:after="0"/>
              <w:rPr>
                <w:sz w:val="20"/>
                <w:szCs w:val="20"/>
                <w:color w:val="auto"/>
              </w:rPr>
            </w:pPr>
            <w:r>
              <w:rPr>
                <w:rFonts w:ascii="Courier New" w:cs="Courier New" w:eastAsia="Courier New" w:hAnsi="Courier New"/>
                <w:sz w:val="17"/>
                <w:szCs w:val="17"/>
                <w:color w:val="auto"/>
              </w:rPr>
              <w:t>to</w:t>
            </w:r>
          </w:p>
        </w:tc>
        <w:tc>
          <w:tcPr>
            <w:tcW w:w="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240" w:type="dxa"/>
            <w:vAlign w:val="bottom"/>
          </w:tcPr>
          <w:p>
            <w:pPr>
              <w:spacing w:after="0"/>
              <w:rPr>
                <w:sz w:val="20"/>
                <w:szCs w:val="20"/>
                <w:color w:val="auto"/>
              </w:rPr>
            </w:pPr>
            <w:r>
              <w:rPr>
                <w:rFonts w:ascii="Courier New" w:cs="Courier New" w:eastAsia="Courier New" w:hAnsi="Courier New"/>
                <w:sz w:val="17"/>
                <w:szCs w:val="17"/>
                <w:color w:val="auto"/>
              </w:rPr>
              <w:t>to</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397"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Management believes that the Company continues to maintain a strong liquidity position. The increase in working capital at October 31, 1996, as compared to October 31, 1995, is due mainly to increases in accounts receivable and costs and estimated earnings in excess of billings, partially offset by increases in accrued liabilities.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Capital expenditures totaled $3,349,000 during fiscal year 1996 compared to $3,378,000 during fiscal year 1995. During fiscal year 1996 the Company approved major capital expenditures for future plant expansions at three operating facilities totalling approximately $12,000,000. Management expects the Company's capital expenditures to increase substantially in fiscal year 1997 due to these plant expansions.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Company's fiscal year 1997 asset management program will continue to focus on the collection of receivables and reduction in inventories. Management believes that the cash and cash equivalents of $8,935,000 at October 31, 1996, along with funds generated from operating activities and funds available through borrowings from the credit line will be sufficient to meet the capital requirements and operating needs of the Company.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EFFECTS OF INFLATION AND RECESSION</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During the last three years, the Company has not experienced any significant effects of inflation on its operations. Management continues to evaluate the potential impact inflation could have on future growth and minimize the impact by including escalation clauses in long-term contracts. Recent marketing and financial reports indicate that the current economic conditions should improve slightly in 1997 and the Company does not anticipate significant increases in inflation in the immediate future.</w:t>
      </w:r>
    </w:p>
    <w:p>
      <w:pPr>
        <w:sectPr>
          <w:pgSz w:w="11900" w:h="16838" w:orient="portrait"/>
          <w:cols w:equalWidth="0" w:num="1">
            <w:col w:w="10219"/>
          </w:cols>
          <w:pgMar w:left="240" w:top="311" w:right="1440" w:bottom="1440" w:gutter="0" w:footer="0" w:header="0"/>
        </w:sectPr>
      </w:pP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1"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STANDARDS</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Company is required to adopt SFAS No. 121, "Accounting for the Impairment of Long-Lived Assets and Long-Lived Assets to be Disposed Of" and SFAS No. 123, "Accounting for Stock Based Compensation" during its fiscal year ending October 31, 1997. Adoption of SFAS No. 121 will not have significant effect on the Company's consolidated financial statements. The Company expects to disclose the fair value of options granted in a footnote to its October 31, 1997 consolidated financial statements, as required by SFAS No. 123.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FINANCIAL STATEMENTS AND SUPPLEMENTARY DATA</w:t>
      </w:r>
    </w:p>
    <w:p>
      <w:pPr>
        <w:spacing w:after="0" w:line="200"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INDEX TO CONSOLIDATED FINANCIAL STATEMENTS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6"/>
        </w:trPr>
        <w:tc>
          <w:tcPr>
            <w:tcW w:w="6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Financial Statements:</w:t>
            </w:r>
          </w:p>
        </w:tc>
        <w:tc>
          <w:tcPr>
            <w:tcW w:w="520" w:type="dxa"/>
            <w:vAlign w:val="bottom"/>
          </w:tcPr>
          <w:p>
            <w:pPr>
              <w:spacing w:after="0"/>
              <w:rPr>
                <w:sz w:val="24"/>
                <w:szCs w:val="24"/>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Report of Independent Public Accountants..................</w:t>
            </w:r>
          </w:p>
        </w:tc>
        <w:tc>
          <w:tcPr>
            <w:tcW w:w="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Consolidated Balance Sheets as of October 31, 1996 and</w:t>
            </w:r>
          </w:p>
        </w:tc>
        <w:tc>
          <w:tcPr>
            <w:tcW w:w="520" w:type="dxa"/>
            <w:vAlign w:val="bottom"/>
          </w:tcPr>
          <w:p>
            <w:pPr>
              <w:spacing w:after="0"/>
              <w:rPr>
                <w:sz w:val="17"/>
                <w:szCs w:val="17"/>
                <w:color w:val="auto"/>
              </w:rPr>
            </w:pP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1995...................................................</w:t>
            </w:r>
          </w:p>
        </w:tc>
        <w:tc>
          <w:tcPr>
            <w:tcW w:w="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Consolidated Statements of Operations for the three years</w:t>
            </w:r>
          </w:p>
        </w:tc>
        <w:tc>
          <w:tcPr>
            <w:tcW w:w="520" w:type="dxa"/>
            <w:vAlign w:val="bottom"/>
          </w:tcPr>
          <w:p>
            <w:pPr>
              <w:spacing w:after="0"/>
              <w:rPr>
                <w:sz w:val="17"/>
                <w:szCs w:val="17"/>
                <w:color w:val="auto"/>
              </w:rPr>
            </w:pP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ended October 31, 1996.................................</w:t>
            </w:r>
          </w:p>
        </w:tc>
        <w:tc>
          <w:tcPr>
            <w:tcW w:w="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Consolidated Statements of Stockholders' Equity for the</w:t>
            </w:r>
          </w:p>
        </w:tc>
        <w:tc>
          <w:tcPr>
            <w:tcW w:w="520" w:type="dxa"/>
            <w:vAlign w:val="bottom"/>
          </w:tcPr>
          <w:p>
            <w:pPr>
              <w:spacing w:after="0"/>
              <w:rPr>
                <w:sz w:val="17"/>
                <w:szCs w:val="17"/>
                <w:color w:val="auto"/>
              </w:rPr>
            </w:pP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three years ended October 31, 1996.....................</w:t>
            </w:r>
          </w:p>
        </w:tc>
        <w:tc>
          <w:tcPr>
            <w:tcW w:w="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Consolidated Statements of Cash Flows for the three years</w:t>
            </w:r>
          </w:p>
        </w:tc>
        <w:tc>
          <w:tcPr>
            <w:tcW w:w="520" w:type="dxa"/>
            <w:vAlign w:val="bottom"/>
          </w:tcPr>
          <w:p>
            <w:pPr>
              <w:spacing w:after="0"/>
              <w:rPr>
                <w:sz w:val="17"/>
                <w:szCs w:val="17"/>
                <w:color w:val="auto"/>
              </w:rPr>
            </w:pP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ended October 31, 1996.................................</w:t>
            </w:r>
          </w:p>
        </w:tc>
        <w:tc>
          <w:tcPr>
            <w:tcW w:w="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5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w:t>
            </w:r>
          </w:p>
        </w:tc>
      </w:tr>
    </w:tbl>
    <w:p>
      <w:pPr>
        <w:spacing w:after="0" w:line="397"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ITEM 9. CHANGE IN AND DISAGREEMENTS WITH ACCOUNTANTS ON ACCOUNTING AND FINANCIAL DISCLOSURE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1"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REPORT OF INDEPENDENT PUBLIC ACCOUNTANTS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Stockholders of Powell Industries, Inc.:</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We have audited the accompanying consolidated balance sheets of Powell Industries, Inc. (a Nevada Corporation) and subsidiaries as of October 31, 1996 and 1995, and the related consolidated statements of operations, stockholders' equity and cash flows for each of the three years in the period ended October 31, 1996. These consolidated financial statements are the responsibility of the Company's management. Our responsibility is to express an opinion on these consolidated financial statements based on our audits.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 our opinion, the consolidated financial statements referred to above present fairly, in all material respects, the financial position of Powell Industries, Inc. and subsidiaries as of October 31, 1996 and 1995, and the results of their operations and their cash flows for each of the three years in the period ended October 31, 1996, in conformity with generally accepted accounting principles.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ARTHUR ANDERSEN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Houston,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 1996</w:t>
      </w:r>
    </w:p>
    <w:p>
      <w:pPr>
        <w:spacing w:after="0" w:line="20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1"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CONSOLIDATED BALANCE SHEETS</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jc w:val="right"/>
              <w:ind w:right="1735"/>
              <w:spacing w:after="0"/>
              <w:rPr>
                <w:sz w:val="20"/>
                <w:szCs w:val="20"/>
                <w:color w:val="auto"/>
              </w:rPr>
            </w:pPr>
            <w:r>
              <w:rPr>
                <w:rFonts w:ascii="Courier New" w:cs="Courier New" w:eastAsia="Courier New" w:hAnsi="Courier New"/>
                <w:sz w:val="17"/>
                <w:szCs w:val="17"/>
                <w:color w:val="auto"/>
              </w:rPr>
              <w:t>ASSETS</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85"/>
        </w:trPr>
        <w:tc>
          <w:tcPr>
            <w:tcW w:w="6220" w:type="dxa"/>
            <w:vAlign w:val="bottom"/>
          </w:tcPr>
          <w:p>
            <w:pPr>
              <w:spacing w:after="0"/>
              <w:rPr>
                <w:sz w:val="24"/>
                <w:szCs w:val="24"/>
                <w:color w:val="auto"/>
              </w:rPr>
            </w:pPr>
          </w:p>
        </w:tc>
        <w:tc>
          <w:tcPr>
            <w:tcW w:w="2040" w:type="dxa"/>
            <w:vAlign w:val="bottom"/>
            <w:gridSpan w:val="2"/>
          </w:tcPr>
          <w:p>
            <w:pPr>
              <w:jc w:val="right"/>
              <w:ind w:right="415"/>
              <w:spacing w:after="0"/>
              <w:rPr>
                <w:sz w:val="20"/>
                <w:szCs w:val="20"/>
                <w:color w:val="auto"/>
              </w:rPr>
            </w:pPr>
            <w:r>
              <w:rPr>
                <w:rFonts w:ascii="Courier New" w:cs="Courier New" w:eastAsia="Courier New" w:hAnsi="Courier New"/>
                <w:sz w:val="17"/>
                <w:szCs w:val="17"/>
                <w:color w:val="auto"/>
              </w:rPr>
              <w:t>OCTOBER 31,</w:t>
            </w:r>
          </w:p>
        </w:tc>
      </w:tr>
      <w:tr>
        <w:trPr>
          <w:trHeight w:val="196"/>
        </w:trPr>
        <w:tc>
          <w:tcPr>
            <w:tcW w:w="6220" w:type="dxa"/>
            <w:vAlign w:val="bottom"/>
          </w:tcPr>
          <w:p>
            <w:pPr>
              <w:spacing w:after="0"/>
              <w:rPr>
                <w:sz w:val="17"/>
                <w:szCs w:val="17"/>
                <w:color w:val="auto"/>
              </w:rPr>
            </w:pPr>
          </w:p>
        </w:tc>
        <w:tc>
          <w:tcPr>
            <w:tcW w:w="20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$ 8,935</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$ 2,796</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less allowance for doubtful accounts</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of $777 and $687, respectively.........................</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37,013</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25,921</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Costs and estimated earnings in excess of billings........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13,934</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11,114</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Inventories...............................................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14,114</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15,062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Deferred income taxes.....................................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2,572</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Income taxes receivable...................................</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876</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718</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1,700</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1,693</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Assets..............................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79,144</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57,806</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Property, plant and equipment, net........................</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14,602</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14,082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Deferred income taxes.....................................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1,164</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1,122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 assets..............................................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4,613</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4,850</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assets of discontinued operations.....................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12,674</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Assets......................................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$99,523</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$90,534</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LIABILITIES AND STOCKHOLDERS' EQUITY:</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Accounts and income taxes payable.........................</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$ 8,543</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$ 8,657</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Accrued salaries, bonuses and commissions.................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5,687</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4,716</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Accrued product warranty..................................</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1,614</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1,375</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Accrued legal expenses....................................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3,903</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773</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 accrued expenses....................................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3,717</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2,723</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Billings in excess of costs and estimated earnings........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5,425</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4,107</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Current maturities of long-term debt......................</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3,750</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2,813</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Liabilities.........................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32,639</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25,164</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Long-term debt, net of current maturities...................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3,750</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Deferred compensation expense...............................</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2,157</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2,006</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Postretirement benefits liability...........................</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1,502</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1,957</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par value $.01; 5,000,000 shares</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220" w:type="dxa"/>
            <w:vAlign w:val="bottom"/>
          </w:tcPr>
          <w:p>
            <w:pPr>
              <w:jc w:val="right"/>
              <w:ind w:right="3275"/>
              <w:spacing w:after="0"/>
              <w:rPr>
                <w:sz w:val="20"/>
                <w:szCs w:val="20"/>
                <w:color w:val="auto"/>
              </w:rPr>
            </w:pPr>
            <w:r>
              <w:rPr>
                <w:rFonts w:ascii="Courier New" w:cs="Courier New" w:eastAsia="Courier New" w:hAnsi="Courier New"/>
                <w:sz w:val="17"/>
                <w:szCs w:val="17"/>
                <w:color w:val="auto"/>
              </w:rPr>
              <w:t>authorized; none issued</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Common stock, par value $.01; 15,000,000 shares</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authorized, 10,604,644 and 10,542,704 shares issued and</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outstanding............................................</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106</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105</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Additional paid-in capital................................</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5,601</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5,062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Retained earnings.........................................</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60,943</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56,183</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Deferred compensation-ESOP................................</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(3,425)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(3,693)</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Stockholders' Equity........................</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63,225</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57,657</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$99,523</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$90,534</w:t>
            </w:r>
          </w:p>
        </w:tc>
      </w:tr>
      <w:tr>
        <w:trPr>
          <w:trHeight w:val="196"/>
        </w:trPr>
        <w:tc>
          <w:tcPr>
            <w:tcW w:w="62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statements.</w:t>
      </w:r>
    </w:p>
    <w:p>
      <w:pPr>
        <w:sectPr>
          <w:pgSz w:w="11900" w:h="16838" w:orient="portrait"/>
          <w:cols w:equalWidth="0" w:num="1">
            <w:col w:w="10219"/>
          </w:cols>
          <w:pgMar w:left="240" w:top="311" w:right="1440"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1"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jc w:val="right"/>
              <w:ind w:right="535"/>
              <w:spacing w:after="0"/>
              <w:rPr>
                <w:sz w:val="20"/>
                <w:szCs w:val="20"/>
                <w:color w:val="auto"/>
              </w:rPr>
            </w:pPr>
            <w:r>
              <w:rPr>
                <w:rFonts w:ascii="Courier New" w:cs="Courier New" w:eastAsia="Courier New" w:hAnsi="Courier New"/>
                <w:sz w:val="17"/>
                <w:szCs w:val="17"/>
                <w:color w:val="auto"/>
              </w:rPr>
              <w:t>YEARS ENDED OCTOBER 31,</w:t>
            </w:r>
          </w:p>
        </w:tc>
      </w:tr>
      <w:tr>
        <w:trPr>
          <w:trHeight w:val="196"/>
        </w:trPr>
        <w:tc>
          <w:tcPr>
            <w:tcW w:w="6220" w:type="dxa"/>
            <w:vAlign w:val="bottom"/>
          </w:tcPr>
          <w:p>
            <w:pPr>
              <w:spacing w:after="0"/>
              <w:rPr>
                <w:sz w:val="17"/>
                <w:szCs w:val="17"/>
                <w:color w:val="auto"/>
              </w:rPr>
            </w:pPr>
          </w:p>
        </w:tc>
        <w:tc>
          <w:tcPr>
            <w:tcW w:w="3480" w:type="dxa"/>
            <w:vAlign w:val="bottom"/>
            <w:gridSpan w:val="6"/>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1995</w:t>
            </w:r>
          </w:p>
        </w:tc>
        <w:tc>
          <w:tcPr>
            <w:tcW w:w="320" w:type="dxa"/>
            <w:vAlign w:val="bottom"/>
          </w:tcPr>
          <w:p>
            <w:pPr>
              <w:spacing w:after="0"/>
              <w:rPr>
                <w:sz w:val="17"/>
                <w:szCs w:val="17"/>
                <w:color w:val="auto"/>
              </w:rPr>
            </w:pPr>
          </w:p>
        </w:tc>
        <w:tc>
          <w:tcPr>
            <w:tcW w:w="7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$170,123</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$139,534</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$119,453</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5"/>
              </w:rPr>
              <w:t>127,075</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108,525</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92,861</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43,048</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31,009</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26,592</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26,928</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20,286</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19,491</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Earnings from continuing operations before interest and</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income taxes .............................................</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16,120</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10,723</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7,101</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Interest, net...............................................</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117</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633</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720</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Earnings from continuing operations before income taxes.....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16,003</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10,090</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6,381</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Income tax provision........................................</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5,245</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3,010</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1,822</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Earnings from continuing operations.........................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10,758</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7,080</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4,559</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Discontinued operations (net of income taxes):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Loss from operations......................................</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(4,860)</w:t>
            </w:r>
          </w:p>
        </w:tc>
        <w:tc>
          <w:tcPr>
            <w:tcW w:w="260" w:type="dxa"/>
            <w:vAlign w:val="bottom"/>
          </w:tcPr>
          <w:p>
            <w:pPr>
              <w:spacing w:after="0"/>
              <w:rPr>
                <w:sz w:val="17"/>
                <w:szCs w:val="17"/>
                <w:color w:val="auto"/>
              </w:rPr>
            </w:pPr>
          </w:p>
        </w:tc>
        <w:tc>
          <w:tcPr>
            <w:tcW w:w="9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(1,382)</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(164)</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Loss on disposal of discontinued operations...............</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(1,138)</w:t>
            </w:r>
          </w:p>
        </w:tc>
        <w:tc>
          <w:tcPr>
            <w:tcW w:w="260" w:type="dxa"/>
            <w:vAlign w:val="bottom"/>
          </w:tcPr>
          <w:p>
            <w:pPr>
              <w:spacing w:after="0"/>
              <w:rPr>
                <w:sz w:val="17"/>
                <w:szCs w:val="17"/>
                <w:color w:val="auto"/>
              </w:rPr>
            </w:pP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Net earnings................................................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4,760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5,698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4,395</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Earnings (loss) per common and common equivalent share: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Continuing operations.....................................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.67</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w:t>
            </w:r>
          </w:p>
        </w:tc>
      </w:tr>
      <w:tr>
        <w:trPr>
          <w:trHeight w:val="196"/>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Discontinued operations...................................</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(.56)</w:t>
            </w:r>
          </w:p>
        </w:tc>
        <w:tc>
          <w:tcPr>
            <w:tcW w:w="260" w:type="dxa"/>
            <w:vAlign w:val="bottom"/>
          </w:tcPr>
          <w:p>
            <w:pPr>
              <w:spacing w:after="0"/>
              <w:rPr>
                <w:sz w:val="17"/>
                <w:szCs w:val="17"/>
                <w:color w:val="auto"/>
              </w:rPr>
            </w:pPr>
          </w:p>
        </w:tc>
        <w:tc>
          <w:tcPr>
            <w:tcW w:w="9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(.13)</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Net earnings per common and common equivalent share.........</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.42</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1"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CONSOLIDATED STATEMENTS OF STOCKHOLDERS' EQUITY</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(IN THOUSANDS, EXCEPT SHARE DATA)</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tcPr>
          <w:p>
            <w:pPr>
              <w:spacing w:after="0"/>
              <w:rPr>
                <w:sz w:val="16"/>
                <w:szCs w:val="16"/>
                <w:color w:val="auto"/>
              </w:rPr>
            </w:pPr>
          </w:p>
        </w:tc>
        <w:tc>
          <w:tcPr>
            <w:tcW w:w="234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COMMON STOCK</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ADDITIONAL</w:t>
            </w:r>
          </w:p>
        </w:tc>
        <w:tc>
          <w:tcPr>
            <w:tcW w:w="1220" w:type="dxa"/>
            <w:vAlign w:val="bottom"/>
          </w:tcPr>
          <w:p>
            <w:pPr>
              <w:spacing w:after="0"/>
              <w:rPr>
                <w:sz w:val="16"/>
                <w:szCs w:val="16"/>
                <w:color w:val="auto"/>
              </w:rPr>
            </w:pP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rPr>
              <w:t>DEFERRED</w:t>
            </w:r>
          </w:p>
        </w:tc>
      </w:tr>
      <w:tr>
        <w:trPr>
          <w:trHeight w:val="196"/>
        </w:trPr>
        <w:tc>
          <w:tcPr>
            <w:tcW w:w="3780" w:type="dxa"/>
            <w:vAlign w:val="bottom"/>
          </w:tcPr>
          <w:p>
            <w:pPr>
              <w:spacing w:after="0"/>
              <w:rPr>
                <w:sz w:val="17"/>
                <w:szCs w:val="17"/>
                <w:color w:val="auto"/>
              </w:rPr>
            </w:pPr>
          </w:p>
        </w:tc>
        <w:tc>
          <w:tcPr>
            <w:tcW w:w="23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PAID-IN</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RETAINED</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w w:val="99"/>
              </w:rPr>
              <w:t>COMPENSATION</w:t>
            </w:r>
          </w:p>
        </w:tc>
      </w:tr>
      <w:tr>
        <w:trPr>
          <w:trHeight w:val="196"/>
        </w:trPr>
        <w:tc>
          <w:tcPr>
            <w:tcW w:w="3780" w:type="dxa"/>
            <w:vAlign w:val="bottom"/>
          </w:tcPr>
          <w:p>
            <w:pPr>
              <w:spacing w:after="0"/>
              <w:rPr>
                <w:sz w:val="17"/>
                <w:szCs w:val="17"/>
                <w:color w:val="auto"/>
              </w:rPr>
            </w:pPr>
          </w:p>
        </w:tc>
        <w:tc>
          <w:tcPr>
            <w:tcW w:w="15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SHARES</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AMOUNT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CAPITAL</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EARNINGS</w:t>
            </w:r>
          </w:p>
        </w:tc>
        <w:tc>
          <w:tcPr>
            <w:tcW w:w="1420" w:type="dxa"/>
            <w:vAlign w:val="bottom"/>
          </w:tcPr>
          <w:p>
            <w:pPr>
              <w:jc w:val="center"/>
              <w:ind w:left="135"/>
              <w:spacing w:after="0"/>
              <w:rPr>
                <w:sz w:val="20"/>
                <w:szCs w:val="20"/>
                <w:color w:val="auto"/>
              </w:rPr>
            </w:pPr>
            <w:r>
              <w:rPr>
                <w:rFonts w:ascii="Courier New" w:cs="Courier New" w:eastAsia="Courier New" w:hAnsi="Courier New"/>
                <w:sz w:val="17"/>
                <w:szCs w:val="17"/>
                <w:color w:val="auto"/>
                <w:w w:val="97"/>
              </w:rPr>
              <w:t>ESOP</w:t>
            </w:r>
          </w:p>
        </w:tc>
      </w:tr>
      <w:tr>
        <w:trPr>
          <w:trHeight w:val="196"/>
        </w:trPr>
        <w:tc>
          <w:tcPr>
            <w:tcW w:w="378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center"/>
              <w:ind w:left="115"/>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Balance, October 31, 1993...........</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10,492,704</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$105</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$4,728</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$46,090</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$(4,292)</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4,395</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Amortization of deferred</w:t>
            </w:r>
          </w:p>
        </w:tc>
        <w:tc>
          <w:tcPr>
            <w:tcW w:w="1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compensation-ESOP..............</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452</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 grants......................</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25,000</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178</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Balance, October 31, 1994...........</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10,517,704</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105</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4,906</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50,485</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(3,840)</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5,698</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Amortization of deferred</w:t>
            </w:r>
          </w:p>
        </w:tc>
        <w:tc>
          <w:tcPr>
            <w:tcW w:w="1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compensation-ESOP..............</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147</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 grants......................</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25,000</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156</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Balance, October 31, 1995...........</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10,542,704</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105</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5,062</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56,183</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(3,693)</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4,760</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Amortization of deferred</w:t>
            </w:r>
          </w:p>
        </w:tc>
        <w:tc>
          <w:tcPr>
            <w:tcW w:w="1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compensation-ESOP..............</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268</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Exercise of Stock options.........</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11,940</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52</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 grants......................</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50,000</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487</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Balance, October 31, 1996...........</w:t>
            </w: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10,604,644</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$106</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$5,601</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$60,943</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$(3,425)</w:t>
            </w:r>
          </w:p>
        </w:tc>
      </w:tr>
      <w:tr>
        <w:trPr>
          <w:trHeight w:val="196"/>
        </w:trPr>
        <w:tc>
          <w:tcPr>
            <w:tcW w:w="3780" w:type="dxa"/>
            <w:vAlign w:val="bottom"/>
          </w:tcPr>
          <w:p>
            <w:pPr>
              <w:spacing w:after="0"/>
              <w:rPr>
                <w:sz w:val="17"/>
                <w:szCs w:val="17"/>
                <w:color w:val="auto"/>
              </w:rPr>
            </w:pPr>
          </w:p>
        </w:tc>
        <w:tc>
          <w:tcPr>
            <w:tcW w:w="15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1"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jc w:val="right"/>
              <w:ind w:right="1335"/>
              <w:spacing w:after="0"/>
              <w:rPr>
                <w:sz w:val="20"/>
                <w:szCs w:val="20"/>
                <w:color w:val="auto"/>
              </w:rPr>
            </w:pPr>
            <w:r>
              <w:rPr>
                <w:rFonts w:ascii="Courier New" w:cs="Courier New" w:eastAsia="Courier New" w:hAnsi="Courier New"/>
                <w:sz w:val="17"/>
                <w:szCs w:val="17"/>
                <w:color w:val="auto"/>
              </w:rPr>
              <w:t>(IN THOUSANDS)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85"/>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3"/>
          </w:tcPr>
          <w:p>
            <w:pPr>
              <w:jc w:val="right"/>
              <w:ind w:right="435"/>
              <w:spacing w:after="0"/>
              <w:rPr>
                <w:sz w:val="20"/>
                <w:szCs w:val="20"/>
                <w:color w:val="auto"/>
              </w:rPr>
            </w:pPr>
            <w:r>
              <w:rPr>
                <w:rFonts w:ascii="Courier New" w:cs="Courier New" w:eastAsia="Courier New" w:hAnsi="Courier New"/>
                <w:sz w:val="17"/>
                <w:szCs w:val="17"/>
                <w:color w:val="auto"/>
              </w:rPr>
              <w:t>YEARS ENDED OCTOBER 31,</w:t>
            </w:r>
          </w:p>
        </w:tc>
      </w:tr>
      <w:tr>
        <w:trPr>
          <w:trHeight w:val="196"/>
        </w:trPr>
        <w:tc>
          <w:tcPr>
            <w:tcW w:w="6220" w:type="dxa"/>
            <w:vAlign w:val="bottom"/>
          </w:tcPr>
          <w:p>
            <w:pPr>
              <w:spacing w:after="0"/>
              <w:rPr>
                <w:sz w:val="17"/>
                <w:szCs w:val="17"/>
                <w:color w:val="auto"/>
              </w:rPr>
            </w:pPr>
          </w:p>
        </w:tc>
        <w:tc>
          <w:tcPr>
            <w:tcW w:w="328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11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3995"/>
              <w:spacing w:after="0"/>
              <w:rPr>
                <w:sz w:val="20"/>
                <w:szCs w:val="20"/>
                <w:color w:val="auto"/>
              </w:rPr>
            </w:pPr>
            <w:r>
              <w:rPr>
                <w:rFonts w:ascii="Courier New" w:cs="Courier New" w:eastAsia="Courier New" w:hAnsi="Courier New"/>
                <w:sz w:val="17"/>
                <w:szCs w:val="17"/>
                <w:color w:val="auto"/>
                <w:w w:val="98"/>
              </w:rPr>
              <w:t>Operating Activities: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4,760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$ 5,698</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$ 4,395</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Adjustments to reconcile net earnings to net cash provided</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by (used in) operating activities: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Depreciation and amortization..........................</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3,270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2,800</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2,690</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Deferred income taxes (benefit)........................</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(2,112)</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742</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(548)</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Postretirement benefits liability......................</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(455)</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(418)</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166</w:t>
            </w:r>
          </w:p>
        </w:tc>
      </w:tr>
      <w:tr>
        <w:trPr>
          <w:trHeight w:val="196"/>
        </w:trPr>
        <w:tc>
          <w:tcPr>
            <w:tcW w:w="6220" w:type="dxa"/>
            <w:vAlign w:val="bottom"/>
          </w:tcPr>
          <w:p>
            <w:pPr>
              <w:ind w:left="52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Accounts receivable..................................</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5"/>
              </w:rPr>
              <w:t>(11,092)</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(1,290)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(2,658)</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Costs and estimated earnings in excess of billings...</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(2,820)</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(3,876)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(757)</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Inventories..........................................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948</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(4,079)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(1,953)</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Prepaid expenses and other current assets............</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(749)</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330</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 assets.........................................</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(205)</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(273)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(575)</w:t>
            </w:r>
          </w:p>
        </w:tc>
      </w:tr>
      <w:tr>
        <w:trPr>
          <w:trHeight w:val="196"/>
        </w:trPr>
        <w:tc>
          <w:tcPr>
            <w:tcW w:w="622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Accounts payable and income taxes payable or</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receivable........................................</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(272)</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562</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1,959</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Accrued liabilities..................................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5,334</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(276)</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1,009</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Billings in excess of costs and estimated earnings...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1,318</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2,314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(1,199)</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Deferred compensation expense........................</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420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266</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144</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Changes in net assets of discontinued operations.....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12,674</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(3,248)</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Net cash provided by (used in) operating activities.........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11,761</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1,530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(245)</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3995"/>
              <w:spacing w:after="0"/>
              <w:rPr>
                <w:sz w:val="20"/>
                <w:szCs w:val="20"/>
                <w:color w:val="auto"/>
              </w:rPr>
            </w:pPr>
            <w:r>
              <w:rPr>
                <w:rFonts w:ascii="Courier New" w:cs="Courier New" w:eastAsia="Courier New" w:hAnsi="Courier New"/>
                <w:sz w:val="17"/>
                <w:szCs w:val="17"/>
                <w:color w:val="auto"/>
                <w:w w:val="98"/>
              </w:rPr>
              <w:t>Investing Activities: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Purchases of property, plant and equipment................</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(3,349)</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(3,378)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(1,183)</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Acquisition of Transdyn Controls, Inc.....................</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(1,539)</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Net cash used in investing activities.......................</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(3,349)</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(3,378)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(2,722)</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3995"/>
              <w:spacing w:after="0"/>
              <w:rPr>
                <w:sz w:val="20"/>
                <w:szCs w:val="20"/>
                <w:color w:val="auto"/>
              </w:rPr>
            </w:pPr>
            <w:r>
              <w:rPr>
                <w:rFonts w:ascii="Courier New" w:cs="Courier New" w:eastAsia="Courier New" w:hAnsi="Courier New"/>
                <w:sz w:val="17"/>
                <w:szCs w:val="17"/>
                <w:color w:val="auto"/>
                <w:w w:val="98"/>
              </w:rPr>
              <w:t>Financing Activities: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Payments of long-term debt................................</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(2,813)</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(2,813)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(2,812)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Exercise of stock options and grants......................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540</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156</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178</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Net cash used in financing activities.......................</w:t>
            </w:r>
          </w:p>
        </w:tc>
        <w:tc>
          <w:tcPr>
            <w:tcW w:w="220" w:type="dxa"/>
            <w:vAlign w:val="bottom"/>
          </w:tcPr>
          <w:p>
            <w:pPr>
              <w:spacing w:after="0"/>
              <w:rPr>
                <w:sz w:val="17"/>
                <w:szCs w:val="17"/>
                <w:color w:val="auto"/>
              </w:rPr>
            </w:pPr>
          </w:p>
        </w:tc>
        <w:tc>
          <w:tcPr>
            <w:tcW w:w="9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(2,273)</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(2,657)</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(2,634)</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Net increase (decrease) in cash and cash equivalents........</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6,139</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(4,505)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(5,601)</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Cash and cash equivalents at beginning of year..............</w:t>
            </w:r>
          </w:p>
        </w:tc>
        <w:tc>
          <w:tcPr>
            <w:tcW w:w="220" w:type="dxa"/>
            <w:vAlign w:val="bottom"/>
          </w:tcPr>
          <w:p>
            <w:pPr>
              <w:spacing w:after="0"/>
              <w:rPr>
                <w:sz w:val="17"/>
                <w:szCs w:val="17"/>
                <w:color w:val="auto"/>
              </w:rPr>
            </w:pP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2,796</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7,301</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12,902</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Cash and cash equivalents at end of year....................</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8,935</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$ 2,796</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$ 7,301</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The accompanying notes are an integral part of these consolidated financial</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1"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BUSINESS AND ORGANIZATION</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Powell Industries, Inc. ("Powell" or the "Company") was incorporated under the laws of the State of Nevada in December 1968. The Company is the successor to a corporation founded by William E. Powell in 1947, which merged into the Company in 1977.</w:t>
      </w:r>
    </w:p>
    <w:p>
      <w:pPr>
        <w:spacing w:after="0" w:line="198" w:lineRule="exact"/>
        <w:rPr>
          <w:sz w:val="20"/>
          <w:szCs w:val="20"/>
          <w:color w:val="auto"/>
        </w:rPr>
      </w:pPr>
    </w:p>
    <w:p>
      <w:pPr>
        <w:ind w:right="2059" w:firstLine="510"/>
        <w:spacing w:after="0" w:line="263" w:lineRule="auto"/>
        <w:rPr>
          <w:sz w:val="20"/>
          <w:szCs w:val="20"/>
          <w:color w:val="auto"/>
        </w:rPr>
      </w:pPr>
      <w:r>
        <w:rPr>
          <w:rFonts w:ascii="Courier New" w:cs="Courier New" w:eastAsia="Courier New" w:hAnsi="Courier New"/>
          <w:sz w:val="16"/>
          <w:szCs w:val="16"/>
          <w:color w:val="auto"/>
        </w:rPr>
        <w:t>Powell designs, develops, manufactures, sells and services electrical power distribution and control equipment and systems through its subsidiaries: Powell Electrical Manufacturing Company; Powell-ESCO Company; Unibus, Inc.; Delta-Unibus Corp. and Transdyn Controls, Inc. As applicable to the context, "Company" is also sometimes used herein to refer to Powell and its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SUMMARY OF SIGNIFICANT ACCOUNTING POLICIES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Principles of Consolidation</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accompanying consolidated financial statements include the accounts of Powell Industries, Inc. and its wholly-owned subsidiaries (the Company). All material intercompany accounts and transactions have been eliminated.</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Cash and Cash Equivalents</w:t>
      </w:r>
    </w:p>
    <w:p>
      <w:pPr>
        <w:spacing w:after="0" w:line="201" w:lineRule="exact"/>
        <w:rPr>
          <w:sz w:val="20"/>
          <w:szCs w:val="20"/>
          <w:color w:val="auto"/>
        </w:rPr>
      </w:pPr>
    </w:p>
    <w:p>
      <w:pPr>
        <w:ind w:right="2659" w:firstLine="510"/>
        <w:spacing w:after="0" w:line="243" w:lineRule="auto"/>
        <w:rPr>
          <w:sz w:val="20"/>
          <w:szCs w:val="20"/>
          <w:color w:val="auto"/>
        </w:rPr>
      </w:pPr>
      <w:r>
        <w:rPr>
          <w:rFonts w:ascii="Courier New" w:cs="Courier New" w:eastAsia="Courier New" w:hAnsi="Courier New"/>
          <w:sz w:val="17"/>
          <w:szCs w:val="17"/>
          <w:color w:val="auto"/>
        </w:rPr>
        <w:t>The Company considers all highly liquid investments purchased with an original maturity of less than three months to be cash equivalents.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Accounts Receivable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Company's receivables are generally not collateralized. Management performs ongoing credit analyses of the accounts of its customers and provides allowances as deemed necessary. Accounts receivable at October 31, 1996 and 1995 include $3,603,000 and $2,835,000, respectively due from customers in accordance with applicable retainage provisions of engineering and construction contracts, which will become billable upon completion of such contracts. Approximately $706,000 of the retained amount at October 31, 1996 is expected to be billed subsequent to 1997.</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Inventories</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Inventories are stated at the lower of cost (primarily first-in, first-out method) or market and include material, labor and manufacturing overhead.</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Property, Plant and Equipment</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Property, plant and equipment is stated at cost and is depreciated using the straight-line method over the estimated useful lives of the assets. 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Amortization of Intangibles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Included in other assets are net intangible assets totalling $2,172,000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$2,461,000 at October 31, 1996 and 1995, respectively. Intangible assets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primarily include goodwill and patents which are amortized using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straight-line method over periods ranging from five to twenty years.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accumulated amortization of intangible accounts totalled $1,873,000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$1,540,000 at October 31, 1996 and 1995, respectively. Management continually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evaluates whether events or circumstances have occurred that indicate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remaining</w:t>
      </w:r>
    </w:p>
    <w:p>
      <w:pPr>
        <w:sectPr>
          <w:pgSz w:w="11900" w:h="16838" w:orient="portrait"/>
          <w:cols w:equalWidth="0" w:num="1">
            <w:col w:w="10219"/>
          </w:cols>
          <w:pgMar w:left="240" w:top="311" w:right="1440"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1"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1" w:lineRule="exact"/>
        <w:rPr>
          <w:sz w:val="20"/>
          <w:szCs w:val="20"/>
          <w:color w:val="auto"/>
        </w:rPr>
      </w:pPr>
    </w:p>
    <w:p>
      <w:pPr>
        <w:ind w:right="2979"/>
        <w:spacing w:after="0" w:line="243" w:lineRule="auto"/>
        <w:rPr>
          <w:sz w:val="20"/>
          <w:szCs w:val="20"/>
          <w:color w:val="auto"/>
        </w:rPr>
      </w:pPr>
      <w:r>
        <w:rPr>
          <w:rFonts w:ascii="Courier New" w:cs="Courier New" w:eastAsia="Courier New" w:hAnsi="Courier New"/>
          <w:sz w:val="17"/>
          <w:szCs w:val="17"/>
          <w:color w:val="auto"/>
        </w:rPr>
        <w:t>estimated useful life of intangible assets may warrant revision or that remaining balances may not be recoverable.</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Revenue Recognition</w:t>
      </w:r>
    </w:p>
    <w:p>
      <w:pPr>
        <w:spacing w:after="0" w:line="201" w:lineRule="exact"/>
        <w:rPr>
          <w:sz w:val="20"/>
          <w:szCs w:val="20"/>
          <w:color w:val="auto"/>
        </w:rPr>
      </w:pPr>
    </w:p>
    <w:p>
      <w:pPr>
        <w:ind w:right="2059" w:firstLine="510"/>
        <w:spacing w:after="0" w:line="261" w:lineRule="auto"/>
        <w:rPr>
          <w:sz w:val="20"/>
          <w:szCs w:val="20"/>
          <w:color w:val="auto"/>
        </w:rPr>
      </w:pPr>
      <w:r>
        <w:rPr>
          <w:rFonts w:ascii="Courier New" w:cs="Courier New" w:eastAsia="Courier New" w:hAnsi="Courier New"/>
          <w:sz w:val="16"/>
          <w:szCs w:val="16"/>
          <w:color w:val="auto"/>
        </w:rPr>
        <w:t>Revenues from product sales are recognized at the time of shipment. Revenues related to multiple unit orders and their associated costs are recorded as identifiable units are delivered. Contract revenues are recognized on a percentage-of-completion basis primarily using labor dollars incurred to date in relation to estimated total labor dollars of the contracts to measure the stage of completion. Contract costs include all direct material and labor costs and those indirect costs related to contract performance, such as indirect labor, supplies and depreciation costs. Provisions for total estimated losses on uncompleted contracts are recorded in the period in which they become evident.</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Warranties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provides for estimated warranty costs at the time of sale based upon historical rates applicable to individual product lines. In addition, specific provisions are made when the costs of such warranties are expected to exceed accruals.</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Research and Development Expense</w:t>
      </w:r>
    </w:p>
    <w:p>
      <w:pPr>
        <w:spacing w:after="0" w:line="201" w:lineRule="exact"/>
        <w:rPr>
          <w:sz w:val="20"/>
          <w:szCs w:val="20"/>
          <w:color w:val="auto"/>
        </w:rPr>
      </w:pPr>
    </w:p>
    <w:p>
      <w:pPr>
        <w:jc w:val="both"/>
        <w:ind w:right="2359" w:firstLine="510"/>
        <w:spacing w:after="0" w:line="243" w:lineRule="auto"/>
        <w:rPr>
          <w:sz w:val="20"/>
          <w:szCs w:val="20"/>
          <w:color w:val="auto"/>
        </w:rPr>
      </w:pPr>
      <w:r>
        <w:rPr>
          <w:rFonts w:ascii="Courier New" w:cs="Courier New" w:eastAsia="Courier New" w:hAnsi="Courier New"/>
          <w:sz w:val="17"/>
          <w:szCs w:val="17"/>
          <w:color w:val="auto"/>
        </w:rPr>
        <w:t>Research and development costs are charged to expense as incurred. Such amounts were $2,283,000, $1,843,000 and $1,670,000 in fiscal years 1996, 1995 and 1994, respectively.</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Earnings per Common and Common Equivalent Share</w:t>
      </w:r>
    </w:p>
    <w:p>
      <w:pPr>
        <w:spacing w:after="0" w:line="201" w:lineRule="exact"/>
        <w:rPr>
          <w:sz w:val="20"/>
          <w:szCs w:val="20"/>
          <w:color w:val="auto"/>
        </w:rPr>
      </w:pPr>
    </w:p>
    <w:p>
      <w:pPr>
        <w:jc w:val="both"/>
        <w:ind w:right="2359" w:firstLine="510"/>
        <w:spacing w:after="0" w:line="243" w:lineRule="auto"/>
        <w:rPr>
          <w:sz w:val="20"/>
          <w:szCs w:val="20"/>
          <w:color w:val="auto"/>
        </w:rPr>
      </w:pPr>
      <w:r>
        <w:rPr>
          <w:rFonts w:ascii="Courier New" w:cs="Courier New" w:eastAsia="Courier New" w:hAnsi="Courier New"/>
          <w:sz w:val="17"/>
          <w:szCs w:val="17"/>
          <w:color w:val="auto"/>
        </w:rPr>
        <w:t>Per share data has been computed based on the weighted average number of common and common equivalent shares outstanding of 10,764,656, 10,611,331 and 10,509,371 in fiscal years 1996, 1995 and 1994, respectively.</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Use of Estimates</w:t>
      </w:r>
    </w:p>
    <w:p>
      <w:pPr>
        <w:spacing w:after="0" w:line="201" w:lineRule="exact"/>
        <w:rPr>
          <w:sz w:val="20"/>
          <w:szCs w:val="20"/>
          <w:color w:val="auto"/>
        </w:rPr>
      </w:pPr>
    </w:p>
    <w:p>
      <w:pPr>
        <w:ind w:right="2459" w:firstLine="510"/>
        <w:spacing w:after="0" w:line="244"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effect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Reclassification</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Certain reclassifications of prior year amounts have been made in order to conform with the classifications used in the current year presentation.</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Income Taxes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accounts for income taxes using Statement of Financial Accounting Standards (SFAS) No. 109 "Accounting for Income Taxes". Under SFAS No. 109, deferred tax assets and liabilities are computed based on the difference between the financial statements and income tax bases of assets and liabilities using enacted tax rates. Under this standard, the effect on deferred taxes of a change in tax rates is recognized in income in the period that the tax rate changes.</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1"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New Accounting Standards</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Company is required to adopt SFAS No. 121, "Accounting for the Impairment of Long-Lived Assets and Long-Lived Assets to be Disposed Of" and SFAS No. 123, "Accounting for Stock Based Compensation" during its fiscal year ending October 31, 1997. Adoption of SFAS No. 121 will not have significant effect on the Company's consolidated financial statements. The Company expects to disclose the fair value of options granted in a footnote to its October 31, 1997 consolidated financial statements, as required by SFAS No. 123.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INVENTORIES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components of inventories are summarized below (in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OCTOBER</w:t>
            </w:r>
          </w:p>
        </w:tc>
        <w:tc>
          <w:tcPr>
            <w:tcW w:w="7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31,</w:t>
            </w:r>
          </w:p>
        </w:tc>
      </w:tr>
      <w:tr>
        <w:trPr>
          <w:trHeight w:val="196"/>
        </w:trPr>
        <w:tc>
          <w:tcPr>
            <w:tcW w:w="6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475"/>
              <w:spacing w:after="0"/>
              <w:rPr>
                <w:sz w:val="20"/>
                <w:szCs w:val="20"/>
                <w:color w:val="auto"/>
              </w:rPr>
            </w:pPr>
            <w:r>
              <w:rPr>
                <w:rFonts w:ascii="Courier New" w:cs="Courier New" w:eastAsia="Courier New" w:hAnsi="Courier New"/>
                <w:sz w:val="17"/>
                <w:szCs w:val="17"/>
                <w:color w:val="auto"/>
                <w:w w:val="93"/>
              </w:rPr>
              <w:t>1996</w:t>
            </w:r>
          </w:p>
        </w:tc>
        <w:tc>
          <w:tcPr>
            <w:tcW w:w="7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Raw materials, parts and subassemblies......................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8,118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$ 8,443</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Work-in-process.............................................</w:t>
            </w:r>
          </w:p>
        </w:tc>
        <w:tc>
          <w:tcPr>
            <w:tcW w:w="220" w:type="dxa"/>
            <w:vAlign w:val="bottom"/>
          </w:tcPr>
          <w:p>
            <w:pPr>
              <w:spacing w:after="0"/>
              <w:rPr>
                <w:sz w:val="17"/>
                <w:szCs w:val="17"/>
                <w:color w:val="auto"/>
              </w:rPr>
            </w:pPr>
          </w:p>
        </w:tc>
        <w:tc>
          <w:tcPr>
            <w:tcW w:w="9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5,996</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6,619</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inventories.................................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94"/>
              </w:rPr>
              <w:t>14,114</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$15,062</w:t>
            </w:r>
          </w:p>
        </w:tc>
      </w:tr>
      <w:tr>
        <w:trPr>
          <w:trHeight w:val="196"/>
        </w:trPr>
        <w:tc>
          <w:tcPr>
            <w:tcW w:w="6220" w:type="dxa"/>
            <w:vAlign w:val="bottom"/>
          </w:tcPr>
          <w:p>
            <w:pPr>
              <w:spacing w:after="0"/>
              <w:rPr>
                <w:sz w:val="17"/>
                <w:szCs w:val="17"/>
                <w:color w:val="auto"/>
              </w:rPr>
            </w:pPr>
          </w:p>
        </w:tc>
        <w:tc>
          <w:tcPr>
            <w:tcW w:w="11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PROPERTY, PLANT AND EQUIPMENT</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Property, plant and equipment is summarized below (in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OCTOBER 31,</w:t>
            </w:r>
          </w:p>
        </w:tc>
        <w:tc>
          <w:tcPr>
            <w:tcW w:w="1380" w:type="dxa"/>
            <w:vAlign w:val="bottom"/>
          </w:tcPr>
          <w:p>
            <w:pPr>
              <w:spacing w:after="0"/>
              <w:rPr>
                <w:sz w:val="16"/>
                <w:szCs w:val="16"/>
                <w:color w:val="auto"/>
              </w:rPr>
            </w:pPr>
          </w:p>
        </w:tc>
      </w:tr>
      <w:tr>
        <w:trPr>
          <w:trHeight w:val="196"/>
        </w:trPr>
        <w:tc>
          <w:tcPr>
            <w:tcW w:w="50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3"/>
              </w:rPr>
              <w:t>--------------------</w:t>
            </w:r>
          </w:p>
        </w:tc>
        <w:tc>
          <w:tcPr>
            <w:tcW w:w="1220" w:type="dxa"/>
            <w:vAlign w:val="bottom"/>
          </w:tcPr>
          <w:p>
            <w:pPr>
              <w:spacing w:after="0"/>
              <w:rPr>
                <w:sz w:val="17"/>
                <w:szCs w:val="17"/>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RANGE OF</w:t>
            </w:r>
          </w:p>
        </w:tc>
      </w:tr>
      <w:tr>
        <w:trPr>
          <w:trHeight w:val="196"/>
        </w:trPr>
        <w:tc>
          <w:tcPr>
            <w:tcW w:w="5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1995</w:t>
            </w:r>
          </w:p>
        </w:tc>
        <w:tc>
          <w:tcPr>
            <w:tcW w:w="1380" w:type="dxa"/>
            <w:vAlign w:val="bottom"/>
          </w:tcPr>
          <w:p>
            <w:pPr>
              <w:ind w:left="160"/>
              <w:spacing w:after="0"/>
              <w:rPr>
                <w:sz w:val="20"/>
                <w:szCs w:val="20"/>
                <w:color w:val="auto"/>
              </w:rPr>
            </w:pPr>
            <w:r>
              <w:rPr>
                <w:rFonts w:ascii="Courier New" w:cs="Courier New" w:eastAsia="Courier New" w:hAnsi="Courier New"/>
                <w:sz w:val="17"/>
                <w:szCs w:val="17"/>
                <w:color w:val="auto"/>
              </w:rPr>
              <w:t>ASSET LIVES</w:t>
            </w:r>
          </w:p>
        </w:tc>
      </w:tr>
      <w:tr>
        <w:trPr>
          <w:trHeight w:val="196"/>
        </w:trPr>
        <w:tc>
          <w:tcPr>
            <w:tcW w:w="500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center"/>
              <w:ind w:left="75"/>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50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Land............................................</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2,362</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2,362</w:t>
            </w:r>
          </w:p>
        </w:tc>
        <w:tc>
          <w:tcPr>
            <w:tcW w:w="13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50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Buildings and improvements......................</w:t>
            </w:r>
          </w:p>
        </w:tc>
        <w:tc>
          <w:tcPr>
            <w:tcW w:w="20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13,255</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13,119</w:t>
            </w:r>
          </w:p>
        </w:tc>
        <w:tc>
          <w:tcPr>
            <w:tcW w:w="1380" w:type="dxa"/>
            <w:vAlign w:val="bottom"/>
          </w:tcPr>
          <w:p>
            <w:pPr>
              <w:ind w:left="160"/>
              <w:spacing w:after="0"/>
              <w:rPr>
                <w:sz w:val="20"/>
                <w:szCs w:val="20"/>
                <w:color w:val="auto"/>
              </w:rPr>
            </w:pPr>
            <w:r>
              <w:rPr>
                <w:rFonts w:ascii="Courier New" w:cs="Courier New" w:eastAsia="Courier New" w:hAnsi="Courier New"/>
                <w:sz w:val="17"/>
                <w:szCs w:val="17"/>
                <w:color w:val="auto"/>
                <w:w w:val="98"/>
              </w:rPr>
              <w:t>3 - 30 Years</w:t>
            </w:r>
          </w:p>
        </w:tc>
      </w:tr>
      <w:tr>
        <w:trPr>
          <w:trHeight w:val="196"/>
        </w:trPr>
        <w:tc>
          <w:tcPr>
            <w:tcW w:w="50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Machinery and equipment.........................</w:t>
            </w:r>
          </w:p>
        </w:tc>
        <w:tc>
          <w:tcPr>
            <w:tcW w:w="20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21,157</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19,708</w:t>
            </w:r>
          </w:p>
        </w:tc>
        <w:tc>
          <w:tcPr>
            <w:tcW w:w="1380" w:type="dxa"/>
            <w:vAlign w:val="bottom"/>
          </w:tcPr>
          <w:p>
            <w:pPr>
              <w:ind w:left="160"/>
              <w:spacing w:after="0"/>
              <w:rPr>
                <w:sz w:val="20"/>
                <w:szCs w:val="20"/>
                <w:color w:val="auto"/>
              </w:rPr>
            </w:pPr>
            <w:r>
              <w:rPr>
                <w:rFonts w:ascii="Courier New" w:cs="Courier New" w:eastAsia="Courier New" w:hAnsi="Courier New"/>
                <w:sz w:val="17"/>
                <w:szCs w:val="17"/>
                <w:color w:val="auto"/>
                <w:w w:val="98"/>
              </w:rPr>
              <w:t>3 - 15 Years</w:t>
            </w:r>
          </w:p>
        </w:tc>
      </w:tr>
      <w:tr>
        <w:trPr>
          <w:trHeight w:val="196"/>
        </w:trPr>
        <w:tc>
          <w:tcPr>
            <w:tcW w:w="50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Furniture and fixtures..........................</w:t>
            </w:r>
          </w:p>
        </w:tc>
        <w:tc>
          <w:tcPr>
            <w:tcW w:w="20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2,923</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2,604</w:t>
            </w:r>
          </w:p>
        </w:tc>
        <w:tc>
          <w:tcPr>
            <w:tcW w:w="1380" w:type="dxa"/>
            <w:vAlign w:val="bottom"/>
          </w:tcPr>
          <w:p>
            <w:pPr>
              <w:ind w:left="160"/>
              <w:spacing w:after="0"/>
              <w:rPr>
                <w:sz w:val="20"/>
                <w:szCs w:val="20"/>
                <w:color w:val="auto"/>
              </w:rPr>
            </w:pPr>
            <w:r>
              <w:rPr>
                <w:rFonts w:ascii="Courier New" w:cs="Courier New" w:eastAsia="Courier New" w:hAnsi="Courier New"/>
                <w:sz w:val="17"/>
                <w:szCs w:val="17"/>
                <w:color w:val="auto"/>
                <w:w w:val="98"/>
              </w:rPr>
              <w:t>3 - 10 Years</w:t>
            </w:r>
          </w:p>
        </w:tc>
      </w:tr>
      <w:tr>
        <w:trPr>
          <w:trHeight w:val="196"/>
        </w:trPr>
        <w:tc>
          <w:tcPr>
            <w:tcW w:w="50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Construction in progress........................</w:t>
            </w:r>
          </w:p>
        </w:tc>
        <w:tc>
          <w:tcPr>
            <w:tcW w:w="20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1,869</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417</w:t>
            </w:r>
          </w:p>
        </w:tc>
        <w:tc>
          <w:tcPr>
            <w:tcW w:w="1380" w:type="dxa"/>
            <w:vAlign w:val="bottom"/>
          </w:tcPr>
          <w:p>
            <w:pPr>
              <w:jc w:val="center"/>
              <w:ind w:left="5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500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41,566</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38,210</w:t>
            </w:r>
          </w:p>
        </w:tc>
        <w:tc>
          <w:tcPr>
            <w:tcW w:w="1380" w:type="dxa"/>
            <w:vAlign w:val="bottom"/>
          </w:tcPr>
          <w:p>
            <w:pPr>
              <w:spacing w:after="0"/>
              <w:rPr>
                <w:sz w:val="17"/>
                <w:szCs w:val="17"/>
                <w:color w:val="auto"/>
              </w:rPr>
            </w:pPr>
          </w:p>
        </w:tc>
      </w:tr>
      <w:tr>
        <w:trPr>
          <w:trHeight w:val="196"/>
        </w:trPr>
        <w:tc>
          <w:tcPr>
            <w:tcW w:w="50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Less -- accumulated depreciation................</w:t>
            </w:r>
          </w:p>
        </w:tc>
        <w:tc>
          <w:tcPr>
            <w:tcW w:w="200" w:type="dxa"/>
            <w:vAlign w:val="bottom"/>
          </w:tcPr>
          <w:p>
            <w:pPr>
              <w:spacing w:after="0"/>
              <w:rPr>
                <w:sz w:val="17"/>
                <w:szCs w:val="17"/>
                <w:color w:val="auto"/>
              </w:rPr>
            </w:pP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(26,964)</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(24,128)</w:t>
            </w:r>
          </w:p>
        </w:tc>
        <w:tc>
          <w:tcPr>
            <w:tcW w:w="1380" w:type="dxa"/>
            <w:vAlign w:val="bottom"/>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r>
        <w:trPr>
          <w:trHeight w:val="196"/>
        </w:trPr>
        <w:tc>
          <w:tcPr>
            <w:tcW w:w="50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Total property, plant and equipment,</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50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14,602</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$ 14,082</w:t>
            </w:r>
          </w:p>
        </w:tc>
        <w:tc>
          <w:tcPr>
            <w:tcW w:w="1380" w:type="dxa"/>
            <w:vAlign w:val="bottom"/>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11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 EMPLOYEE BENEFIT PLANS</w:t>
      </w:r>
    </w:p>
    <w:p>
      <w:pPr>
        <w:spacing w:after="0" w:line="201" w:lineRule="exact"/>
        <w:rPr>
          <w:sz w:val="20"/>
          <w:szCs w:val="20"/>
          <w:color w:val="auto"/>
        </w:rPr>
      </w:pPr>
    </w:p>
    <w:p>
      <w:pPr>
        <w:ind w:right="2059" w:firstLine="510"/>
        <w:spacing w:after="0" w:line="264" w:lineRule="auto"/>
        <w:rPr>
          <w:sz w:val="20"/>
          <w:szCs w:val="20"/>
          <w:color w:val="auto"/>
        </w:rPr>
      </w:pPr>
      <w:r>
        <w:rPr>
          <w:rFonts w:ascii="Courier New" w:cs="Courier New" w:eastAsia="Courier New" w:hAnsi="Courier New"/>
          <w:sz w:val="16"/>
          <w:szCs w:val="16"/>
          <w:color w:val="auto"/>
        </w:rPr>
        <w:t>The Company has a defined contribution plan (4.01k) for substantially all of its employees. The Company matches 50% of employee contributions up to six percent of their salary. The Company recognized expense of $736,000, $658,000 and $607,000 in fiscal years 1996, 1995 and 1994, respectively, under this plan.</w:t>
      </w:r>
    </w:p>
    <w:p>
      <w:pPr>
        <w:spacing w:after="0" w:line="183"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Three long service employees are participants in a deferred compensation plan providing payments in accordance with a predetermined plan upon retirement or death. The Company recognizes the cost of this plan over the projected years of service of the participant. The Company has insured the lives of these key employees to assist in the funding of the deferred compensation liability.</w:t>
      </w:r>
    </w:p>
    <w:p>
      <w:pPr>
        <w:spacing w:after="0" w:line="198"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In 1992, the Company formed a new subsidiary and entered into a stock participation agreement with two key employees of the subsidiary providing for them to purchase stock in the subsidiary for a nominal amount. The agreement allows the two employees to sell their stock back to the Company after October 1997 for $1,000,000. The Company has established a deferred compensation liability and prepaid compensation expense included in other assets, based on the net present value of the amount. The charge to fiscal years 1996, 1995 and 1994 for compensation expense and interest was $206,000, $156,000 and $197,000 respectively.</w:t>
      </w:r>
    </w:p>
    <w:p>
      <w:pPr>
        <w:sectPr>
          <w:pgSz w:w="11900" w:h="16838" w:orient="portrait"/>
          <w:cols w:equalWidth="0" w:num="1">
            <w:col w:w="10219"/>
          </w:cols>
          <w:pgMar w:left="240" w:top="311" w:right="1440" w:bottom="0" w:gutter="0" w:footer="0" w:header="0"/>
        </w:sectPr>
      </w:pP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1" w:right="1440" w:bottom="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During January 1992, the Company established an employee stock ownership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(ESOP) for the benefit of substantially all full-time employees other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 covered by a collective bargaining agreement to which the ESOP has not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been extended by agreement or by action of the Company. The ESOP purchased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793,525 shares of the Company's common stock from a major stockholder.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funding for this plan was provided through a loan from the Company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$4,500,000. This loan will be repaid over a twenty-year period with equal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payments of $424,000 per year including interest at 7%. The Company recorded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 compensation as a contra-equity account for the amount loaned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ESOP in the accompanying consolidated balance sheet. The Company is required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make annual contributions to the ESOP to enable it to repay its loan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The deferred compensation account is amortized as compensation expense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 twenty years as employees earn their shares for services rendered. The loan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also provides for prepayment of the loan if the Company elects to make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additional contributions. During fiscal year 1994 the Company made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contribution of $331,000 to provide ESOP benefits to the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eligible employees. The compensation expense for fiscal years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and 1994 was $268,000, $147,000 and $452,000, respectively.</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November 1992, the Company established a plan to extend to retirees health benefits which are available to active employees under the Company's existing health plans. Participants become eligible for retiree health care benefits when they retire from active service at age 55 with ten years of service. Generally, the health plans pay a stated percentage of medical and dental expenses reduced for any deductible and co-payment. These plans are unfunded. Medical coverage may be continued by the retired employee up to age 65 at the average cost to the Company of active employees. At the age of 65, when the employee becomes eligible for Medicare, the benefits provided by the Company are reduced by the amount provided by Medicare and the cost to the retired employee is reduced to 50 percent of the average cost to the Company of active employees.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January 1994, the Company modified its postretirement benefits to provide retiree healthcare benefits to only current retirees and active employees who will be eligible to retire by December 31, 1999. Participants eligible for such benefits will be required to pay between 20 percent and 100 percent of the Company's average cost of benefits based on years of service. In addition, benefits will end upon the employee's attainment of age 65. The effect of these modifications significantly reduced the Company's postretirement benefits cost and accumulated benefits obligation.</w:t>
      </w:r>
    </w:p>
    <w:p>
      <w:pPr>
        <w:spacing w:after="0" w:line="199"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The following table sets forth the plans' combined status reconciled with the accrued retirement benefits cost included in the Company's Consolidated Balance Sheets (in thousands):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OCTOBER 31,</w:t>
            </w:r>
          </w:p>
        </w:tc>
      </w:tr>
      <w:tr>
        <w:trPr>
          <w:trHeight w:val="196"/>
        </w:trPr>
        <w:tc>
          <w:tcPr>
            <w:tcW w:w="6220" w:type="dxa"/>
            <w:vAlign w:val="bottom"/>
          </w:tcPr>
          <w:p>
            <w:pPr>
              <w:spacing w:after="0"/>
              <w:rPr>
                <w:sz w:val="17"/>
                <w:szCs w:val="17"/>
                <w:color w:val="auto"/>
              </w:rPr>
            </w:pPr>
          </w:p>
        </w:tc>
        <w:tc>
          <w:tcPr>
            <w:tcW w:w="184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93"/>
              </w:rPr>
              <w:t>1996</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9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1335"/>
              <w:spacing w:after="0"/>
              <w:rPr>
                <w:sz w:val="20"/>
                <w:szCs w:val="20"/>
                <w:color w:val="auto"/>
              </w:rPr>
            </w:pPr>
            <w:r>
              <w:rPr>
                <w:rFonts w:ascii="Courier New" w:cs="Courier New" w:eastAsia="Courier New" w:hAnsi="Courier New"/>
                <w:sz w:val="17"/>
                <w:szCs w:val="17"/>
                <w:color w:val="auto"/>
                <w:w w:val="99"/>
              </w:rPr>
              <w:t>Accumulated postretirement benefits obligation:</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Retirees..................................................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364</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446</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Fully eligible active participants........................</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343</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359</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 active participants.................................</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93</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182</w:t>
            </w:r>
          </w:p>
        </w:tc>
      </w:tr>
      <w:tr>
        <w:trPr>
          <w:trHeight w:val="196"/>
        </w:trPr>
        <w:tc>
          <w:tcPr>
            <w:tcW w:w="6220" w:type="dxa"/>
            <w:vAlign w:val="bottom"/>
          </w:tcPr>
          <w:p>
            <w:pPr>
              <w:spacing w:after="0"/>
              <w:rPr>
                <w:sz w:val="17"/>
                <w:szCs w:val="17"/>
                <w:color w:val="auto"/>
              </w:rPr>
            </w:pPr>
          </w:p>
        </w:tc>
        <w:tc>
          <w:tcPr>
            <w:tcW w:w="9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Total accumulated postretirement benefits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obligation......................................</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800</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987</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Unrecognized prior service credits..........................</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1,006</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1,324</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Unrecognized net loss.......................................</w:t>
            </w:r>
          </w:p>
        </w:tc>
        <w:tc>
          <w:tcPr>
            <w:tcW w:w="22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(354)</w:t>
            </w:r>
          </w:p>
        </w:tc>
      </w:tr>
      <w:tr>
        <w:trPr>
          <w:trHeight w:val="196"/>
        </w:trPr>
        <w:tc>
          <w:tcPr>
            <w:tcW w:w="6220" w:type="dxa"/>
            <w:vAlign w:val="bottom"/>
          </w:tcPr>
          <w:p>
            <w:pPr>
              <w:spacing w:after="0"/>
              <w:rPr>
                <w:sz w:val="17"/>
                <w:szCs w:val="17"/>
                <w:color w:val="auto"/>
              </w:rPr>
            </w:pPr>
          </w:p>
        </w:tc>
        <w:tc>
          <w:tcPr>
            <w:tcW w:w="9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Postretirement benefits liability.................</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1,502</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$1,957</w:t>
            </w:r>
          </w:p>
        </w:tc>
      </w:tr>
      <w:tr>
        <w:trPr>
          <w:trHeight w:val="196"/>
        </w:trPr>
        <w:tc>
          <w:tcPr>
            <w:tcW w:w="6220" w:type="dxa"/>
            <w:vAlign w:val="bottom"/>
          </w:tcPr>
          <w:p>
            <w:pPr>
              <w:spacing w:after="0"/>
              <w:rPr>
                <w:sz w:val="17"/>
                <w:szCs w:val="17"/>
                <w:color w:val="auto"/>
              </w:rPr>
            </w:pPr>
          </w:p>
        </w:tc>
        <w:tc>
          <w:tcPr>
            <w:tcW w:w="9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11" w:right="1440" w:bottom="1440"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1" w:right="1440" w:bottom="1440"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Net periodic postretirement benefits cost includes the following components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785"/>
        </w:trPr>
        <w:tc>
          <w:tcPr>
            <w:tcW w:w="6220" w:type="dxa"/>
            <w:vAlign w:val="bottom"/>
          </w:tcPr>
          <w:p>
            <w:pPr>
              <w:spacing w:after="0"/>
              <w:rPr>
                <w:sz w:val="24"/>
                <w:szCs w:val="24"/>
                <w:color w:val="auto"/>
              </w:rPr>
            </w:pPr>
          </w:p>
        </w:tc>
        <w:tc>
          <w:tcPr>
            <w:tcW w:w="184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YEARS ENDED</w:t>
            </w:r>
          </w:p>
        </w:tc>
      </w:tr>
      <w:tr>
        <w:trPr>
          <w:trHeight w:val="196"/>
        </w:trPr>
        <w:tc>
          <w:tcPr>
            <w:tcW w:w="6220" w:type="dxa"/>
            <w:vAlign w:val="bottom"/>
          </w:tcPr>
          <w:p>
            <w:pPr>
              <w:spacing w:after="0"/>
              <w:rPr>
                <w:sz w:val="17"/>
                <w:szCs w:val="17"/>
                <w:color w:val="auto"/>
              </w:rPr>
            </w:pPr>
          </w:p>
        </w:tc>
        <w:tc>
          <w:tcPr>
            <w:tcW w:w="184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OCTOBER 31,</w:t>
            </w:r>
          </w:p>
        </w:tc>
      </w:tr>
      <w:tr>
        <w:trPr>
          <w:trHeight w:val="196"/>
        </w:trPr>
        <w:tc>
          <w:tcPr>
            <w:tcW w:w="6220" w:type="dxa"/>
            <w:vAlign w:val="bottom"/>
          </w:tcPr>
          <w:p>
            <w:pPr>
              <w:spacing w:after="0"/>
              <w:rPr>
                <w:sz w:val="17"/>
                <w:szCs w:val="17"/>
                <w:color w:val="auto"/>
              </w:rPr>
            </w:pPr>
          </w:p>
        </w:tc>
        <w:tc>
          <w:tcPr>
            <w:tcW w:w="18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Service cost of benefits earned during the period...........</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10</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12</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Interest cost on accumulated postretirement benefit</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obligation................................................</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54</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67</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Amortization of unrecognized prior service credits..........</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(318)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(317)</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Amortization of net loss and transition obligation..........</w:t>
            </w: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32</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periodic postretirement benefits cost.........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$(228)</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assumed health care cost trend rate in measuring the accumulated postretirement benefits obligation was ten percent in fiscal year 1996 decreasing to six percent by fiscal year 2000. If the health care trend rate assumptions were increased by one percent, the accumulated postretirement benefits obligation, as of October 31, 1996, would be increased by 8.8 percent. The effect of this change on the net postretirement benefit cost for 1996 would be an increase of 8.7 percent. The weighted average discount rate used in determining the accumulated postretirement benefits obligation was 7.0 and 6.5 percent for fiscal years 1996 and 1995, respectively.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 DEBT</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In June 1990, the Company concluded a private placement of $15,000,000 in term notes due through June 1997. The notes, with interest at a fixed rate of 10.4 percent, are unsecured. The loan agreements require, among other things, maintenance of minimum levels of working capital and tangible net worth and places various restrictions on the payment of dividends and investments, as defined. The amounts of funds available for payment of dividends and investments, as defined, at October 31, 1996 and 1995 were $16,784,000 and $15,630,000, respectively.</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In October 1995, the Company entered into an agreement for a $15,000,000 revolving line of credit with a major U.S. bank that replaced an existing line of credit. The agreement provides for interest at the bank's prime rate on amounts borrowed and a fee of .25 percent on the unused balance. The agreement contains customary affirmative and negative covenants and requirements to maintain a minimum level of working capital and tangible net worth and places restrictions on the payment of dividends and investments, as defined. The agreement matures on August 15, 1998. As of October 31, 1996, the Company did not have any balance outstanding under this line of credit.</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Long-term debt is summarized below (in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OCTOBER 31,</w:t>
            </w:r>
          </w:p>
        </w:tc>
      </w:tr>
      <w:tr>
        <w:trPr>
          <w:trHeight w:val="196"/>
        </w:trPr>
        <w:tc>
          <w:tcPr>
            <w:tcW w:w="6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15"/>
              <w:spacing w:after="0"/>
              <w:rPr>
                <w:sz w:val="20"/>
                <w:szCs w:val="20"/>
                <w:color w:val="auto"/>
              </w:rPr>
            </w:pPr>
            <w:r>
              <w:rPr>
                <w:rFonts w:ascii="Courier New" w:cs="Courier New" w:eastAsia="Courier New" w:hAnsi="Courier New"/>
                <w:sz w:val="17"/>
                <w:szCs w:val="17"/>
                <w:color w:val="auto"/>
                <w:w w:val="93"/>
              </w:rPr>
              <w:t>1996</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10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Term notes..................................................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4"/>
              </w:rPr>
              <w:t>3,750</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$6,563</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Less-current maturities.....................................</w:t>
            </w:r>
          </w:p>
        </w:tc>
        <w:tc>
          <w:tcPr>
            <w:tcW w:w="220" w:type="dxa"/>
            <w:vAlign w:val="bottom"/>
          </w:tcPr>
          <w:p>
            <w:pPr>
              <w:spacing w:after="0"/>
              <w:rPr>
                <w:sz w:val="17"/>
                <w:szCs w:val="17"/>
                <w:color w:val="auto"/>
              </w:rPr>
            </w:pPr>
          </w:p>
        </w:tc>
        <w:tc>
          <w:tcPr>
            <w:tcW w:w="80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4"/>
              </w:rPr>
              <w:t>3,750</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2,813</w:t>
            </w:r>
          </w:p>
        </w:tc>
      </w:tr>
      <w:tr>
        <w:trPr>
          <w:trHeight w:val="196"/>
        </w:trPr>
        <w:tc>
          <w:tcPr>
            <w:tcW w:w="6220" w:type="dxa"/>
            <w:vAlign w:val="bottom"/>
          </w:tcPr>
          <w:p>
            <w:pPr>
              <w:spacing w:after="0"/>
              <w:rPr>
                <w:sz w:val="17"/>
                <w:szCs w:val="17"/>
                <w:color w:val="auto"/>
              </w:rPr>
            </w:pPr>
          </w:p>
        </w:tc>
        <w:tc>
          <w:tcPr>
            <w:tcW w:w="10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long-term debt..............................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$3,750</w:t>
            </w:r>
          </w:p>
        </w:tc>
      </w:tr>
      <w:tr>
        <w:trPr>
          <w:trHeight w:val="196"/>
        </w:trPr>
        <w:tc>
          <w:tcPr>
            <w:tcW w:w="6220" w:type="dxa"/>
            <w:vAlign w:val="bottom"/>
          </w:tcPr>
          <w:p>
            <w:pPr>
              <w:spacing w:after="0"/>
              <w:rPr>
                <w:sz w:val="17"/>
                <w:szCs w:val="17"/>
                <w:color w:val="auto"/>
              </w:rPr>
            </w:pPr>
          </w:p>
        </w:tc>
        <w:tc>
          <w:tcPr>
            <w:tcW w:w="10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059" w:firstLine="510"/>
        <w:spacing w:after="0" w:line="266" w:lineRule="auto"/>
        <w:rPr>
          <w:sz w:val="20"/>
          <w:szCs w:val="20"/>
          <w:color w:val="auto"/>
        </w:rPr>
      </w:pPr>
      <w:r>
        <w:rPr>
          <w:rFonts w:ascii="Courier New" w:cs="Courier New" w:eastAsia="Courier New" w:hAnsi="Courier New"/>
          <w:sz w:val="16"/>
          <w:szCs w:val="16"/>
          <w:color w:val="auto"/>
        </w:rPr>
        <w:t>Interest paid during the year was $683,000, $1,157,000 and $1,379,000 in 1996, 1995 and 1994, respectively. The interest expense recorded during the year was $637,000, $1,047,000 and $1,244,000 in 1996, 1995 and 1994, respectively.</w:t>
      </w:r>
    </w:p>
    <w:p>
      <w:pPr>
        <w:sectPr>
          <w:pgSz w:w="11900" w:h="16838" w:orient="portrait"/>
          <w:cols w:equalWidth="0" w:num="1">
            <w:col w:w="10219"/>
          </w:cols>
          <w:pgMar w:left="240" w:top="311" w:right="1440" w:bottom="477" w:gutter="0" w:footer="0" w:header="0"/>
        </w:sectPr>
      </w:pPr>
    </w:p>
    <w:p>
      <w:pPr>
        <w:spacing w:after="0" w:line="18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1" w:right="1440" w:bottom="477"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 INCOME TAXES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net deferred tax asset is comprised of the following (in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184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OCTOBER 31,</w:t>
            </w:r>
          </w:p>
        </w:tc>
      </w:tr>
      <w:tr>
        <w:trPr>
          <w:trHeight w:val="196"/>
        </w:trPr>
        <w:tc>
          <w:tcPr>
            <w:tcW w:w="6220" w:type="dxa"/>
            <w:vAlign w:val="bottom"/>
          </w:tcPr>
          <w:p>
            <w:pPr>
              <w:spacing w:after="0"/>
              <w:rPr>
                <w:sz w:val="17"/>
                <w:szCs w:val="17"/>
                <w:color w:val="auto"/>
              </w:rPr>
            </w:pPr>
          </w:p>
        </w:tc>
        <w:tc>
          <w:tcPr>
            <w:tcW w:w="18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1996</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Current deferred taxes: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Gross assets..............................................</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$2,909</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$1,065</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Gross liabilities.........................................</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(337)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(563)</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current deferred tax asset....................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2,572</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502</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Noncurrent deferred taxes:</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Gross assets..............................................</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1,673</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1,467</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Gross liabilities.........................................</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(509)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(345)</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noncurrent deferred tax asset.................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1,164</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1,122</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deferred tax asset............................</w:t>
            </w: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$3,736</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$1,624</w:t>
            </w:r>
          </w:p>
        </w:tc>
      </w:tr>
      <w:tr>
        <w:trPr>
          <w:trHeight w:val="196"/>
        </w:trPr>
        <w:tc>
          <w:tcPr>
            <w:tcW w:w="6220" w:type="dxa"/>
            <w:vAlign w:val="bottom"/>
          </w:tcPr>
          <w:p>
            <w:pPr>
              <w:spacing w:after="0"/>
              <w:rPr>
                <w:sz w:val="17"/>
                <w:szCs w:val="17"/>
                <w:color w:val="auto"/>
              </w:rPr>
            </w:pPr>
          </w:p>
        </w:tc>
        <w:tc>
          <w:tcPr>
            <w:tcW w:w="9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The tax effect of significant temporary differences representing deferred tax assets and liabilities are as follows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OCTOBER 31,</w:t>
            </w:r>
          </w:p>
        </w:tc>
      </w:tr>
      <w:tr>
        <w:trPr>
          <w:trHeight w:val="196"/>
        </w:trPr>
        <w:tc>
          <w:tcPr>
            <w:tcW w:w="6220" w:type="dxa"/>
            <w:vAlign w:val="bottom"/>
          </w:tcPr>
          <w:p>
            <w:pPr>
              <w:spacing w:after="0"/>
              <w:rPr>
                <w:sz w:val="17"/>
                <w:szCs w:val="17"/>
                <w:color w:val="auto"/>
              </w:rPr>
            </w:pPr>
          </w:p>
        </w:tc>
        <w:tc>
          <w:tcPr>
            <w:tcW w:w="184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93"/>
              </w:rPr>
              <w:t>1996</w:t>
            </w:r>
          </w:p>
        </w:tc>
        <w:tc>
          <w:tcPr>
            <w:tcW w:w="8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9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Allowance for doubtful accounts.............................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264</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234</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Reserve for accrued employee benefits.......................</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397</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326</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Warranty reserves...........................................</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549</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468</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Uncompleted long-term contracts.............................</w:t>
            </w:r>
          </w:p>
        </w:tc>
        <w:tc>
          <w:tcPr>
            <w:tcW w:w="22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(337)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(605)</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Depreciation and amortization...............................</w:t>
            </w:r>
          </w:p>
        </w:tc>
        <w:tc>
          <w:tcPr>
            <w:tcW w:w="22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(432)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(282)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Deferred compensation.......................................</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733</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Postretirement benefits liability...........................</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510</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665</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Accrued legal expenses......................................</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1,327</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263</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w:t>
            </w:r>
          </w:p>
        </w:tc>
        <w:tc>
          <w:tcPr>
            <w:tcW w:w="22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725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(127)</w:t>
            </w:r>
          </w:p>
        </w:tc>
      </w:tr>
      <w:tr>
        <w:trPr>
          <w:trHeight w:val="196"/>
        </w:trPr>
        <w:tc>
          <w:tcPr>
            <w:tcW w:w="6220" w:type="dxa"/>
            <w:vAlign w:val="bottom"/>
          </w:tcPr>
          <w:p>
            <w:pPr>
              <w:spacing w:after="0"/>
              <w:rPr>
                <w:sz w:val="17"/>
                <w:szCs w:val="17"/>
                <w:color w:val="auto"/>
              </w:rPr>
            </w:pPr>
          </w:p>
        </w:tc>
        <w:tc>
          <w:tcPr>
            <w:tcW w:w="9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deferred tax asset............................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4"/>
              </w:rPr>
              <w:t>3,736</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$1,624</w:t>
            </w:r>
          </w:p>
        </w:tc>
      </w:tr>
      <w:tr>
        <w:trPr>
          <w:trHeight w:val="196"/>
        </w:trPr>
        <w:tc>
          <w:tcPr>
            <w:tcW w:w="6220" w:type="dxa"/>
            <w:vAlign w:val="bottom"/>
          </w:tcPr>
          <w:p>
            <w:pPr>
              <w:spacing w:after="0"/>
              <w:rPr>
                <w:sz w:val="17"/>
                <w:szCs w:val="17"/>
                <w:color w:val="auto"/>
              </w:rPr>
            </w:pPr>
          </w:p>
        </w:tc>
        <w:tc>
          <w:tcPr>
            <w:tcW w:w="98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The components of the income tax provision consist of the following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2960" w:type="dxa"/>
            <w:vAlign w:val="bottom"/>
            <w:gridSpan w:val="3"/>
          </w:tcPr>
          <w:p>
            <w:pPr>
              <w:jc w:val="right"/>
              <w:ind w:right="215"/>
              <w:spacing w:after="0"/>
              <w:rPr>
                <w:sz w:val="20"/>
                <w:szCs w:val="20"/>
                <w:color w:val="auto"/>
              </w:rPr>
            </w:pPr>
            <w:r>
              <w:rPr>
                <w:rFonts w:ascii="Courier New" w:cs="Courier New" w:eastAsia="Courier New" w:hAnsi="Courier New"/>
                <w:sz w:val="17"/>
                <w:szCs w:val="17"/>
                <w:color w:val="auto"/>
              </w:rPr>
              <w:t>YEARS ENDED OCTOBER 31,</w:t>
            </w:r>
          </w:p>
        </w:tc>
      </w:tr>
      <w:tr>
        <w:trPr>
          <w:trHeight w:val="196"/>
        </w:trPr>
        <w:tc>
          <w:tcPr>
            <w:tcW w:w="5820" w:type="dxa"/>
            <w:vAlign w:val="bottom"/>
          </w:tcPr>
          <w:p>
            <w:pPr>
              <w:spacing w:after="0"/>
              <w:rPr>
                <w:sz w:val="17"/>
                <w:szCs w:val="17"/>
                <w:color w:val="auto"/>
              </w:rPr>
            </w:pPr>
          </w:p>
        </w:tc>
        <w:tc>
          <w:tcPr>
            <w:tcW w:w="2960" w:type="dxa"/>
            <w:vAlign w:val="bottom"/>
            <w:gridSpan w:val="3"/>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20" w:type="dxa"/>
            <w:vAlign w:val="bottom"/>
          </w:tcPr>
          <w:p>
            <w:pPr>
              <w:spacing w:after="0"/>
              <w:rPr>
                <w:sz w:val="17"/>
                <w:szCs w:val="17"/>
                <w:color w:val="auto"/>
              </w:rPr>
            </w:pPr>
          </w:p>
        </w:tc>
        <w:tc>
          <w:tcPr>
            <w:tcW w:w="1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1995</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58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82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Federal...............................................</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$ 7,135</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$2,154</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$2,233</w:t>
            </w:r>
          </w:p>
        </w:tc>
      </w:tr>
      <w:tr>
        <w:trPr>
          <w:trHeight w:val="196"/>
        </w:trPr>
        <w:tc>
          <w:tcPr>
            <w:tcW w:w="5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State.................................................</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222</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114</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137</w:t>
            </w:r>
          </w:p>
        </w:tc>
      </w:tr>
      <w:tr>
        <w:trPr>
          <w:trHeight w:val="1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Federal...............................................</w:t>
            </w:r>
          </w:p>
        </w:tc>
        <w:tc>
          <w:tcPr>
            <w:tcW w:w="10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(2,112)</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742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(548)</w:t>
            </w:r>
          </w:p>
        </w:tc>
      </w:tr>
      <w:tr>
        <w:trPr>
          <w:trHeight w:val="196"/>
        </w:trPr>
        <w:tc>
          <w:tcPr>
            <w:tcW w:w="58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income tax provision....................</w:t>
            </w: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$ 5,245</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$3,010</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$1,822</w:t>
            </w:r>
          </w:p>
        </w:tc>
      </w:tr>
      <w:tr>
        <w:trPr>
          <w:trHeight w:val="196"/>
        </w:trPr>
        <w:tc>
          <w:tcPr>
            <w:tcW w:w="5820" w:type="dxa"/>
            <w:vAlign w:val="bottom"/>
          </w:tcPr>
          <w:p>
            <w:pPr>
              <w:spacing w:after="0"/>
              <w:rPr>
                <w:sz w:val="17"/>
                <w:szCs w:val="17"/>
                <w:color w:val="auto"/>
              </w:rPr>
            </w:pPr>
          </w:p>
        </w:tc>
        <w:tc>
          <w:tcPr>
            <w:tcW w:w="10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11" w:right="1440" w:bottom="673"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1" w:right="1440" w:bottom="673"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A reconciliation of the statutory U.S. income tax rate and the effective income tax rate, as computed on earnings from continuing operations before income taxes reflected in each of the three years presented in the Consolidated Statements of Operations is as follows: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460" w:type="dxa"/>
            <w:vAlign w:val="bottom"/>
            <w:gridSpan w:val="3"/>
          </w:tcPr>
          <w:p>
            <w:pPr>
              <w:ind w:left="120"/>
              <w:spacing w:after="0"/>
              <w:rPr>
                <w:sz w:val="20"/>
                <w:szCs w:val="20"/>
                <w:color w:val="auto"/>
              </w:rPr>
            </w:pPr>
            <w:r>
              <w:rPr>
                <w:rFonts w:ascii="Courier New" w:cs="Courier New" w:eastAsia="Courier New" w:hAnsi="Courier New"/>
                <w:sz w:val="17"/>
                <w:szCs w:val="17"/>
                <w:color w:val="auto"/>
                <w:w w:val="98"/>
              </w:rPr>
              <w:t>YEARS ENDED OCTOBER 31,</w:t>
            </w:r>
          </w:p>
        </w:tc>
      </w:tr>
      <w:tr>
        <w:trPr>
          <w:trHeight w:val="196"/>
        </w:trPr>
        <w:tc>
          <w:tcPr>
            <w:tcW w:w="6220" w:type="dxa"/>
            <w:vAlign w:val="bottom"/>
          </w:tcPr>
          <w:p>
            <w:pPr>
              <w:spacing w:after="0"/>
              <w:rPr>
                <w:sz w:val="17"/>
                <w:szCs w:val="17"/>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1995</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220" w:type="dxa"/>
            <w:vAlign w:val="bottom"/>
          </w:tcPr>
          <w:p>
            <w:pPr>
              <w:spacing w:after="0"/>
              <w:rPr>
                <w:sz w:val="17"/>
                <w:szCs w:val="17"/>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spacing w:after="0"/>
              <w:rPr>
                <w:sz w:val="20"/>
                <w:szCs w:val="20"/>
                <w:color w:val="auto"/>
              </w:rPr>
            </w:pPr>
            <w:r>
              <w:rPr>
                <w:rFonts w:ascii="Courier New" w:cs="Courier New" w:eastAsia="Courier New" w:hAnsi="Courier New"/>
                <w:sz w:val="17"/>
                <w:szCs w:val="17"/>
                <w:color w:val="auto"/>
              </w:rPr>
              <w:t>Statutory rate..............................................</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Foreign sales corporation credits...........................</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Revision of previous estimates of income taxes payable......</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State income taxes, net of federal benefit..................</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w:t>
            </w: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w:t>
            </w: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20"/>
                <w:szCs w:val="20"/>
                <w:color w:val="auto"/>
              </w:rPr>
            </w:pPr>
            <w:r>
              <w:rPr>
                <w:rFonts w:ascii="Courier New" w:cs="Courier New" w:eastAsia="Courier New" w:hAnsi="Courier New"/>
                <w:sz w:val="17"/>
                <w:szCs w:val="17"/>
                <w:color w:val="auto"/>
              </w:rPr>
              <w:t>Effective rate..............................................</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33%</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6"/>
        </w:trPr>
        <w:tc>
          <w:tcPr>
            <w:tcW w:w="6220" w:type="dxa"/>
            <w:vAlign w:val="bottom"/>
          </w:tcPr>
          <w:p>
            <w:pPr>
              <w:spacing w:after="0"/>
              <w:rPr>
                <w:sz w:val="17"/>
                <w:szCs w:val="17"/>
                <w:color w:val="auto"/>
              </w:rPr>
            </w:pP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Total cash payments for income taxes during the year were $3,211,000, $2,062,000 and $1,716,000 in fiscal years 1996, 1995 and 1994, respectively.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 SIGNIFICANT SALES DATA</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No single customer or export country accounted for more than 10 percent of consolidated revenues in fiscal years 1996, 1995 and 1994.</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Export sales are as follows (in thousands):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3060" w:type="dxa"/>
            <w:vAlign w:val="bottom"/>
            <w:gridSpan w:val="4"/>
          </w:tcPr>
          <w:p>
            <w:pPr>
              <w:jc w:val="right"/>
              <w:ind w:right="215"/>
              <w:spacing w:after="0"/>
              <w:rPr>
                <w:sz w:val="20"/>
                <w:szCs w:val="20"/>
                <w:color w:val="auto"/>
              </w:rPr>
            </w:pPr>
            <w:r>
              <w:rPr>
                <w:rFonts w:ascii="Courier New" w:cs="Courier New" w:eastAsia="Courier New" w:hAnsi="Courier New"/>
                <w:sz w:val="17"/>
                <w:szCs w:val="17"/>
                <w:color w:val="auto"/>
              </w:rPr>
              <w:t>YEARS ENDED OCTOBER 31,</w:t>
            </w:r>
          </w:p>
        </w:tc>
      </w:tr>
      <w:tr>
        <w:trPr>
          <w:trHeight w:val="196"/>
        </w:trPr>
        <w:tc>
          <w:tcPr>
            <w:tcW w:w="562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1996</w:t>
            </w:r>
          </w:p>
        </w:tc>
        <w:tc>
          <w:tcPr>
            <w:tcW w:w="11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7"/>
                <w:szCs w:val="17"/>
                <w:color w:val="auto"/>
              </w:rPr>
            </w:pPr>
          </w:p>
        </w:tc>
        <w:tc>
          <w:tcPr>
            <w:tcW w:w="6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1994</w:t>
            </w:r>
          </w:p>
        </w:tc>
      </w:tr>
      <w:tr>
        <w:trPr>
          <w:trHeight w:val="196"/>
        </w:trPr>
        <w:tc>
          <w:tcPr>
            <w:tcW w:w="562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Europe (including former Soviet Union)................</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$ 5,680</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$ 2,908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316</w:t>
            </w: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Far East..............................................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24,948</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16,778</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19,199</w:t>
            </w: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Middle East and Africa................................</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12,928</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5,997</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7,766</w:t>
            </w: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North, Central and South America (Excluding U. S.)....</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20,328</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13,808</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13,870</w:t>
            </w:r>
          </w:p>
        </w:tc>
      </w:tr>
      <w:tr>
        <w:trPr>
          <w:trHeight w:val="196"/>
        </w:trPr>
        <w:tc>
          <w:tcPr>
            <w:tcW w:w="562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export sales..........................</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$63,884</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$39,491</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$41,151</w:t>
            </w:r>
          </w:p>
        </w:tc>
      </w:tr>
      <w:tr>
        <w:trPr>
          <w:trHeight w:val="196"/>
        </w:trPr>
        <w:tc>
          <w:tcPr>
            <w:tcW w:w="562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COMMITMENTS AND CONTINGENCIES</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Leases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leases certain offices, facilities and equipment under operating leases expiring at various dates through 2003. At October 31, 1996, the minimum annual rental commitments under leases having terms in excess of one year are as follows (in thousands):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40" w:type="dxa"/>
            <w:vAlign w:val="bottom"/>
          </w:tcPr>
          <w:p>
            <w:pPr>
              <w:spacing w:after="0"/>
              <w:rPr>
                <w:sz w:val="20"/>
                <w:szCs w:val="20"/>
                <w:color w:val="auto"/>
              </w:rPr>
            </w:pPr>
            <w:r>
              <w:rPr>
                <w:rFonts w:ascii="Courier New" w:cs="Courier New" w:eastAsia="Courier New" w:hAnsi="Courier New"/>
                <w:sz w:val="17"/>
                <w:szCs w:val="17"/>
                <w:color w:val="auto"/>
              </w:rPr>
              <w:t>YEAR ENDING</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OPERATING</w:t>
            </w:r>
          </w:p>
        </w:tc>
      </w:tr>
      <w:tr>
        <w:trPr>
          <w:trHeight w:val="196"/>
        </w:trPr>
        <w:tc>
          <w:tcPr>
            <w:tcW w:w="7240" w:type="dxa"/>
            <w:vAlign w:val="bottom"/>
          </w:tcPr>
          <w:p>
            <w:pPr>
              <w:spacing w:after="0"/>
              <w:rPr>
                <w:sz w:val="20"/>
                <w:szCs w:val="20"/>
                <w:color w:val="auto"/>
              </w:rPr>
            </w:pPr>
            <w:r>
              <w:rPr>
                <w:rFonts w:ascii="Courier New" w:cs="Courier New" w:eastAsia="Courier New" w:hAnsi="Courier New"/>
                <w:sz w:val="17"/>
                <w:szCs w:val="17"/>
                <w:color w:val="auto"/>
              </w:rPr>
              <w:t>OCTOBER 31</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LEASES</w:t>
            </w:r>
          </w:p>
        </w:tc>
      </w:tr>
      <w:tr>
        <w:trPr>
          <w:trHeight w:val="196"/>
        </w:trPr>
        <w:tc>
          <w:tcPr>
            <w:tcW w:w="7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  875</w:t>
            </w:r>
          </w:p>
        </w:tc>
      </w:tr>
      <w:tr>
        <w:trPr>
          <w:trHeight w:val="196"/>
        </w:trPr>
        <w:tc>
          <w:tcPr>
            <w:tcW w:w="7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1998................................................................</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635</w:t>
            </w:r>
          </w:p>
        </w:tc>
      </w:tr>
      <w:tr>
        <w:trPr>
          <w:trHeight w:val="196"/>
        </w:trPr>
        <w:tc>
          <w:tcPr>
            <w:tcW w:w="7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1999................................................................</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661</w:t>
            </w:r>
          </w:p>
        </w:tc>
      </w:tr>
      <w:tr>
        <w:trPr>
          <w:trHeight w:val="196"/>
        </w:trPr>
        <w:tc>
          <w:tcPr>
            <w:tcW w:w="7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2000................................................................</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553</w:t>
            </w:r>
          </w:p>
        </w:tc>
      </w:tr>
      <w:tr>
        <w:trPr>
          <w:trHeight w:val="196"/>
        </w:trPr>
        <w:tc>
          <w:tcPr>
            <w:tcW w:w="7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2001................................................................</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517</w:t>
            </w:r>
          </w:p>
        </w:tc>
      </w:tr>
      <w:tr>
        <w:trPr>
          <w:trHeight w:val="196"/>
        </w:trPr>
        <w:tc>
          <w:tcPr>
            <w:tcW w:w="7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Thereafter..........................................................</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408</w:t>
            </w:r>
          </w:p>
        </w:tc>
      </w:tr>
      <w:tr>
        <w:trPr>
          <w:trHeight w:val="196"/>
        </w:trPr>
        <w:tc>
          <w:tcPr>
            <w:tcW w:w="724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7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lease commitments...................................</w:t>
            </w: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$3,649</w:t>
            </w:r>
          </w:p>
        </w:tc>
      </w:tr>
      <w:tr>
        <w:trPr>
          <w:trHeight w:val="196"/>
        </w:trPr>
        <w:tc>
          <w:tcPr>
            <w:tcW w:w="724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Lease expense for all operating leases, excluding leases with terms of less than one year, was $908,000, $623,000 and $758,000 for fiscal years 1996, 1995 and 1994, respectively.</w:t>
      </w:r>
    </w:p>
    <w:p>
      <w:pPr>
        <w:sectPr>
          <w:pgSz w:w="11900" w:h="16838" w:orient="portrait"/>
          <w:cols w:equalWidth="0" w:num="1">
            <w:col w:w="10219"/>
          </w:cols>
          <w:pgMar w:left="240" w:top="311" w:right="1440" w:bottom="0" w:gutter="0" w:footer="0" w:header="0"/>
        </w:sectPr>
      </w:pPr>
    </w:p>
    <w:bookmarkStart w:id="21" w:name="page22"/>
    <w:bookmarkEnd w:id="21"/>
    <w:p>
      <w:pPr>
        <w:ind w:left="2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019"/>
          </w:cols>
          <w:pgMar w:left="1440" w:top="338"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Letters of Credit</w:t>
      </w:r>
    </w:p>
    <w:p>
      <w:pPr>
        <w:spacing w:after="0" w:line="201" w:lineRule="exact"/>
        <w:rPr>
          <w:sz w:val="20"/>
          <w:szCs w:val="20"/>
          <w:color w:val="auto"/>
        </w:rPr>
      </w:pPr>
    </w:p>
    <w:p>
      <w:pPr>
        <w:jc w:val="both"/>
        <w:ind w:right="2440" w:firstLine="510"/>
        <w:spacing w:after="0" w:line="243" w:lineRule="auto"/>
        <w:rPr>
          <w:sz w:val="20"/>
          <w:szCs w:val="20"/>
          <w:color w:val="auto"/>
        </w:rPr>
      </w:pPr>
      <w:r>
        <w:rPr>
          <w:rFonts w:ascii="Courier New" w:cs="Courier New" w:eastAsia="Courier New" w:hAnsi="Courier New"/>
          <w:sz w:val="17"/>
          <w:szCs w:val="17"/>
          <w:color w:val="auto"/>
        </w:rPr>
        <w:t>The Company is contingently liable for secured and unsecured letters of credit totaling approximately $2,514,000 that were outstanding at October 31, 1996.</w:t>
      </w:r>
    </w:p>
    <w:p>
      <w:pPr>
        <w:spacing w:after="0" w:line="19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Litigation</w:t>
      </w:r>
    </w:p>
    <w:p>
      <w:pPr>
        <w:spacing w:after="0" w:line="201" w:lineRule="exact"/>
        <w:rPr>
          <w:sz w:val="20"/>
          <w:szCs w:val="20"/>
          <w:color w:val="auto"/>
        </w:rPr>
      </w:pPr>
    </w:p>
    <w:p>
      <w:pPr>
        <w:ind w:right="2240" w:firstLine="510"/>
        <w:spacing w:after="0" w:line="244" w:lineRule="auto"/>
        <w:rPr>
          <w:sz w:val="20"/>
          <w:szCs w:val="20"/>
          <w:color w:val="auto"/>
        </w:rPr>
      </w:pPr>
      <w:r>
        <w:rPr>
          <w:rFonts w:ascii="Courier New" w:cs="Courier New" w:eastAsia="Courier New" w:hAnsi="Courier New"/>
          <w:sz w:val="17"/>
          <w:szCs w:val="17"/>
          <w:color w:val="auto"/>
        </w:rPr>
        <w:t>On August 5, 1993, the Company was served with a lawsuit by National Westminster Bank plc ("NatWest") alleging the Company had defaulted on a Construction Guaranty provided to NatWest in 1992 in connection with a project at MacDill Air Force Base. NatWest is seeking damages in excess of $20,000,000. The Company has denied the substantive allegations of the complaint and has filed counterclaims for damages against NatWest alleging fraud, bad faith and failure to preserve and protect its collateral and seeking a declaratory judgement that the Company is not in default of the Construction Guaranty.</w:t>
      </w:r>
    </w:p>
    <w:p>
      <w:pPr>
        <w:spacing w:after="0" w:line="199" w:lineRule="exact"/>
        <w:rPr>
          <w:sz w:val="20"/>
          <w:szCs w:val="20"/>
          <w:color w:val="auto"/>
        </w:rPr>
      </w:pPr>
    </w:p>
    <w:p>
      <w:pPr>
        <w:ind w:right="2140" w:firstLine="510"/>
        <w:spacing w:after="0" w:line="244" w:lineRule="auto"/>
        <w:rPr>
          <w:sz w:val="20"/>
          <w:szCs w:val="20"/>
          <w:color w:val="auto"/>
        </w:rPr>
      </w:pPr>
      <w:r>
        <w:rPr>
          <w:rFonts w:ascii="Courier New" w:cs="Courier New" w:eastAsia="Courier New" w:hAnsi="Courier New"/>
          <w:sz w:val="17"/>
          <w:szCs w:val="17"/>
          <w:color w:val="auto"/>
        </w:rPr>
        <w:t>The ultimate disposition of the NatWest litigation is not presently determinable. Accordingly, although an unfavorable outcome to the NatWest litigation could have a material effect on the Company's financial position and results of operations, the Company believes it would be unreasonable to conclude that an unfavorable outcome is probable.</w:t>
      </w:r>
    </w:p>
    <w:p>
      <w:pPr>
        <w:spacing w:after="0" w:line="198" w:lineRule="exact"/>
        <w:rPr>
          <w:sz w:val="20"/>
          <w:szCs w:val="20"/>
          <w:color w:val="auto"/>
        </w:rPr>
      </w:pPr>
    </w:p>
    <w:p>
      <w:pPr>
        <w:jc w:val="both"/>
        <w:ind w:right="2440" w:firstLine="510"/>
        <w:spacing w:after="0" w:line="244" w:lineRule="auto"/>
        <w:rPr>
          <w:sz w:val="20"/>
          <w:szCs w:val="20"/>
          <w:color w:val="auto"/>
        </w:rPr>
      </w:pPr>
      <w:r>
        <w:rPr>
          <w:rFonts w:ascii="Courier New" w:cs="Courier New" w:eastAsia="Courier New" w:hAnsi="Courier New"/>
          <w:sz w:val="17"/>
          <w:szCs w:val="17"/>
          <w:color w:val="auto"/>
        </w:rPr>
        <w:t>The Company is party to other disputes arising in the ordinary course of business. Management does not believe the ultimate outcome of these disputes will materially effect the financial position or results of operations of the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 STOCK OPTION PLAN</w:t>
      </w:r>
    </w:p>
    <w:p>
      <w:pPr>
        <w:spacing w:after="0" w:line="201" w:lineRule="exact"/>
        <w:rPr>
          <w:sz w:val="20"/>
          <w:szCs w:val="20"/>
          <w:color w:val="auto"/>
        </w:rPr>
      </w:pPr>
    </w:p>
    <w:p>
      <w:pPr>
        <w:ind w:right="2140" w:firstLine="510"/>
        <w:spacing w:after="0" w:line="244" w:lineRule="auto"/>
        <w:rPr>
          <w:sz w:val="20"/>
          <w:szCs w:val="20"/>
          <w:color w:val="auto"/>
        </w:rPr>
      </w:pPr>
      <w:r>
        <w:rPr>
          <w:rFonts w:ascii="Courier New" w:cs="Courier New" w:eastAsia="Courier New" w:hAnsi="Courier New"/>
          <w:sz w:val="17"/>
          <w:szCs w:val="17"/>
          <w:color w:val="auto"/>
        </w:rPr>
        <w:t>In March 1992, the stockholders approved an amendment to a plan that was adopted in March 1989, in which 750,000 shares of common stock would be made available through an incentive program for certain employees of the Company. The awards under this plan are subject to certain conditions and restrictions as determined by the Compensation Committee of the Board of Directors. The fair market value of the shares awarded is deferred and amortized to compensation expense on a straight-line basis over the vesting period. The vesting period for shares awarded vary from the date of the grant up to five years. In March 1996, the stockholders approved an amendment to increase the maximum shares available under the Plan from 750,000 shares to 1,500,000 shares of common stock. The Company recognized compensation expense related to stock grants pursuant to this plan of $487,000, $156,000 and $178,000 in fiscal years 1996, 1995 and 1994, respectively.</w:t>
      </w:r>
    </w:p>
    <w:p>
      <w:pPr>
        <w:spacing w:after="0" w:line="202" w:lineRule="exact"/>
        <w:rPr>
          <w:sz w:val="20"/>
          <w:szCs w:val="20"/>
          <w:color w:val="auto"/>
        </w:rPr>
      </w:pPr>
    </w:p>
    <w:p>
      <w:pPr>
        <w:ind w:right="2240" w:firstLine="510"/>
        <w:spacing w:after="0" w:line="243" w:lineRule="auto"/>
        <w:rPr>
          <w:sz w:val="20"/>
          <w:szCs w:val="20"/>
          <w:color w:val="auto"/>
        </w:rPr>
      </w:pPr>
      <w:r>
        <w:rPr>
          <w:rFonts w:ascii="Courier New" w:cs="Courier New" w:eastAsia="Courier New" w:hAnsi="Courier New"/>
          <w:sz w:val="17"/>
          <w:szCs w:val="17"/>
          <w:color w:val="auto"/>
        </w:rPr>
        <w:t>There were 820,083 shares available under the plan to be granted as of October 31, 1996. Stock option plan activity (number of shares) for the Company during fiscal years 1996, 1995 and 1994 was as follows: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spacing w:after="0"/>
              <w:rPr>
                <w:sz w:val="16"/>
                <w:szCs w:val="16"/>
                <w:color w:val="auto"/>
              </w:rPr>
            </w:pPr>
          </w:p>
        </w:tc>
        <w:tc>
          <w:tcPr>
            <w:tcW w:w="1120" w:type="dxa"/>
            <w:vAlign w:val="bottom"/>
          </w:tcPr>
          <w:p>
            <w:pPr>
              <w:ind w:left="700"/>
              <w:spacing w:after="0"/>
              <w:rPr>
                <w:sz w:val="20"/>
                <w:szCs w:val="20"/>
                <w:color w:val="auto"/>
              </w:rPr>
            </w:pPr>
            <w:r>
              <w:rPr>
                <w:rFonts w:ascii="Courier New" w:cs="Courier New" w:eastAsia="Courier New" w:hAnsi="Courier New"/>
                <w:sz w:val="17"/>
                <w:szCs w:val="17"/>
                <w:color w:val="auto"/>
                <w:w w:val="97"/>
              </w:rPr>
              <w:t>1995</w:t>
            </w:r>
          </w:p>
        </w:tc>
        <w:tc>
          <w:tcPr>
            <w:tcW w:w="9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800" w:type="dxa"/>
            <w:vAlign w:val="bottom"/>
          </w:tcPr>
          <w:p>
            <w:pPr>
              <w:spacing w:after="0"/>
              <w:rPr>
                <w:sz w:val="16"/>
                <w:szCs w:val="16"/>
                <w:color w:val="auto"/>
              </w:rPr>
            </w:pPr>
          </w:p>
        </w:tc>
      </w:tr>
      <w:tr>
        <w:trPr>
          <w:trHeight w:val="196"/>
        </w:trPr>
        <w:tc>
          <w:tcPr>
            <w:tcW w:w="4280" w:type="dxa"/>
            <w:vAlign w:val="bottom"/>
          </w:tcPr>
          <w:p>
            <w:pPr>
              <w:spacing w:after="0"/>
              <w:rPr>
                <w:sz w:val="17"/>
                <w:szCs w:val="17"/>
                <w:color w:val="auto"/>
              </w:rPr>
            </w:pPr>
          </w:p>
        </w:tc>
        <w:tc>
          <w:tcPr>
            <w:tcW w:w="206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28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OPTIONS</w:t>
            </w:r>
          </w:p>
        </w:tc>
        <w:tc>
          <w:tcPr>
            <w:tcW w:w="9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4"/>
              </w:rPr>
              <w:t>GRANTS</w:t>
            </w: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OPTIONS</w:t>
            </w:r>
          </w:p>
        </w:tc>
        <w:tc>
          <w:tcPr>
            <w:tcW w:w="9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4"/>
              </w:rPr>
              <w:t>GRANTS</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OPTIONS</w:t>
            </w:r>
          </w:p>
        </w:tc>
        <w:tc>
          <w:tcPr>
            <w:tcW w:w="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4"/>
              </w:rPr>
              <w:t>GRANTS</w:t>
            </w:r>
          </w:p>
        </w:tc>
      </w:tr>
      <w:tr>
        <w:trPr>
          <w:trHeight w:val="196"/>
        </w:trPr>
        <w:tc>
          <w:tcPr>
            <w:tcW w:w="428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w:t>
            </w: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5"/>
              </w:rPr>
              <w:t>-------</w:t>
            </w:r>
          </w:p>
        </w:tc>
      </w:tr>
      <w:tr>
        <w:trPr>
          <w:trHeight w:val="392"/>
        </w:trPr>
        <w:tc>
          <w:tcPr>
            <w:tcW w:w="428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Outstanding, beginning of year...........</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441,450</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50,000</w:t>
            </w: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175,800</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75,000</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177,000</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5"/>
              </w:rPr>
              <w:t>100,000</w:t>
            </w: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Granted:</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 options $6.25 per share.......</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265,650</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Exercised:</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 grants........................</w:t>
            </w:r>
          </w:p>
        </w:tc>
        <w:tc>
          <w:tcPr>
            <w:tcW w:w="114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5"/>
              </w:rPr>
              <w:t>(50,000)</w:t>
            </w:r>
          </w:p>
        </w:tc>
        <w:tc>
          <w:tcPr>
            <w:tcW w:w="112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5"/>
              </w:rPr>
              <w:t>(25,000)</w:t>
            </w:r>
          </w:p>
        </w:tc>
        <w:tc>
          <w:tcPr>
            <w:tcW w:w="1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(25,000)</w:t>
            </w:r>
          </w:p>
        </w:tc>
      </w:tr>
      <w:tr>
        <w:trPr>
          <w:trHeight w:val="196"/>
        </w:trPr>
        <w:tc>
          <w:tcPr>
            <w:tcW w:w="4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 options $6.25 per share.......</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(7,500)</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 options $6.75 per share.......</w:t>
            </w:r>
          </w:p>
        </w:tc>
        <w:tc>
          <w:tcPr>
            <w:tcW w:w="11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(4,440)</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Forfeited:</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Stock options $6.75 per share.......</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(1,200)</w:t>
            </w:r>
          </w:p>
        </w:tc>
        <w:tc>
          <w:tcPr>
            <w:tcW w:w="800" w:type="dxa"/>
            <w:vAlign w:val="bottom"/>
          </w:tcPr>
          <w:p>
            <w:pPr>
              <w:spacing w:after="0"/>
              <w:rPr>
                <w:sz w:val="17"/>
                <w:szCs w:val="17"/>
                <w:color w:val="auto"/>
              </w:rPr>
            </w:pPr>
          </w:p>
        </w:tc>
      </w:tr>
      <w:tr>
        <w:trPr>
          <w:trHeight w:val="196"/>
        </w:trPr>
        <w:tc>
          <w:tcPr>
            <w:tcW w:w="428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w:t>
            </w: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5"/>
              </w:rPr>
              <w:t>-------</w:t>
            </w:r>
          </w:p>
        </w:tc>
      </w:tr>
      <w:tr>
        <w:trPr>
          <w:trHeight w:val="196"/>
        </w:trPr>
        <w:tc>
          <w:tcPr>
            <w:tcW w:w="428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9"/>
              </w:rPr>
              <w:t>Outstanding, ranging from $6.25 to $6.75</w:t>
            </w: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per share, at the end of year..........</w:t>
            </w: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429,510</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0</w:t>
            </w: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441,450</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50,000</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175,800</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75,000</w:t>
            </w:r>
          </w:p>
        </w:tc>
      </w:tr>
      <w:tr>
        <w:trPr>
          <w:trHeight w:val="196"/>
        </w:trPr>
        <w:tc>
          <w:tcPr>
            <w:tcW w:w="4280" w:type="dxa"/>
            <w:vAlign w:val="bottom"/>
          </w:tcPr>
          <w:p>
            <w:pPr>
              <w:spacing w:after="0"/>
              <w:rPr>
                <w:sz w:val="17"/>
                <w:szCs w:val="17"/>
                <w:color w:val="auto"/>
              </w:rPr>
            </w:pPr>
          </w:p>
        </w:tc>
        <w:tc>
          <w:tcPr>
            <w:tcW w:w="11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w:t>
            </w: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5"/>
              </w:rPr>
              <w:t>=======</w:t>
            </w:r>
          </w:p>
        </w:tc>
        <w:tc>
          <w:tcPr>
            <w:tcW w:w="11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5"/>
              </w:rPr>
              <w:t>=======</w:t>
            </w:r>
          </w:p>
        </w:tc>
      </w:tr>
    </w:tbl>
    <w:p>
      <w:pPr>
        <w:spacing w:after="0" w:line="200" w:lineRule="exact"/>
        <w:rPr>
          <w:sz w:val="20"/>
          <w:szCs w:val="20"/>
          <w:color w:val="auto"/>
        </w:rPr>
      </w:pPr>
    </w:p>
    <w:p>
      <w:pPr>
        <w:sectPr>
          <w:pgSz w:w="11900" w:h="16838" w:orient="portrait"/>
          <w:cols w:equalWidth="0" w:num="1">
            <w:col w:w="10300"/>
          </w:cols>
          <w:pgMar w:left="240" w:top="311" w:right="1359" w:bottom="869"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300"/>
          </w:cols>
          <w:pgMar w:left="240" w:top="311" w:right="1359" w:bottom="869"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POWELL INDUSTRIES, INC. AND SUBSIDIARIES</w:t>
      </w: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 PRODUCTION CONTRACTS</w:t>
      </w:r>
    </w:p>
    <w:p>
      <w:pPr>
        <w:spacing w:after="0" w:line="201" w:lineRule="exact"/>
        <w:rPr>
          <w:sz w:val="20"/>
          <w:szCs w:val="20"/>
          <w:color w:val="auto"/>
        </w:rPr>
      </w:pPr>
    </w:p>
    <w:p>
      <w:pPr>
        <w:ind w:right="2059" w:firstLine="510"/>
        <w:spacing w:after="0" w:line="264" w:lineRule="auto"/>
        <w:rPr>
          <w:sz w:val="20"/>
          <w:szCs w:val="20"/>
          <w:color w:val="auto"/>
        </w:rPr>
      </w:pPr>
      <w:r>
        <w:rPr>
          <w:rFonts w:ascii="Courier New" w:cs="Courier New" w:eastAsia="Courier New" w:hAnsi="Courier New"/>
          <w:sz w:val="16"/>
          <w:szCs w:val="16"/>
          <w:color w:val="auto"/>
        </w:rPr>
        <w:t>For contracts in which the percentage-of-completion method is used, costs and estimated earnings in excess of billings are reported as a current asset and billings in excess of costs and estimated earnings are reported as a current liability. The components of these contracts are as follows (in thousands):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26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OCTOBER 31,</w:t>
            </w:r>
          </w:p>
        </w:tc>
      </w:tr>
      <w:tr>
        <w:trPr>
          <w:trHeight w:val="196"/>
        </w:trPr>
        <w:tc>
          <w:tcPr>
            <w:tcW w:w="6220" w:type="dxa"/>
            <w:vAlign w:val="bottom"/>
          </w:tcPr>
          <w:p>
            <w:pPr>
              <w:spacing w:after="0"/>
              <w:rPr>
                <w:sz w:val="17"/>
                <w:szCs w:val="17"/>
                <w:color w:val="auto"/>
              </w:rPr>
            </w:pPr>
          </w:p>
        </w:tc>
        <w:tc>
          <w:tcPr>
            <w:tcW w:w="22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Costs and estimated earnings................................</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$ 45,559</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$ 46,612</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Progress billings...........................................</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(31,625)</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(35,498)</w:t>
            </w:r>
          </w:p>
        </w:tc>
      </w:tr>
      <w:tr>
        <w:trPr>
          <w:trHeight w:val="196"/>
        </w:trPr>
        <w:tc>
          <w:tcPr>
            <w:tcW w:w="622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Total costs and estimated earnings in excess of</w:t>
            </w: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billings........................................</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$ 13,934</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$ 11,114</w:t>
            </w:r>
          </w:p>
        </w:tc>
      </w:tr>
      <w:tr>
        <w:trPr>
          <w:trHeight w:val="196"/>
        </w:trPr>
        <w:tc>
          <w:tcPr>
            <w:tcW w:w="622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Progress billings...........................................</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$ 50,667</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$ 27,160</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Costs and estimated earnings................................</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(45,242)</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(23,053)</w:t>
            </w:r>
          </w:p>
        </w:tc>
      </w:tr>
      <w:tr>
        <w:trPr>
          <w:trHeight w:val="196"/>
        </w:trPr>
        <w:tc>
          <w:tcPr>
            <w:tcW w:w="622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Total billings in excess of costs and estimated</w:t>
            </w: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earnings........................................</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5,425</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4,107</w:t>
            </w:r>
          </w:p>
        </w:tc>
      </w:tr>
      <w:tr>
        <w:trPr>
          <w:trHeight w:val="196"/>
        </w:trPr>
        <w:tc>
          <w:tcPr>
            <w:tcW w:w="622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 DISCONTINUED OPERATIONS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On July 26, 1996, the Company completed the sale of its power generation set packaging business to Rolls-Royce Acquisition Corporation. This business was operated by U.S. Turbine Corp. (USTC), the Company's subsidiary based in Maineville, Ohio. Total consideration received by the Company, as adjusted, was $12,889,000, including $3,660,000 of cash, a $500,000 note receivable bearing interest at the prime rate due July 1997 and the assumption of liabilities of $8,729,000. The Company recognized a gain on the sale of $89,000, net of taxes. The Company has also guaranteed the collection of certain accounts receivable and the salability of certain inventory. The Company recognized net losses from USTC operations of $3,173,000, $799,000 and $221,000 for the fiscal years 1996, 1995 and 1994, respectively.</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On August 1, 1996 the Company announced the discontinuance of its operations in the microprocessor-based equipment manufacturing business segment effective July 31, 1996. This business was operated by Powell-Process Systems, Inc. (PSI), a subsidiary of the Company based in Houston. On October 31, 1996, the Company completed the sale of these assets and the related business to Micon Systems LLC for approximately $874,000, including $650,000 cash and a $224,000 non-interest bearing note receivable due February 13, 1997. The Company recognized a loss on the sale of $1,227,000, net of taxes. The Company recognized net losses (income) from PSI operations of $1,687,000, $583,000 and ($57,000) for the fiscal years 1996, 1995 and 1994, respectively.</w:t>
      </w:r>
    </w:p>
    <w:p>
      <w:pPr>
        <w:spacing w:after="0" w:line="200"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The following summarizes the results of operations and consolidated balance sheets of the discontinued operations: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3160" w:type="dxa"/>
            <w:vAlign w:val="bottom"/>
            <w:gridSpan w:val="4"/>
          </w:tcPr>
          <w:p>
            <w:pPr>
              <w:jc w:val="right"/>
              <w:ind w:right="315"/>
              <w:spacing w:after="0"/>
              <w:rPr>
                <w:sz w:val="20"/>
                <w:szCs w:val="20"/>
                <w:color w:val="auto"/>
              </w:rPr>
            </w:pPr>
            <w:r>
              <w:rPr>
                <w:rFonts w:ascii="Courier New" w:cs="Courier New" w:eastAsia="Courier New" w:hAnsi="Courier New"/>
                <w:sz w:val="17"/>
                <w:szCs w:val="17"/>
                <w:color w:val="auto"/>
              </w:rPr>
              <w:t>YEARS ENDED OCTOBER 31,</w:t>
            </w:r>
          </w:p>
        </w:tc>
      </w:tr>
      <w:tr>
        <w:trPr>
          <w:trHeight w:val="196"/>
        </w:trPr>
        <w:tc>
          <w:tcPr>
            <w:tcW w:w="5620" w:type="dxa"/>
            <w:vAlign w:val="bottom"/>
          </w:tcPr>
          <w:p>
            <w:pPr>
              <w:spacing w:after="0"/>
              <w:rPr>
                <w:sz w:val="17"/>
                <w:szCs w:val="17"/>
                <w:color w:val="auto"/>
              </w:rPr>
            </w:pPr>
          </w:p>
        </w:tc>
        <w:tc>
          <w:tcPr>
            <w:tcW w:w="316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112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7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1994</w:t>
            </w:r>
          </w:p>
        </w:tc>
      </w:tr>
      <w:tr>
        <w:trPr>
          <w:trHeight w:val="196"/>
        </w:trPr>
        <w:tc>
          <w:tcPr>
            <w:tcW w:w="56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6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$29,182</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$30,309</w:t>
            </w:r>
          </w:p>
        </w:tc>
        <w:tc>
          <w:tcPr>
            <w:tcW w:w="9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$32,526</w:t>
            </w:r>
          </w:p>
        </w:tc>
      </w:tr>
      <w:tr>
        <w:trPr>
          <w:trHeight w:val="196"/>
        </w:trPr>
        <w:tc>
          <w:tcPr>
            <w:tcW w:w="56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Loss from operations before income taxes..............</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$(7,464)</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$(2,085)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(224)</w:t>
            </w:r>
          </w:p>
        </w:tc>
      </w:tr>
      <w:tr>
        <w:trPr>
          <w:trHeight w:val="1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Benefit for income taxes..............................</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2,604</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703</w:t>
            </w:r>
          </w:p>
        </w:tc>
        <w:tc>
          <w:tcPr>
            <w:tcW w:w="26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60</w:t>
            </w:r>
          </w:p>
        </w:tc>
      </w:tr>
      <w:tr>
        <w:trPr>
          <w:trHeight w:val="1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Loss on disposal before income taxes..................</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(1,725)</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Benefit for income taxes..............................</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587</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20" w:type="dxa"/>
            <w:vAlign w:val="bottom"/>
          </w:tcPr>
          <w:p>
            <w:pPr>
              <w:spacing w:after="0"/>
              <w:rPr>
                <w:sz w:val="20"/>
                <w:szCs w:val="20"/>
                <w:color w:val="auto"/>
              </w:rPr>
            </w:pPr>
            <w:r>
              <w:rPr>
                <w:rFonts w:ascii="Courier New" w:cs="Courier New" w:eastAsia="Courier New" w:hAnsi="Courier New"/>
                <w:sz w:val="17"/>
                <w:szCs w:val="17"/>
                <w:color w:val="auto"/>
              </w:rPr>
              <w:t>Net loss from discontinued operations.................</w:t>
            </w: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$(5,998)</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$(1,382)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(164)</w:t>
            </w:r>
          </w:p>
        </w:tc>
      </w:tr>
      <w:tr>
        <w:trPr>
          <w:trHeight w:val="196"/>
        </w:trPr>
        <w:tc>
          <w:tcPr>
            <w:tcW w:w="56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219"/>
          </w:cols>
          <w:pgMar w:left="240" w:top="311" w:right="1440" w:bottom="85"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1" w:right="1440" w:bottom="85"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POWELL INDUSTRIES, INC. AND SUBSIDIARIES</w:t>
            </w:r>
          </w:p>
        </w:tc>
        <w:tc>
          <w:tcPr>
            <w:tcW w:w="1240" w:type="dxa"/>
            <w:vAlign w:val="bottom"/>
          </w:tcPr>
          <w:p>
            <w:pPr>
              <w:spacing w:after="0"/>
              <w:rPr>
                <w:sz w:val="16"/>
                <w:szCs w:val="16"/>
                <w:color w:val="auto"/>
              </w:rPr>
            </w:pPr>
          </w:p>
        </w:tc>
      </w:tr>
      <w:tr>
        <w:trPr>
          <w:trHeight w:val="392"/>
        </w:trPr>
        <w:tc>
          <w:tcPr>
            <w:tcW w:w="746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NOTES TO CONSOLIDATED FINANCIAL STATEMENTS -- (CONTINUED)</w:t>
            </w:r>
          </w:p>
        </w:tc>
      </w:tr>
      <w:tr>
        <w:trPr>
          <w:trHeight w:val="785"/>
        </w:trPr>
        <w:tc>
          <w:tcPr>
            <w:tcW w:w="6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OCTOBER 31,</w:t>
            </w:r>
          </w:p>
        </w:tc>
      </w:tr>
      <w:tr>
        <w:trPr>
          <w:trHeight w:val="196"/>
        </w:trPr>
        <w:tc>
          <w:tcPr>
            <w:tcW w:w="622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6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Current assets..............................................</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$15,895</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Property, plant and equipment...............................</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2,189</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 assets................................................</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938</w:t>
            </w:r>
          </w:p>
        </w:tc>
      </w:tr>
      <w:tr>
        <w:trPr>
          <w:trHeight w:val="196"/>
        </w:trPr>
        <w:tc>
          <w:tcPr>
            <w:tcW w:w="622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assets......................................</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$19,022</w:t>
            </w:r>
          </w:p>
        </w:tc>
      </w:tr>
      <w:tr>
        <w:trPr>
          <w:trHeight w:val="196"/>
        </w:trPr>
        <w:tc>
          <w:tcPr>
            <w:tcW w:w="622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r>
        <w:trPr>
          <w:trHeight w:val="392"/>
        </w:trPr>
        <w:tc>
          <w:tcPr>
            <w:tcW w:w="6220" w:type="dxa"/>
            <w:vAlign w:val="bottom"/>
          </w:tcPr>
          <w:p>
            <w:pPr>
              <w:jc w:val="right"/>
              <w:ind w:right="2355"/>
              <w:spacing w:after="0"/>
              <w:rPr>
                <w:sz w:val="20"/>
                <w:szCs w:val="20"/>
                <w:color w:val="auto"/>
              </w:rPr>
            </w:pPr>
            <w:r>
              <w:rPr>
                <w:rFonts w:ascii="Courier New" w:cs="Courier New" w:eastAsia="Courier New" w:hAnsi="Courier New"/>
                <w:sz w:val="17"/>
                <w:szCs w:val="17"/>
                <w:color w:val="auto"/>
                <w:w w:val="99"/>
              </w:rPr>
              <w:t>Liabilities and Stockholders' Equity:</w:t>
            </w:r>
          </w:p>
        </w:tc>
        <w:tc>
          <w:tcPr>
            <w:tcW w:w="1240" w:type="dxa"/>
            <w:vAlign w:val="bottom"/>
          </w:tcPr>
          <w:p>
            <w:pPr>
              <w:spacing w:after="0"/>
              <w:rPr>
                <w:sz w:val="24"/>
                <w:szCs w:val="24"/>
                <w:color w:val="auto"/>
              </w:rPr>
            </w:pP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Current liabilities.........................................</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$ 6,348</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Due to parent...............................................</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12,674</w:t>
            </w:r>
          </w:p>
        </w:tc>
      </w:tr>
      <w:tr>
        <w:trPr>
          <w:trHeight w:val="196"/>
        </w:trPr>
        <w:tc>
          <w:tcPr>
            <w:tcW w:w="622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r>
        <w:trPr>
          <w:trHeight w:val="196"/>
        </w:trPr>
        <w:tc>
          <w:tcPr>
            <w:tcW w:w="6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$19,022</w:t>
            </w:r>
          </w:p>
        </w:tc>
      </w:tr>
      <w:tr>
        <w:trPr>
          <w:trHeight w:val="196"/>
        </w:trPr>
        <w:tc>
          <w:tcPr>
            <w:tcW w:w="6220" w:type="dxa"/>
            <w:vAlign w:val="bottom"/>
          </w:tcPr>
          <w:p>
            <w:pPr>
              <w:spacing w:after="0"/>
              <w:rPr>
                <w:sz w:val="17"/>
                <w:szCs w:val="17"/>
                <w:color w:val="auto"/>
              </w:rPr>
            </w:pP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 QUARTERLY RESULTS OF OPERATIONS (UNAUDITED)</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table below sets forth the unaudited consolidated operating results by fiscal quarter for the years ended October 31, 1996 and 1995 (in thousands, except per share data):</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FIRST</w:t>
            </w:r>
          </w:p>
        </w:tc>
        <w:tc>
          <w:tcPr>
            <w:tcW w:w="10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SECOND</w:t>
            </w:r>
          </w:p>
        </w:tc>
        <w:tc>
          <w:tcPr>
            <w:tcW w:w="200" w:type="dxa"/>
            <w:vAlign w:val="bottom"/>
          </w:tcPr>
          <w:p>
            <w:pPr>
              <w:spacing w:after="0"/>
              <w:rPr>
                <w:sz w:val="16"/>
                <w:szCs w:val="16"/>
                <w:color w:val="auto"/>
              </w:rPr>
            </w:pPr>
          </w:p>
        </w:tc>
        <w:tc>
          <w:tcPr>
            <w:tcW w:w="8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THIRD</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FOURTH</w:t>
            </w:r>
          </w:p>
        </w:tc>
      </w:tr>
      <w:tr>
        <w:trPr>
          <w:trHeight w:val="196"/>
        </w:trPr>
        <w:tc>
          <w:tcPr>
            <w:tcW w:w="57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QUARTER</w:t>
            </w:r>
          </w:p>
        </w:tc>
        <w:tc>
          <w:tcPr>
            <w:tcW w:w="10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QUARTER</w:t>
            </w:r>
          </w:p>
        </w:tc>
        <w:tc>
          <w:tcPr>
            <w:tcW w:w="10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QUARTER</w:t>
            </w:r>
          </w:p>
        </w:tc>
        <w:tc>
          <w:tcPr>
            <w:tcW w:w="9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QUARTER</w:t>
            </w:r>
          </w:p>
        </w:tc>
      </w:tr>
      <w:tr>
        <w:trPr>
          <w:trHeight w:val="196"/>
        </w:trPr>
        <w:tc>
          <w:tcPr>
            <w:tcW w:w="5720" w:type="dxa"/>
            <w:vAlign w:val="bottom"/>
          </w:tcPr>
          <w:p>
            <w:pPr>
              <w:spacing w:after="0"/>
              <w:rPr>
                <w:sz w:val="17"/>
                <w:szCs w:val="17"/>
                <w:color w:val="auto"/>
              </w:rPr>
            </w:pP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720" w:type="dxa"/>
            <w:vAlign w:val="bottom"/>
          </w:tcPr>
          <w:p>
            <w:pPr>
              <w:jc w:val="right"/>
              <w:ind w:right="4915"/>
              <w:spacing w:after="0"/>
              <w:rPr>
                <w:sz w:val="20"/>
                <w:szCs w:val="20"/>
                <w:color w:val="auto"/>
              </w:rPr>
            </w:pPr>
            <w:r>
              <w:rPr>
                <w:rFonts w:ascii="Courier New" w:cs="Courier New" w:eastAsia="Courier New" w:hAnsi="Courier New"/>
                <w:sz w:val="17"/>
                <w:szCs w:val="17"/>
                <w:color w:val="auto"/>
                <w:w w:val="97"/>
              </w:rPr>
              <w:t>1996 --</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39,861</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43,127</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45,903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41,232</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Gross profit.........................................</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8,860</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11,123</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12,212</w:t>
            </w:r>
          </w:p>
        </w:tc>
        <w:tc>
          <w:tcPr>
            <w:tcW w:w="2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10,853</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Net earnings: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Earnings from continuing operations...............</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1,862</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2,911</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3,046</w:t>
            </w:r>
          </w:p>
        </w:tc>
        <w:tc>
          <w:tcPr>
            <w:tcW w:w="2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2,939</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Losses from discontinued operations...............</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(178)</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(268)</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(5,506)</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1,684</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2,643</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(2,460)</w:t>
            </w:r>
          </w:p>
        </w:tc>
        <w:tc>
          <w:tcPr>
            <w:tcW w:w="2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2,893</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Net earnings per common and common equivalent share: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Discontinued operations...........................</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(.02)</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(.03)</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(.51)</w:t>
            </w:r>
          </w:p>
        </w:tc>
        <w:tc>
          <w:tcPr>
            <w:tcW w:w="2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w:t>
            </w:r>
          </w:p>
        </w:tc>
      </w:tr>
      <w:tr>
        <w:trPr>
          <w:trHeight w:val="196"/>
        </w:trPr>
        <w:tc>
          <w:tcPr>
            <w:tcW w:w="5720" w:type="dxa"/>
            <w:vAlign w:val="bottom"/>
          </w:tcPr>
          <w:p>
            <w:pPr>
              <w:jc w:val="right"/>
              <w:ind w:right="4915"/>
              <w:spacing w:after="0"/>
              <w:rPr>
                <w:sz w:val="20"/>
                <w:szCs w:val="20"/>
                <w:color w:val="auto"/>
              </w:rPr>
            </w:pPr>
            <w:r>
              <w:rPr>
                <w:rFonts w:ascii="Courier New" w:cs="Courier New" w:eastAsia="Courier New" w:hAnsi="Courier New"/>
                <w:sz w:val="17"/>
                <w:szCs w:val="17"/>
                <w:color w:val="auto"/>
                <w:w w:val="97"/>
              </w:rPr>
              <w:t>1995 --</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Revenues.............................................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29,476</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33,703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34,651</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41,704</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Gross profit.........................................</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6,502</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7,640</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7,947</w:t>
            </w:r>
          </w:p>
        </w:tc>
        <w:tc>
          <w:tcPr>
            <w:tcW w:w="2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8,920</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Net earnings: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Earnings from continuing operations...............</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952</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1,974</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1,838</w:t>
            </w:r>
          </w:p>
        </w:tc>
        <w:tc>
          <w:tcPr>
            <w:tcW w:w="2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2,316</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Losses from discontinued operations...............</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(148)</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(517)</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(317)</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804</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1,457</w:t>
            </w:r>
          </w:p>
        </w:tc>
        <w:tc>
          <w:tcPr>
            <w:tcW w:w="20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1,438</w:t>
            </w:r>
          </w:p>
        </w:tc>
        <w:tc>
          <w:tcPr>
            <w:tcW w:w="2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1,999</w:t>
            </w:r>
          </w:p>
        </w:tc>
      </w:tr>
      <w:tr>
        <w:trPr>
          <w:trHeight w:val="196"/>
        </w:trPr>
        <w:tc>
          <w:tcPr>
            <w:tcW w:w="5720" w:type="dxa"/>
            <w:vAlign w:val="bottom"/>
          </w:tcPr>
          <w:p>
            <w:pPr>
              <w:ind w:left="200"/>
              <w:spacing w:after="0"/>
              <w:rPr>
                <w:sz w:val="20"/>
                <w:szCs w:val="20"/>
                <w:color w:val="auto"/>
              </w:rPr>
            </w:pPr>
            <w:r>
              <w:rPr>
                <w:rFonts w:ascii="Courier New" w:cs="Courier New" w:eastAsia="Courier New" w:hAnsi="Courier New"/>
                <w:sz w:val="17"/>
                <w:szCs w:val="17"/>
                <w:color w:val="auto"/>
              </w:rPr>
              <w:t>Net earnings per common and common equivalent share: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Continuing operations.............................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.09</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Discontinued operations...........................</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(.01)</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(.05)</w:t>
            </w:r>
          </w:p>
        </w:tc>
        <w:tc>
          <w:tcPr>
            <w:tcW w:w="20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(.04)</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r>
        <w:trPr>
          <w:trHeight w:val="196"/>
        </w:trPr>
        <w:tc>
          <w:tcPr>
            <w:tcW w:w="5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Net earnings......................................</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.08</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w:t>
            </w:r>
          </w:p>
        </w:tc>
      </w:tr>
      <w:tr>
        <w:trPr>
          <w:trHeight w:val="589"/>
        </w:trPr>
        <w:tc>
          <w:tcPr>
            <w:tcW w:w="5720" w:type="dxa"/>
            <w:vAlign w:val="bottom"/>
          </w:tcPr>
          <w:p>
            <w:pPr>
              <w:jc w:val="right"/>
              <w:ind w:right="1455"/>
              <w:spacing w:after="0"/>
              <w:rPr>
                <w:sz w:val="20"/>
                <w:szCs w:val="20"/>
                <w:color w:val="auto"/>
              </w:rPr>
            </w:pPr>
            <w:r>
              <w:rPr>
                <w:rFonts w:ascii="Courier New" w:cs="Courier New" w:eastAsia="Courier New" w:hAnsi="Courier New"/>
                <w:sz w:val="17"/>
                <w:szCs w:val="17"/>
                <w:color w:val="auto"/>
              </w:rPr>
              <w:t>23</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311"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III</w:t>
      </w:r>
    </w:p>
    <w:p>
      <w:pPr>
        <w:spacing w:after="0" w:line="201" w:lineRule="exact"/>
        <w:rPr>
          <w:sz w:val="20"/>
          <w:szCs w:val="20"/>
          <w:color w:val="auto"/>
        </w:rPr>
      </w:pPr>
    </w:p>
    <w:p>
      <w:pPr>
        <w:jc w:val="both"/>
        <w:ind w:right="2459"/>
        <w:spacing w:after="0" w:line="243" w:lineRule="auto"/>
        <w:rPr>
          <w:sz w:val="20"/>
          <w:szCs w:val="20"/>
          <w:color w:val="auto"/>
        </w:rPr>
      </w:pPr>
      <w:r>
        <w:rPr>
          <w:rFonts w:ascii="Courier New" w:cs="Courier New" w:eastAsia="Courier New" w:hAnsi="Courier New"/>
          <w:sz w:val="17"/>
          <w:szCs w:val="17"/>
          <w:color w:val="auto"/>
        </w:rPr>
        <w:t>ITEMS 10, 11, 12 AND 13. DIRECTORS AND EXECUTIVE OFFICERS OF THE REGISTRANT; EXECUTIVE COMPENSATION; SECURITY OWNERSHIP OF CERTAIN BENEFICIAL OWNERS AND MANAGEMENT; AND CERTAIN RELATIONSHIPS AND RELATED TRANSACTIONS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information required by these items is omitted because the Company will file, within 120 days after the end of the fiscal year ended October 31, 1996, a definitive proxy statement pursuant to Regulation 14A, which information is herein incorporated by reference.</w:t>
      </w:r>
    </w:p>
    <w:p>
      <w:pPr>
        <w:spacing w:after="0" w:line="197"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EXHIBITS, FINANCIAL STATEMENTS SCHEDULES, AND REPORTS ON FORM 8-K</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 The following documents are filed as part of this report:</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Financial Statements -- See Index to Consolidated Financial Statements at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8"/>
              </w:rPr>
              <w:t>Item 8 of this report</w:t>
            </w:r>
          </w:p>
        </w:tc>
        <w:tc>
          <w:tcPr>
            <w:tcW w:w="6320" w:type="dxa"/>
            <w:vAlign w:val="bottom"/>
          </w:tcPr>
          <w:p>
            <w:pPr>
              <w:spacing w:after="0"/>
              <w:rPr>
                <w:sz w:val="16"/>
                <w:szCs w:val="16"/>
                <w:color w:val="auto"/>
              </w:rPr>
            </w:pPr>
          </w:p>
        </w:tc>
      </w:tr>
      <w:tr>
        <w:trPr>
          <w:trHeight w:val="785"/>
        </w:trPr>
        <w:tc>
          <w:tcPr>
            <w:tcW w:w="236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EXHIBITS</w:t>
            </w:r>
          </w:p>
        </w:tc>
        <w:tc>
          <w:tcPr>
            <w:tcW w:w="6320" w:type="dxa"/>
            <w:vAlign w:val="bottom"/>
          </w:tcPr>
          <w:p>
            <w:pPr>
              <w:spacing w:after="0"/>
              <w:rPr>
                <w:sz w:val="24"/>
                <w:szCs w:val="24"/>
                <w:color w:val="auto"/>
              </w:rPr>
            </w:pPr>
          </w:p>
        </w:tc>
      </w:tr>
      <w:tr>
        <w:trPr>
          <w:trHeight w:val="196"/>
        </w:trPr>
        <w:tc>
          <w:tcPr>
            <w:tcW w:w="236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w:t>
            </w:r>
          </w:p>
        </w:tc>
        <w:tc>
          <w:tcPr>
            <w:tcW w:w="6320" w:type="dxa"/>
            <w:vAlign w:val="bottom"/>
          </w:tcPr>
          <w:p>
            <w:pPr>
              <w:spacing w:after="0"/>
              <w:rPr>
                <w:sz w:val="17"/>
                <w:szCs w:val="17"/>
                <w:color w:val="auto"/>
              </w:rPr>
            </w:pPr>
          </w:p>
        </w:tc>
      </w:tr>
      <w:tr>
        <w:trPr>
          <w:trHeight w:val="392"/>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2.1</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w w:val="99"/>
              </w:rPr>
              <w:t>-- Asset Purchase Agreement dated as of June 20, 1996 by and</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between Rolls-Royce North America, Inc. and Rolls-Royce</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w w:val="99"/>
              </w:rPr>
              <w:t>Acquisition Corp. and U. S. Turbine Corp. and the Company</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(filed as Exhibit 2.1 to the Company's Current Report on</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Form 8-K dated August 8, 1996 and incorporated herein by</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reference).</w:t>
            </w:r>
          </w:p>
        </w:tc>
      </w:tr>
      <w:tr>
        <w:trPr>
          <w:trHeight w:val="196"/>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2.2</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 First Amendment to Asset Purchase Agreement dated July</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26, 1996 by and between Rolls-Royce North America, Inc.</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w w:val="99"/>
              </w:rPr>
              <w:t>and Rolls-Royce Acquisition Corp. and U. S. Turbine Corp.</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and the Company (filed as Exhibit 2.2 to the Company's</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Current Report on Form 8-K dated August 8, 1996 and</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3.1</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 Articles of Incorporation and Certificates of Amendment</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of Powell Industries, Inc. dated July 20, 1987 and March</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13, 1992 (filed as Exhibit 3 to the Company's Form 10-K</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w w:val="99"/>
              </w:rPr>
              <w:t>for the fiscal year ended October 31, 1982, Form 10-Q for</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the quarter ended July 31, 1987, and Form 10-Q for</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quarter ended April 30, 1992, respectively, and</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3.2</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 By-laws of Powell Industries, Inc. (filed as Exhibit</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3(ii) to Company's Form 10-Q for the quarter ended April</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30, 1995 and incorporated herein by reference).</w:t>
            </w:r>
          </w:p>
        </w:tc>
      </w:tr>
      <w:tr>
        <w:trPr>
          <w:trHeight w:val="196"/>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10.1</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 Powell Industries, Inc., Incentive Compensation Plan for</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10.2</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 Salary Continuation Agreement with William E. Powell,</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w w:val="99"/>
              </w:rPr>
              <w:t>dated July 17, 1984 (filed as Exhibit 10 to the Company's</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w w:val="99"/>
              </w:rPr>
              <w:t>Form 10-K for the fiscal year ended October 31, 1984, and</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10.3</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w w:val="99"/>
              </w:rPr>
              <w:t>-- Description of Supplemental Executive Benefit Plan (filed</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as Exhibit 10 to the Company's Form 10-K for the fiscal</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year ended October 31, 1984, and incorporated herein by</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reference).</w:t>
            </w:r>
          </w:p>
        </w:tc>
      </w:tr>
      <w:tr>
        <w:trPr>
          <w:trHeight w:val="196"/>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10.4</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 Loan agreements dated June 26, 1990 between Powell</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Industries, Inc. and Metropolitan Life Insurance Company</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and Metropolitan Property and Casualty Insurance Company</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(filed as an Exhibit to the Company's Form 10-Q for the</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quarter ended July 31, 1990, and incorporated herein by</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reference).</w:t>
            </w:r>
          </w:p>
        </w:tc>
      </w:tr>
      <w:tr>
        <w:trPr>
          <w:trHeight w:val="196"/>
        </w:trPr>
        <w:tc>
          <w:tcPr>
            <w:tcW w:w="2360" w:type="dxa"/>
            <w:vAlign w:val="bottom"/>
          </w:tcPr>
          <w:p>
            <w:pPr>
              <w:jc w:val="right"/>
              <w:ind w:right="935"/>
              <w:spacing w:after="0"/>
              <w:rPr>
                <w:sz w:val="20"/>
                <w:szCs w:val="20"/>
                <w:color w:val="auto"/>
              </w:rPr>
            </w:pPr>
            <w:r>
              <w:rPr>
                <w:rFonts w:ascii="Courier New" w:cs="Courier New" w:eastAsia="Courier New" w:hAnsi="Courier New"/>
                <w:sz w:val="17"/>
                <w:szCs w:val="17"/>
                <w:color w:val="auto"/>
              </w:rPr>
              <w:t>10.5</w:t>
            </w:r>
          </w:p>
        </w:tc>
        <w:tc>
          <w:tcPr>
            <w:tcW w:w="6320" w:type="dxa"/>
            <w:vAlign w:val="bottom"/>
          </w:tcPr>
          <w:p>
            <w:pPr>
              <w:ind w:left="200"/>
              <w:spacing w:after="0"/>
              <w:rPr>
                <w:sz w:val="20"/>
                <w:szCs w:val="20"/>
                <w:color w:val="auto"/>
              </w:rPr>
            </w:pPr>
            <w:r>
              <w:rPr>
                <w:rFonts w:ascii="Courier New" w:cs="Courier New" w:eastAsia="Courier New" w:hAnsi="Courier New"/>
                <w:sz w:val="17"/>
                <w:szCs w:val="17"/>
                <w:color w:val="auto"/>
              </w:rPr>
              <w:t>-- Credit Agreement dated October 20, 1995 between Powell</w:t>
            </w:r>
          </w:p>
        </w:tc>
      </w:tr>
      <w:tr>
        <w:trPr>
          <w:trHeight w:val="196"/>
        </w:trPr>
        <w:tc>
          <w:tcPr>
            <w:tcW w:w="2360" w:type="dxa"/>
            <w:vAlign w:val="bottom"/>
          </w:tcPr>
          <w:p>
            <w:pPr>
              <w:spacing w:after="0"/>
              <w:rPr>
                <w:sz w:val="17"/>
                <w:szCs w:val="17"/>
                <w:color w:val="auto"/>
              </w:rPr>
            </w:pPr>
          </w:p>
        </w:tc>
        <w:tc>
          <w:tcPr>
            <w:tcW w:w="6320" w:type="dxa"/>
            <w:vAlign w:val="bottom"/>
          </w:tcPr>
          <w:p>
            <w:pPr>
              <w:ind w:left="500"/>
              <w:spacing w:after="0"/>
              <w:rPr>
                <w:sz w:val="20"/>
                <w:szCs w:val="20"/>
                <w:color w:val="auto"/>
              </w:rPr>
            </w:pPr>
            <w:r>
              <w:rPr>
                <w:rFonts w:ascii="Courier New" w:cs="Courier New" w:eastAsia="Courier New" w:hAnsi="Courier New"/>
                <w:sz w:val="17"/>
                <w:szCs w:val="17"/>
                <w:color w:val="auto"/>
              </w:rPr>
              <w:t>Industries, Inc. and First Interstate Bank of Texas,</w:t>
            </w:r>
          </w:p>
        </w:tc>
      </w:tr>
    </w:tbl>
    <w:p>
      <w:pPr>
        <w:spacing w:after="0" w:line="5" w:lineRule="exact"/>
        <w:rPr>
          <w:sz w:val="20"/>
          <w:szCs w:val="20"/>
          <w:color w:val="auto"/>
        </w:rPr>
      </w:pPr>
    </w:p>
    <w:p>
      <w:pPr>
        <w:ind w:left="2860" w:right="1539"/>
        <w:spacing w:after="0" w:line="243" w:lineRule="auto"/>
        <w:rPr>
          <w:sz w:val="20"/>
          <w:szCs w:val="20"/>
          <w:color w:val="auto"/>
        </w:rPr>
      </w:pPr>
      <w:r>
        <w:rPr>
          <w:rFonts w:ascii="Courier New" w:cs="Courier New" w:eastAsia="Courier New" w:hAnsi="Courier New"/>
          <w:sz w:val="17"/>
          <w:szCs w:val="17"/>
          <w:color w:val="auto"/>
        </w:rPr>
        <w:t>N. A. (Filed as an Exhibit to the Company's Form 10-K for the fiscal year ended October 31, 1995 and incorporated herein by reference.)</w:t>
      </w:r>
    </w:p>
    <w:p>
      <w:pPr>
        <w:sectPr>
          <w:pgSz w:w="11900" w:h="16838" w:orient="portrait"/>
          <w:cols w:equalWidth="0" w:num="1">
            <w:col w:w="10219"/>
          </w:cols>
          <w:pgMar w:left="240" w:top="311" w:right="1440" w:bottom="1440" w:gutter="0" w:footer="0" w:header="0"/>
        </w:sectPr>
      </w:pP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11"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26</w:t>
      </w:r>
    </w:p>
    <w:p>
      <w:pPr>
        <w:spacing w:after="0" w:line="396"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EXHIBITS</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1080" w:type="dxa"/>
            <w:vAlign w:val="bottom"/>
          </w:tcPr>
          <w:p>
            <w:pPr>
              <w:spacing w:after="0"/>
              <w:rPr>
                <w:sz w:val="20"/>
                <w:szCs w:val="20"/>
                <w:color w:val="auto"/>
              </w:rPr>
            </w:pPr>
            <w:r>
              <w:rPr>
                <w:rFonts w:ascii="Courier New" w:cs="Courier New" w:eastAsia="Courier New" w:hAnsi="Courier New"/>
                <w:sz w:val="17"/>
                <w:szCs w:val="17"/>
                <w:color w:val="auto"/>
              </w:rPr>
              <w:t>10.6</w:t>
            </w:r>
          </w:p>
        </w:tc>
        <w:tc>
          <w:tcPr>
            <w:tcW w:w="6680" w:type="dxa"/>
            <w:vAlign w:val="bottom"/>
          </w:tcPr>
          <w:p>
            <w:pPr>
              <w:ind w:left="560"/>
              <w:spacing w:after="0"/>
              <w:rPr>
                <w:sz w:val="20"/>
                <w:szCs w:val="20"/>
                <w:color w:val="auto"/>
              </w:rPr>
            </w:pPr>
            <w:r>
              <w:rPr>
                <w:rFonts w:ascii="Courier New" w:cs="Courier New" w:eastAsia="Courier New" w:hAnsi="Courier New"/>
                <w:sz w:val="17"/>
                <w:szCs w:val="17"/>
                <w:color w:val="auto"/>
              </w:rPr>
              <w:t>-- Amendment No. 1 dated August 15, 1996, to Credit</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Agreement between the Powell Industries, Inc. and Wells</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Fargo Bank of Texas (previously First Interstate of</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Texas).</w:t>
            </w: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10.7</w:t>
            </w:r>
          </w:p>
        </w:tc>
        <w:tc>
          <w:tcPr>
            <w:tcW w:w="6680" w:type="dxa"/>
            <w:vAlign w:val="bottom"/>
          </w:tcPr>
          <w:p>
            <w:pPr>
              <w:ind w:left="560"/>
              <w:spacing w:after="0"/>
              <w:rPr>
                <w:sz w:val="20"/>
                <w:szCs w:val="20"/>
                <w:color w:val="auto"/>
              </w:rPr>
            </w:pPr>
            <w:r>
              <w:rPr>
                <w:rFonts w:ascii="Courier New" w:cs="Courier New" w:eastAsia="Courier New" w:hAnsi="Courier New"/>
                <w:sz w:val="17"/>
                <w:szCs w:val="17"/>
                <w:color w:val="auto"/>
              </w:rPr>
              <w:t>-- 1992 Powell Industries, Inc. Stock Option Plan (filed as</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Exhibit 4.2 to the Company's registration statement on</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Form S-8 dated July 26, 1994 (File No. 33-81998) and</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10.8</w:t>
            </w:r>
          </w:p>
        </w:tc>
        <w:tc>
          <w:tcPr>
            <w:tcW w:w="6680" w:type="dxa"/>
            <w:vAlign w:val="bottom"/>
          </w:tcPr>
          <w:p>
            <w:pPr>
              <w:ind w:left="560"/>
              <w:spacing w:after="0"/>
              <w:rPr>
                <w:sz w:val="20"/>
                <w:szCs w:val="20"/>
                <w:color w:val="auto"/>
              </w:rPr>
            </w:pPr>
            <w:r>
              <w:rPr>
                <w:rFonts w:ascii="Courier New" w:cs="Courier New" w:eastAsia="Courier New" w:hAnsi="Courier New"/>
                <w:sz w:val="17"/>
                <w:szCs w:val="17"/>
                <w:color w:val="auto"/>
              </w:rPr>
              <w:t>-- The Powell Industries, Inc. Directors' Fees Program</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w w:val="99"/>
              </w:rPr>
              <w:t>(filed as Exhibit 10.7 to the Company's Form 10-K for the</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fiscal year ended October 31, 1992, and incorporated</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herein by reference).</w:t>
            </w: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10.9</w:t>
            </w:r>
          </w:p>
        </w:tc>
        <w:tc>
          <w:tcPr>
            <w:tcW w:w="6680" w:type="dxa"/>
            <w:vAlign w:val="bottom"/>
          </w:tcPr>
          <w:p>
            <w:pPr>
              <w:ind w:left="560"/>
              <w:spacing w:after="0"/>
              <w:rPr>
                <w:sz w:val="20"/>
                <w:szCs w:val="20"/>
                <w:color w:val="auto"/>
              </w:rPr>
            </w:pPr>
            <w:r>
              <w:rPr>
                <w:rFonts w:ascii="Courier New" w:cs="Courier New" w:eastAsia="Courier New" w:hAnsi="Courier New"/>
                <w:sz w:val="17"/>
                <w:szCs w:val="17"/>
                <w:color w:val="auto"/>
              </w:rPr>
              <w:t>-- The Powell Industries, Inc. Executive Severance</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Protection Plan (filed as an exhibit to the Company's</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Form 10-Q for the quarter ended April 30, 1996, and</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10.10</w:t>
            </w:r>
          </w:p>
        </w:tc>
        <w:tc>
          <w:tcPr>
            <w:tcW w:w="6680" w:type="dxa"/>
            <w:vAlign w:val="bottom"/>
          </w:tcPr>
          <w:p>
            <w:pPr>
              <w:ind w:left="560"/>
              <w:spacing w:after="0"/>
              <w:rPr>
                <w:sz w:val="20"/>
                <w:szCs w:val="20"/>
                <w:color w:val="auto"/>
              </w:rPr>
            </w:pPr>
            <w:r>
              <w:rPr>
                <w:rFonts w:ascii="Courier New" w:cs="Courier New" w:eastAsia="Courier New" w:hAnsi="Courier New"/>
                <w:sz w:val="17"/>
                <w:szCs w:val="17"/>
                <w:color w:val="auto"/>
              </w:rPr>
              <w:t>-- Amendment to Powell Industries, Inc. Stock Option Plan</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(filed as an exhibit to the Company's Form 10-Q for the</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quarter ended April 30, 1996 and incorporated herein by</w:t>
            </w:r>
          </w:p>
        </w:tc>
      </w:tr>
      <w:tr>
        <w:trPr>
          <w:trHeight w:val="196"/>
        </w:trPr>
        <w:tc>
          <w:tcPr>
            <w:tcW w:w="1080" w:type="dxa"/>
            <w:vAlign w:val="bottom"/>
          </w:tcPr>
          <w:p>
            <w:pPr>
              <w:spacing w:after="0"/>
              <w:rPr>
                <w:sz w:val="17"/>
                <w:szCs w:val="17"/>
                <w:color w:val="auto"/>
              </w:rPr>
            </w:pPr>
          </w:p>
        </w:tc>
        <w:tc>
          <w:tcPr>
            <w:tcW w:w="6680" w:type="dxa"/>
            <w:vAlign w:val="bottom"/>
          </w:tcPr>
          <w:p>
            <w:pPr>
              <w:ind w:left="860"/>
              <w:spacing w:after="0"/>
              <w:rPr>
                <w:sz w:val="20"/>
                <w:szCs w:val="20"/>
                <w:color w:val="auto"/>
              </w:rPr>
            </w:pPr>
            <w:r>
              <w:rPr>
                <w:rFonts w:ascii="Courier New" w:cs="Courier New" w:eastAsia="Courier New" w:hAnsi="Courier New"/>
                <w:sz w:val="17"/>
                <w:szCs w:val="17"/>
                <w:color w:val="auto"/>
              </w:rPr>
              <w:t>reference).</w:t>
            </w: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21.1</w:t>
            </w:r>
          </w:p>
        </w:tc>
        <w:tc>
          <w:tcPr>
            <w:tcW w:w="6680" w:type="dxa"/>
            <w:vAlign w:val="bottom"/>
          </w:tcPr>
          <w:p>
            <w:pPr>
              <w:ind w:left="560"/>
              <w:spacing w:after="0"/>
              <w:rPr>
                <w:sz w:val="20"/>
                <w:szCs w:val="20"/>
                <w:color w:val="auto"/>
              </w:rPr>
            </w:pPr>
            <w:r>
              <w:rPr>
                <w:rFonts w:ascii="Courier New" w:cs="Courier New" w:eastAsia="Courier New" w:hAnsi="Courier New"/>
                <w:sz w:val="17"/>
                <w:szCs w:val="17"/>
                <w:color w:val="auto"/>
              </w:rPr>
              <w:t>-- Subsidiaries of the Company.</w:t>
            </w:r>
          </w:p>
        </w:tc>
      </w:tr>
      <w:tr>
        <w:trPr>
          <w:trHeight w:val="196"/>
        </w:trPr>
        <w:tc>
          <w:tcPr>
            <w:tcW w:w="108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6680" w:type="dxa"/>
            <w:vAlign w:val="bottom"/>
          </w:tcPr>
          <w:p>
            <w:pPr>
              <w:ind w:left="560"/>
              <w:spacing w:after="0"/>
              <w:rPr>
                <w:sz w:val="20"/>
                <w:szCs w:val="20"/>
                <w:color w:val="auto"/>
              </w:rPr>
            </w:pPr>
            <w:r>
              <w:rPr>
                <w:rFonts w:ascii="Courier New" w:cs="Courier New" w:eastAsia="Courier New" w:hAnsi="Courier New"/>
                <w:sz w:val="17"/>
                <w:szCs w:val="17"/>
                <w:color w:val="auto"/>
              </w:rPr>
              <w:t>-- Consent of Independent Public Accountants.</w:t>
            </w:r>
          </w:p>
        </w:tc>
      </w:tr>
    </w:tbl>
    <w:p>
      <w:pPr>
        <w:spacing w:after="0" w:line="4" w:lineRule="exact"/>
        <w:rPr>
          <w:sz w:val="20"/>
          <w:szCs w:val="20"/>
          <w:color w:val="auto"/>
        </w:rPr>
      </w:pPr>
    </w:p>
    <w:p>
      <w:pPr>
        <w:ind w:left="2560" w:hanging="1637"/>
        <w:spacing w:after="0"/>
        <w:tabs>
          <w:tab w:leader="none" w:pos="25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Financial data schedule.</w:t>
      </w:r>
    </w:p>
    <w:p>
      <w:pPr>
        <w:spacing w:after="0" w:line="396" w:lineRule="exact"/>
        <w:rPr>
          <w:rFonts w:ascii="Courier New" w:cs="Courier New" w:eastAsia="Courier New" w:hAnsi="Courier New"/>
          <w:sz w:val="17"/>
          <w:szCs w:val="17"/>
          <w:color w:val="auto"/>
        </w:rPr>
      </w:pPr>
    </w:p>
    <w:p>
      <w:pPr>
        <w:ind w:left="620" w:hanging="411"/>
        <w:spacing w:after="0"/>
        <w:tabs>
          <w:tab w:leader="none" w:pos="6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1" w:lineRule="exact"/>
        <w:rPr>
          <w:sz w:val="20"/>
          <w:szCs w:val="20"/>
          <w:color w:val="auto"/>
        </w:rPr>
      </w:pPr>
    </w:p>
    <w:p>
      <w:pPr>
        <w:ind w:right="2659" w:firstLine="510"/>
        <w:spacing w:after="0" w:line="243" w:lineRule="auto"/>
        <w:rPr>
          <w:sz w:val="20"/>
          <w:szCs w:val="20"/>
          <w:color w:val="auto"/>
        </w:rPr>
      </w:pPr>
      <w:r>
        <w:rPr>
          <w:rFonts w:ascii="Courier New" w:cs="Courier New" w:eastAsia="Courier New" w:hAnsi="Courier New"/>
          <w:sz w:val="17"/>
          <w:szCs w:val="17"/>
          <w:color w:val="auto"/>
        </w:rPr>
        <w:t>No reports on Form 8-K have been filed during the last quarter of the fiscal year covered by this report.</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11"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ind w:right="2560" w:firstLine="510"/>
        <w:spacing w:after="0" w:line="243"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POWELL INDUSTRIES, INC.</w:t>
      </w:r>
    </w:p>
    <w:p>
      <w:pPr>
        <w:spacing w:after="0" w:line="200" w:lineRule="exact"/>
        <w:rPr>
          <w:sz w:val="20"/>
          <w:szCs w:val="20"/>
          <w:color w:val="auto"/>
        </w:rPr>
      </w:pPr>
    </w:p>
    <w:p>
      <w:pPr>
        <w:ind w:left="4500"/>
        <w:spacing w:after="0"/>
        <w:tabs>
          <w:tab w:leader="none" w:pos="52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THOMAS W. POWELL</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Thomas W. Powell</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President and Chief Executive</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Officer (Principal Executive</w:t>
      </w:r>
    </w:p>
    <w:p>
      <w:pPr>
        <w:spacing w:after="0" w:line="4" w:lineRule="exact"/>
        <w:rPr>
          <w:sz w:val="20"/>
          <w:szCs w:val="20"/>
          <w:color w:val="auto"/>
        </w:rPr>
      </w:pPr>
    </w:p>
    <w:p>
      <w:pPr>
        <w:ind w:left="5920"/>
        <w:spacing w:after="0"/>
        <w:rPr>
          <w:sz w:val="20"/>
          <w:szCs w:val="20"/>
          <w:color w:val="auto"/>
        </w:rPr>
      </w:pPr>
      <w:r>
        <w:rPr>
          <w:rFonts w:ascii="Courier New" w:cs="Courier New" w:eastAsia="Courier New" w:hAnsi="Courier New"/>
          <w:sz w:val="17"/>
          <w:szCs w:val="17"/>
          <w:color w:val="auto"/>
        </w:rPr>
        <w:t>Officer)</w:t>
      </w:r>
    </w:p>
    <w:p>
      <w:pPr>
        <w:spacing w:after="0" w:line="396" w:lineRule="exact"/>
        <w:rPr>
          <w:sz w:val="20"/>
          <w:szCs w:val="20"/>
          <w:color w:val="auto"/>
        </w:rPr>
      </w:pPr>
    </w:p>
    <w:p>
      <w:pPr>
        <w:ind w:left="4500"/>
        <w:spacing w:after="0"/>
        <w:tabs>
          <w:tab w:leader="none" w:pos="56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J.F. AHART</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J.F. Ahart</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Vice President Secretary and</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Treasurer (Principal Financial</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and Accounting Officer)</w:t>
      </w:r>
    </w:p>
    <w:p>
      <w:pPr>
        <w:spacing w:after="0" w:line="201" w:lineRule="exact"/>
        <w:rPr>
          <w:sz w:val="20"/>
          <w:szCs w:val="20"/>
          <w:color w:val="auto"/>
        </w:rPr>
      </w:pPr>
    </w:p>
    <w:p>
      <w:pPr>
        <w:ind w:right="2560"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1934, this report has been signed below by the following persons on behalf of the registrant in the capacities and on the date indicated:</w:t>
      </w:r>
    </w:p>
    <w:p>
      <w:pPr>
        <w:spacing w:after="0" w:line="200" w:lineRule="exact"/>
        <w:rPr>
          <w:sz w:val="20"/>
          <w:szCs w:val="20"/>
          <w:color w:val="auto"/>
        </w:rPr>
      </w:pPr>
    </w:p>
    <w:p>
      <w:pPr>
        <w:spacing w:after="0" w:line="391" w:lineRule="exact"/>
        <w:rPr>
          <w:sz w:val="20"/>
          <w:szCs w:val="20"/>
          <w:color w:val="auto"/>
        </w:rPr>
      </w:pPr>
    </w:p>
    <w:p>
      <w:pPr>
        <w:ind w:left="2240"/>
        <w:spacing w:after="0"/>
        <w:tabs>
          <w:tab w:leader="none" w:pos="6820" w:val="left"/>
          <w:tab w:leader="none" w:pos="94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DATE</w:t>
      </w:r>
    </w:p>
    <w:p>
      <w:pPr>
        <w:spacing w:after="0" w:line="4" w:lineRule="exact"/>
        <w:rPr>
          <w:sz w:val="20"/>
          <w:szCs w:val="20"/>
          <w:color w:val="auto"/>
        </w:rPr>
      </w:pPr>
    </w:p>
    <w:p>
      <w:pPr>
        <w:ind w:left="2240"/>
        <w:spacing w:after="0"/>
        <w:tabs>
          <w:tab w:leader="none" w:pos="6820" w:val="left"/>
          <w:tab w:leader="none" w:pos="9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396" w:lineRule="exact"/>
        <w:rPr>
          <w:sz w:val="20"/>
          <w:szCs w:val="20"/>
          <w:color w:val="auto"/>
        </w:rPr>
      </w:pPr>
    </w:p>
    <w:p>
      <w:pPr>
        <w:ind w:left="1640"/>
        <w:spacing w:after="0"/>
        <w:tabs>
          <w:tab w:leader="none" w:pos="5600" w:val="left"/>
        </w:tabs>
        <w:rPr>
          <w:sz w:val="20"/>
          <w:szCs w:val="20"/>
          <w:color w:val="auto"/>
        </w:rPr>
      </w:pPr>
      <w:r>
        <w:rPr>
          <w:rFonts w:ascii="Courier New" w:cs="Courier New" w:eastAsia="Courier New" w:hAnsi="Courier New"/>
          <w:sz w:val="17"/>
          <w:szCs w:val="17"/>
          <w:color w:val="auto"/>
        </w:rPr>
        <w:t>/s/ THOMAS W. POWELL</w:t>
      </w:r>
      <w:r>
        <w:rPr>
          <w:sz w:val="20"/>
          <w:szCs w:val="20"/>
          <w:color w:val="auto"/>
        </w:rPr>
        <w:tab/>
      </w:r>
      <w:r>
        <w:rPr>
          <w:rFonts w:ascii="Courier New" w:cs="Courier New" w:eastAsia="Courier New" w:hAnsi="Courier New"/>
          <w:sz w:val="16"/>
          <w:szCs w:val="16"/>
          <w:color w:val="auto"/>
        </w:rPr>
        <w:t>Chairman of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Thomas W. Powell</w:t>
      </w:r>
      <w:r>
        <w:rPr>
          <w:sz w:val="20"/>
          <w:szCs w:val="20"/>
          <w:color w:val="auto"/>
        </w:rPr>
        <w:tab/>
      </w:r>
      <w:r>
        <w:rPr>
          <w:rFonts w:ascii="Courier New" w:cs="Courier New" w:eastAsia="Courier New" w:hAnsi="Courier New"/>
          <w:sz w:val="17"/>
          <w:szCs w:val="17"/>
          <w:color w:val="auto"/>
        </w:rPr>
        <w:t>January 10, 1997</w:t>
      </w:r>
    </w:p>
    <w:p>
      <w:pPr>
        <w:spacing w:after="0" w:line="200" w:lineRule="exact"/>
        <w:rPr>
          <w:sz w:val="20"/>
          <w:szCs w:val="20"/>
          <w:color w:val="auto"/>
        </w:rPr>
      </w:pPr>
    </w:p>
    <w:p>
      <w:pPr>
        <w:ind w:left="1640"/>
        <w:spacing w:after="0"/>
        <w:tabs>
          <w:tab w:leader="none" w:pos="5600" w:val="left"/>
        </w:tabs>
        <w:rPr>
          <w:sz w:val="20"/>
          <w:szCs w:val="20"/>
          <w:color w:val="auto"/>
        </w:rPr>
      </w:pPr>
      <w:r>
        <w:rPr>
          <w:rFonts w:ascii="Courier New" w:cs="Courier New" w:eastAsia="Courier New" w:hAnsi="Courier New"/>
          <w:sz w:val="17"/>
          <w:szCs w:val="17"/>
          <w:color w:val="auto"/>
        </w:rPr>
        <w:t>/s/ EUGENE L. BUTLER</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Eugene L. Butler</w:t>
      </w:r>
      <w:r>
        <w:rPr>
          <w:sz w:val="20"/>
          <w:szCs w:val="20"/>
          <w:color w:val="auto"/>
        </w:rPr>
        <w:tab/>
      </w:r>
      <w:r>
        <w:rPr>
          <w:rFonts w:ascii="Courier New" w:cs="Courier New" w:eastAsia="Courier New" w:hAnsi="Courier New"/>
          <w:sz w:val="17"/>
          <w:szCs w:val="17"/>
          <w:color w:val="auto"/>
        </w:rPr>
        <w:t>January 10, 1997</w:t>
      </w:r>
    </w:p>
    <w:p>
      <w:pPr>
        <w:spacing w:after="0" w:line="200" w:lineRule="exact"/>
        <w:rPr>
          <w:sz w:val="20"/>
          <w:szCs w:val="20"/>
          <w:color w:val="auto"/>
        </w:rPr>
      </w:pPr>
    </w:p>
    <w:p>
      <w:pPr>
        <w:ind w:left="1940"/>
        <w:spacing w:after="0"/>
        <w:tabs>
          <w:tab w:leader="none" w:pos="5600" w:val="left"/>
        </w:tabs>
        <w:rPr>
          <w:sz w:val="20"/>
          <w:szCs w:val="20"/>
          <w:color w:val="auto"/>
        </w:rPr>
      </w:pPr>
      <w:r>
        <w:rPr>
          <w:rFonts w:ascii="Courier New" w:cs="Courier New" w:eastAsia="Courier New" w:hAnsi="Courier New"/>
          <w:sz w:val="17"/>
          <w:szCs w:val="17"/>
          <w:color w:val="auto"/>
        </w:rPr>
        <w:t>/s/ J. F. AHART</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J. F. Ahart</w:t>
      </w:r>
      <w:r>
        <w:rPr>
          <w:sz w:val="20"/>
          <w:szCs w:val="20"/>
          <w:color w:val="auto"/>
        </w:rPr>
        <w:tab/>
      </w:r>
      <w:r>
        <w:rPr>
          <w:rFonts w:ascii="Courier New" w:cs="Courier New" w:eastAsia="Courier New" w:hAnsi="Courier New"/>
          <w:sz w:val="17"/>
          <w:szCs w:val="17"/>
          <w:color w:val="auto"/>
        </w:rPr>
        <w:t>January 10, 1997</w:t>
      </w:r>
    </w:p>
    <w:p>
      <w:pPr>
        <w:spacing w:after="0" w:line="200" w:lineRule="exact"/>
        <w:rPr>
          <w:sz w:val="20"/>
          <w:szCs w:val="20"/>
          <w:color w:val="auto"/>
        </w:rPr>
      </w:pPr>
    </w:p>
    <w:p>
      <w:pPr>
        <w:ind w:left="1640"/>
        <w:spacing w:after="0"/>
        <w:tabs>
          <w:tab w:leader="none" w:pos="5600" w:val="left"/>
        </w:tabs>
        <w:rPr>
          <w:sz w:val="20"/>
          <w:szCs w:val="20"/>
          <w:color w:val="auto"/>
        </w:rPr>
      </w:pPr>
      <w:r>
        <w:rPr>
          <w:rFonts w:ascii="Courier New" w:cs="Courier New" w:eastAsia="Courier New" w:hAnsi="Courier New"/>
          <w:sz w:val="17"/>
          <w:szCs w:val="17"/>
          <w:color w:val="auto"/>
        </w:rPr>
        <w:t>/s/ BONNIE L. POWELL</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Bonnie L. Powell</w:t>
      </w:r>
      <w:r>
        <w:rPr>
          <w:sz w:val="20"/>
          <w:szCs w:val="20"/>
          <w:color w:val="auto"/>
        </w:rPr>
        <w:tab/>
      </w:r>
      <w:r>
        <w:rPr>
          <w:rFonts w:ascii="Courier New" w:cs="Courier New" w:eastAsia="Courier New" w:hAnsi="Courier New"/>
          <w:sz w:val="17"/>
          <w:szCs w:val="17"/>
          <w:color w:val="auto"/>
        </w:rPr>
        <w:t>January 10, 1997</w:t>
      </w:r>
    </w:p>
    <w:p>
      <w:pPr>
        <w:spacing w:after="0" w:line="200" w:lineRule="exact"/>
        <w:rPr>
          <w:sz w:val="20"/>
          <w:szCs w:val="20"/>
          <w:color w:val="auto"/>
        </w:rPr>
      </w:pPr>
    </w:p>
    <w:p>
      <w:pPr>
        <w:ind w:left="1440"/>
        <w:spacing w:after="0"/>
        <w:tabs>
          <w:tab w:leader="none" w:pos="5600" w:val="left"/>
        </w:tabs>
        <w:rPr>
          <w:sz w:val="20"/>
          <w:szCs w:val="20"/>
          <w:color w:val="auto"/>
        </w:rPr>
      </w:pPr>
      <w:r>
        <w:rPr>
          <w:rFonts w:ascii="Courier New" w:cs="Courier New" w:eastAsia="Courier New" w:hAnsi="Courier New"/>
          <w:sz w:val="17"/>
          <w:szCs w:val="17"/>
          <w:color w:val="auto"/>
        </w:rPr>
        <w:t>/s/ STEPHEN W. SEALE, JR.</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Stephen W. Seale, Jr.</w:t>
      </w:r>
      <w:r>
        <w:rPr>
          <w:sz w:val="20"/>
          <w:szCs w:val="20"/>
          <w:color w:val="auto"/>
        </w:rPr>
        <w:tab/>
      </w:r>
      <w:r>
        <w:rPr>
          <w:rFonts w:ascii="Courier New" w:cs="Courier New" w:eastAsia="Courier New" w:hAnsi="Courier New"/>
          <w:sz w:val="17"/>
          <w:szCs w:val="17"/>
          <w:color w:val="auto"/>
        </w:rPr>
        <w:t>January 10, 1997</w:t>
      </w:r>
    </w:p>
    <w:p>
      <w:pPr>
        <w:spacing w:after="0" w:line="200" w:lineRule="exact"/>
        <w:rPr>
          <w:sz w:val="20"/>
          <w:szCs w:val="20"/>
          <w:color w:val="auto"/>
        </w:rPr>
      </w:pPr>
    </w:p>
    <w:p>
      <w:pPr>
        <w:ind w:left="1640"/>
        <w:spacing w:after="0"/>
        <w:tabs>
          <w:tab w:leader="none" w:pos="5600" w:val="left"/>
        </w:tabs>
        <w:rPr>
          <w:sz w:val="20"/>
          <w:szCs w:val="20"/>
          <w:color w:val="auto"/>
        </w:rPr>
      </w:pPr>
      <w:r>
        <w:rPr>
          <w:rFonts w:ascii="Courier New" w:cs="Courier New" w:eastAsia="Courier New" w:hAnsi="Courier New"/>
          <w:sz w:val="17"/>
          <w:szCs w:val="17"/>
          <w:color w:val="auto"/>
        </w:rPr>
        <w:t>/s/ ELBERT D. STEWART</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Elbert D. Stewart</w:t>
      </w:r>
      <w:r>
        <w:rPr>
          <w:sz w:val="20"/>
          <w:szCs w:val="20"/>
          <w:color w:val="auto"/>
        </w:rPr>
        <w:tab/>
      </w:r>
      <w:r>
        <w:rPr>
          <w:rFonts w:ascii="Courier New" w:cs="Courier New" w:eastAsia="Courier New" w:hAnsi="Courier New"/>
          <w:sz w:val="17"/>
          <w:szCs w:val="17"/>
          <w:color w:val="auto"/>
        </w:rPr>
        <w:t>January 10, 1997</w:t>
      </w:r>
    </w:p>
    <w:p>
      <w:pPr>
        <w:spacing w:after="0" w:line="200" w:lineRule="exact"/>
        <w:rPr>
          <w:sz w:val="20"/>
          <w:szCs w:val="20"/>
          <w:color w:val="auto"/>
        </w:rPr>
      </w:pPr>
    </w:p>
    <w:p>
      <w:pPr>
        <w:ind w:left="1940"/>
        <w:spacing w:after="0"/>
        <w:tabs>
          <w:tab w:leader="none" w:pos="5600" w:val="left"/>
        </w:tabs>
        <w:rPr>
          <w:sz w:val="20"/>
          <w:szCs w:val="20"/>
          <w:color w:val="auto"/>
        </w:rPr>
      </w:pPr>
      <w:r>
        <w:rPr>
          <w:rFonts w:ascii="Courier New" w:cs="Courier New" w:eastAsia="Courier New" w:hAnsi="Courier New"/>
          <w:sz w:val="17"/>
          <w:szCs w:val="17"/>
          <w:color w:val="auto"/>
        </w:rPr>
        <w:t>/s/ D.D. SYKORA</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D.D. Sykora</w:t>
      </w:r>
      <w:r>
        <w:rPr>
          <w:sz w:val="20"/>
          <w:szCs w:val="20"/>
          <w:color w:val="auto"/>
        </w:rPr>
        <w:tab/>
      </w:r>
      <w:r>
        <w:rPr>
          <w:rFonts w:ascii="Courier New" w:cs="Courier New" w:eastAsia="Courier New" w:hAnsi="Courier New"/>
          <w:sz w:val="17"/>
          <w:szCs w:val="17"/>
          <w:color w:val="auto"/>
        </w:rPr>
        <w:t>January 10, 1997</w:t>
      </w:r>
    </w:p>
    <w:p>
      <w:pPr>
        <w:spacing w:after="0" w:line="200" w:lineRule="exact"/>
        <w:rPr>
          <w:sz w:val="20"/>
          <w:szCs w:val="20"/>
          <w:color w:val="auto"/>
        </w:rPr>
      </w:pPr>
    </w:p>
    <w:p>
      <w:pPr>
        <w:ind w:left="1540"/>
        <w:spacing w:after="0"/>
        <w:tabs>
          <w:tab w:leader="none" w:pos="5600" w:val="left"/>
        </w:tabs>
        <w:rPr>
          <w:sz w:val="20"/>
          <w:szCs w:val="20"/>
          <w:color w:val="auto"/>
        </w:rPr>
      </w:pPr>
      <w:r>
        <w:rPr>
          <w:rFonts w:ascii="Courier New" w:cs="Courier New" w:eastAsia="Courier New" w:hAnsi="Courier New"/>
          <w:sz w:val="17"/>
          <w:szCs w:val="17"/>
          <w:color w:val="auto"/>
        </w:rPr>
        <w:t>/s/ LAWRENCE R. TANNER</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Lawrence R. Tanner</w:t>
      </w:r>
      <w:r>
        <w:rPr>
          <w:sz w:val="20"/>
          <w:szCs w:val="20"/>
          <w:color w:val="auto"/>
        </w:rPr>
        <w:tab/>
      </w:r>
      <w:r>
        <w:rPr>
          <w:rFonts w:ascii="Courier New" w:cs="Courier New" w:eastAsia="Courier New" w:hAnsi="Courier New"/>
          <w:sz w:val="17"/>
          <w:szCs w:val="17"/>
          <w:color w:val="auto"/>
        </w:rPr>
        <w:t>January 10, 1997</w:t>
      </w:r>
    </w:p>
    <w:p>
      <w:pPr>
        <w:spacing w:after="0" w:line="200" w:lineRule="exact"/>
        <w:rPr>
          <w:sz w:val="20"/>
          <w:szCs w:val="20"/>
          <w:color w:val="auto"/>
        </w:rPr>
      </w:pPr>
    </w:p>
    <w:p>
      <w:pPr>
        <w:ind w:left="1740"/>
        <w:spacing w:after="0"/>
        <w:tabs>
          <w:tab w:leader="none" w:pos="5600" w:val="left"/>
        </w:tabs>
        <w:rPr>
          <w:sz w:val="20"/>
          <w:szCs w:val="20"/>
          <w:color w:val="auto"/>
        </w:rPr>
      </w:pPr>
      <w:r>
        <w:rPr>
          <w:rFonts w:ascii="Courier New" w:cs="Courier New" w:eastAsia="Courier New" w:hAnsi="Courier New"/>
          <w:sz w:val="17"/>
          <w:szCs w:val="17"/>
          <w:color w:val="auto"/>
        </w:rPr>
        <w:t>/s/ RONALD J. WOLNY</w:t>
      </w:r>
      <w:r>
        <w:rPr>
          <w:sz w:val="20"/>
          <w:szCs w:val="20"/>
          <w:color w:val="auto"/>
        </w:rPr>
        <w:tab/>
      </w:r>
      <w:r>
        <w:rPr>
          <w:rFonts w:ascii="Courier New" w:cs="Courier New" w:eastAsia="Courier New" w:hAnsi="Courier New"/>
          <w:sz w:val="17"/>
          <w:szCs w:val="17"/>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jc w:val="right"/>
        <w:spacing w:after="0"/>
        <w:tabs>
          <w:tab w:leader="none" w:pos="1620" w:val="left"/>
        </w:tabs>
        <w:rPr>
          <w:sz w:val="20"/>
          <w:szCs w:val="20"/>
          <w:color w:val="auto"/>
        </w:rPr>
      </w:pPr>
      <w:r>
        <w:rPr>
          <w:rFonts w:ascii="Courier New" w:cs="Courier New" w:eastAsia="Courier New" w:hAnsi="Courier New"/>
          <w:sz w:val="17"/>
          <w:szCs w:val="17"/>
          <w:color w:val="auto"/>
        </w:rPr>
        <w:t>Ronald J. Wolny</w:t>
      </w:r>
      <w:r>
        <w:rPr>
          <w:sz w:val="20"/>
          <w:szCs w:val="20"/>
          <w:color w:val="auto"/>
        </w:rPr>
        <w:tab/>
      </w:r>
      <w:r>
        <w:rPr>
          <w:rFonts w:ascii="Courier New" w:cs="Courier New" w:eastAsia="Courier New" w:hAnsi="Courier New"/>
          <w:sz w:val="17"/>
          <w:szCs w:val="17"/>
          <w:color w:val="auto"/>
        </w:rPr>
        <w:t>January 10, 1997</w:t>
      </w:r>
    </w:p>
    <w:p>
      <w:pPr>
        <w:sectPr>
          <w:pgSz w:w="11900" w:h="16838" w:orient="portrait"/>
          <w:cols w:equalWidth="0" w:num="1">
            <w:col w:w="10720"/>
          </w:cols>
          <w:pgMar w:left="240" w:top="311" w:right="939" w:bottom="1440" w:gutter="0" w:footer="0" w:header="0"/>
        </w:sect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720"/>
          </w:cols>
          <w:pgMar w:left="240" w:top="311" w:right="939"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6640" w:type="dxa"/>
            <w:vAlign w:val="bottom"/>
          </w:tcPr>
          <w:p>
            <w:pPr>
              <w:ind w:left="1120"/>
              <w:spacing w:after="0"/>
              <w:rPr>
                <w:sz w:val="20"/>
                <w:szCs w:val="20"/>
                <w:color w:val="auto"/>
              </w:rPr>
            </w:pPr>
            <w:r>
              <w:rPr>
                <w:rFonts w:ascii="Courier New" w:cs="Courier New" w:eastAsia="Courier New" w:hAnsi="Courier New"/>
                <w:sz w:val="17"/>
                <w:szCs w:val="17"/>
                <w:color w:val="auto"/>
              </w:rPr>
              <w:t>INDEX TO EXHIBITS</w:t>
            </w:r>
          </w:p>
        </w:tc>
      </w:tr>
      <w:tr>
        <w:trPr>
          <w:trHeight w:val="785"/>
        </w:trPr>
        <w:tc>
          <w:tcPr>
            <w:tcW w:w="1220" w:type="dxa"/>
            <w:vAlign w:val="bottom"/>
          </w:tcPr>
          <w:p>
            <w:pPr>
              <w:jc w:val="center"/>
              <w:ind w:right="415"/>
              <w:spacing w:after="0"/>
              <w:rPr>
                <w:sz w:val="20"/>
                <w:szCs w:val="20"/>
                <w:color w:val="auto"/>
              </w:rPr>
            </w:pPr>
            <w:r>
              <w:rPr>
                <w:rFonts w:ascii="Courier New" w:cs="Courier New" w:eastAsia="Courier New" w:hAnsi="Courier New"/>
                <w:sz w:val="17"/>
                <w:szCs w:val="17"/>
                <w:color w:val="auto"/>
              </w:rPr>
              <w:t>EXHIBIT</w:t>
            </w:r>
          </w:p>
        </w:tc>
        <w:tc>
          <w:tcPr>
            <w:tcW w:w="6640" w:type="dxa"/>
            <w:vAlign w:val="bottom"/>
          </w:tcPr>
          <w:p>
            <w:pPr>
              <w:spacing w:after="0"/>
              <w:rPr>
                <w:sz w:val="24"/>
                <w:szCs w:val="24"/>
                <w:color w:val="auto"/>
              </w:rPr>
            </w:pPr>
          </w:p>
        </w:tc>
      </w:tr>
      <w:tr>
        <w:trPr>
          <w:trHeight w:val="196"/>
        </w:trPr>
        <w:tc>
          <w:tcPr>
            <w:tcW w:w="1220" w:type="dxa"/>
            <w:vAlign w:val="bottom"/>
          </w:tcPr>
          <w:p>
            <w:pPr>
              <w:jc w:val="center"/>
              <w:ind w:right="415"/>
              <w:spacing w:after="0"/>
              <w:rPr>
                <w:sz w:val="20"/>
                <w:szCs w:val="20"/>
                <w:color w:val="auto"/>
              </w:rPr>
            </w:pPr>
            <w:r>
              <w:rPr>
                <w:rFonts w:ascii="Courier New" w:cs="Courier New" w:eastAsia="Courier New" w:hAnsi="Courier New"/>
                <w:sz w:val="17"/>
                <w:szCs w:val="17"/>
                <w:color w:val="auto"/>
              </w:rPr>
              <w:t>NO.</w:t>
            </w:r>
          </w:p>
        </w:tc>
        <w:tc>
          <w:tcPr>
            <w:tcW w:w="6640" w:type="dxa"/>
            <w:vAlign w:val="bottom"/>
          </w:tcPr>
          <w:p>
            <w:pPr>
              <w:ind w:left="296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220" w:type="dxa"/>
            <w:vAlign w:val="bottom"/>
          </w:tcPr>
          <w:p>
            <w:pPr>
              <w:jc w:val="center"/>
              <w:ind w:right="415"/>
              <w:spacing w:after="0"/>
              <w:rPr>
                <w:sz w:val="20"/>
                <w:szCs w:val="20"/>
                <w:color w:val="auto"/>
              </w:rPr>
            </w:pPr>
            <w:r>
              <w:rPr>
                <w:rFonts w:ascii="Courier New" w:cs="Courier New" w:eastAsia="Courier New" w:hAnsi="Courier New"/>
                <w:sz w:val="17"/>
                <w:szCs w:val="17"/>
                <w:color w:val="auto"/>
              </w:rPr>
              <w:t>-------</w:t>
            </w:r>
          </w:p>
        </w:tc>
        <w:tc>
          <w:tcPr>
            <w:tcW w:w="6640" w:type="dxa"/>
            <w:vAlign w:val="bottom"/>
          </w:tcPr>
          <w:p>
            <w:pPr>
              <w:ind w:left="2960"/>
              <w:spacing w:after="0"/>
              <w:rPr>
                <w:sz w:val="20"/>
                <w:szCs w:val="20"/>
                <w:color w:val="auto"/>
              </w:rPr>
            </w:pPr>
            <w:r>
              <w:rPr>
                <w:rFonts w:ascii="Courier New" w:cs="Courier New" w:eastAsia="Courier New" w:hAnsi="Courier New"/>
                <w:sz w:val="17"/>
                <w:szCs w:val="17"/>
                <w:color w:val="auto"/>
              </w:rPr>
              <w:t>-----------</w:t>
            </w:r>
          </w:p>
        </w:tc>
      </w:tr>
      <w:tr>
        <w:trPr>
          <w:trHeight w:val="392"/>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2.1</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w w:val="99"/>
              </w:rPr>
              <w:t>-- Asset Purchase Agreement dated as of June 20, 1996 by and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between Rolls-Royce North America, Inc. and Rolls-Royce</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w w:val="99"/>
              </w:rPr>
              <w:t>Acquisition Corp. and U. S. Turbine Corp. and the Company</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(filed as Exhibit 2.1 to the Company's Current Report on</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Form 8-K dated August 8, 1996 and incorporated herein by</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2.2</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First Amendment to Asset Purchase Agreement dated July</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26, 1996 by and between Rolls-Royce North America, Inc.</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w w:val="99"/>
              </w:rPr>
              <w:t>and Rolls-Royce Acquisition Corp. and U. S. Turbine Corp.</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and the Company (filed as Exhibit 2.2 to the Company's</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Current Report on Form 8-K dated August 8, 1996 and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3.1</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Articles of Incorporation and Certificates of Amendment</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of Powell Industries, Inc. dated July 20, 1987 and March</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13, 1992 (filed as Exhibit 3 to the Company's Form 10-K</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w w:val="99"/>
              </w:rPr>
              <w:t>for the fiscal year ended October 31, 1982, Form 10-Q for</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the quarter ended July 31, 1987, and Form 10-Q for</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quarter ended April 30, 1992, respectively, and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3.2</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By-laws of Powell Industries, Inc. (filed as Exhibit</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3(ii) to Company's Form 10-Q for the quarter ended April</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30, 1995 and incorporated herein by 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10.1</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Powell Industries, Inc., Incentive Compensation Plan for</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10.2</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Salary Continuation Agreement with William E. Powell,</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w w:val="99"/>
              </w:rPr>
              <w:t>dated July 17, 1984 (filed as Exhibit 10 to the Company's</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w w:val="99"/>
              </w:rPr>
              <w:t>Form 10-K for the fiscal year ended October 31, 1984, and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10.3</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w w:val="99"/>
              </w:rPr>
              <w:t>-- Description of Supplemental Executive Benefit Plan (filed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as Exhibit 10 to the Company's Form 10-K for the fiscal</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year ended October 31, 1984, and incorporated herein by</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10.4</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Loan agreements dated June 26, 1990 between Powell</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Industries, Inc. and Metropolitan Life Insurance Company</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and Metropolitan Property and Casualty Insurance Company</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(filed as an Exhibit to the Company's Form 10-Q for the</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quarter ended July 31, 1990, and incorporated herein by</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10.5</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Credit Agreement dated October 20, 1995 between Powell</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Industries, Inc. and First Interstate Bank of Texas,</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w w:val="99"/>
              </w:rPr>
              <w:t>N. A. (Filed as an Exhibit to the Company's Form 10-K for</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the fiscal year ended October 31, 1995 and incorporated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herein by 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10.6</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Amendment No. 1 dated August 15, 1996, to Credit</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Agreement between the Powell Industries, Inc. and Wells</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Fargo Bank of Texas (previously First Interstate of</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Texas).</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10.7</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-- 1992 Powell Industries, Inc. Stock Option Plan (filed as</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Exhibit 4.2 to the Company's registration statement on</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Form S-8 dated July 26, 1994 (File No. 33-81998) and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10.8</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The Powell Industries, Inc. Directors' Fees Program</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w w:val="99"/>
              </w:rPr>
              <w:t>(filed as Exhibit 10.7 to the Company's Form 10-K for the</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fiscal year ended October 31, 1992, and incorporated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herein by 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10.9</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The Powell Industries, Inc. Executive Severance</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Protection Plan (filed as an exhibit to the Company's</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Form 10-Q for the quarter ended April 30, 1996, and</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incorporated herein by reference).</w:t>
            </w:r>
          </w:p>
        </w:tc>
      </w:tr>
      <w:tr>
        <w:trPr>
          <w:trHeight w:val="196"/>
        </w:trPr>
        <w:tc>
          <w:tcPr>
            <w:tcW w:w="1220" w:type="dxa"/>
            <w:vAlign w:val="bottom"/>
          </w:tcPr>
          <w:p>
            <w:pPr>
              <w:ind w:left="100"/>
              <w:spacing w:after="0"/>
              <w:rPr>
                <w:sz w:val="20"/>
                <w:szCs w:val="20"/>
                <w:color w:val="auto"/>
              </w:rPr>
            </w:pPr>
            <w:r>
              <w:rPr>
                <w:rFonts w:ascii="Courier New" w:cs="Courier New" w:eastAsia="Courier New" w:hAnsi="Courier New"/>
                <w:sz w:val="17"/>
                <w:szCs w:val="17"/>
                <w:color w:val="auto"/>
              </w:rPr>
              <w:t>10.10</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Amendment to Powell Industries, Inc. Stock Option Plan</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(filed as an exhibit to the Company's Form 10-Q for the</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quarter ended April 30, 1996 and incorporated herein by</w:t>
            </w:r>
          </w:p>
        </w:tc>
      </w:tr>
      <w:tr>
        <w:trPr>
          <w:trHeight w:val="196"/>
        </w:trPr>
        <w:tc>
          <w:tcPr>
            <w:tcW w:w="1220" w:type="dxa"/>
            <w:vAlign w:val="bottom"/>
          </w:tcPr>
          <w:p>
            <w:pPr>
              <w:spacing w:after="0"/>
              <w:rPr>
                <w:sz w:val="17"/>
                <w:szCs w:val="17"/>
                <w:color w:val="auto"/>
              </w:rPr>
            </w:pPr>
          </w:p>
        </w:tc>
        <w:tc>
          <w:tcPr>
            <w:tcW w:w="6640" w:type="dxa"/>
            <w:vAlign w:val="bottom"/>
          </w:tcPr>
          <w:p>
            <w:pPr>
              <w:ind w:left="820"/>
              <w:spacing w:after="0"/>
              <w:rPr>
                <w:sz w:val="20"/>
                <w:szCs w:val="20"/>
                <w:color w:val="auto"/>
              </w:rPr>
            </w:pPr>
            <w:r>
              <w:rPr>
                <w:rFonts w:ascii="Courier New" w:cs="Courier New" w:eastAsia="Courier New" w:hAnsi="Courier New"/>
                <w:sz w:val="17"/>
                <w:szCs w:val="17"/>
                <w:color w:val="auto"/>
              </w:rPr>
              <w:t>reference).</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21.1</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Subsidiaries of the Company.</w:t>
            </w:r>
          </w:p>
        </w:tc>
      </w:tr>
      <w:tr>
        <w:trPr>
          <w:trHeight w:val="196"/>
        </w:trPr>
        <w:tc>
          <w:tcPr>
            <w:tcW w:w="12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23.1</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Consent of Independent Public Accountants.</w:t>
            </w:r>
          </w:p>
        </w:tc>
      </w:tr>
      <w:tr>
        <w:trPr>
          <w:trHeight w:val="196"/>
        </w:trPr>
        <w:tc>
          <w:tcPr>
            <w:tcW w:w="1220" w:type="dxa"/>
            <w:vAlign w:val="bottom"/>
          </w:tcPr>
          <w:p>
            <w:pPr>
              <w:ind w:left="100"/>
              <w:spacing w:after="0"/>
              <w:rPr>
                <w:sz w:val="20"/>
                <w:szCs w:val="20"/>
                <w:color w:val="auto"/>
              </w:rPr>
            </w:pPr>
            <w:r>
              <w:rPr>
                <w:rFonts w:ascii="Courier New" w:cs="Courier New" w:eastAsia="Courier New" w:hAnsi="Courier New"/>
                <w:sz w:val="17"/>
                <w:szCs w:val="17"/>
                <w:color w:val="auto"/>
              </w:rPr>
              <w:t>27</w:t>
            </w:r>
          </w:p>
        </w:tc>
        <w:tc>
          <w:tcPr>
            <w:tcW w:w="6640" w:type="dxa"/>
            <w:vAlign w:val="bottom"/>
          </w:tcPr>
          <w:p>
            <w:pPr>
              <w:ind w:left="520"/>
              <w:spacing w:after="0"/>
              <w:rPr>
                <w:sz w:val="20"/>
                <w:szCs w:val="20"/>
                <w:color w:val="auto"/>
              </w:rPr>
            </w:pPr>
            <w:r>
              <w:rPr>
                <w:rFonts w:ascii="Courier New" w:cs="Courier New" w:eastAsia="Courier New" w:hAnsi="Courier New"/>
                <w:sz w:val="17"/>
                <w:szCs w:val="17"/>
                <w:color w:val="auto"/>
              </w:rPr>
              <w:t>-- Financial data schedule.</w:t>
            </w:r>
          </w:p>
        </w:tc>
      </w:tr>
    </w:tbl>
    <w:p>
      <w:pPr>
        <w:sectPr>
          <w:pgSz w:w="11900" w:h="16838" w:orient="portrait"/>
          <w:cols w:equalWidth="0" w:num="1">
            <w:col w:w="9899"/>
          </w:cols>
          <w:pgMar w:left="560" w:top="311" w:right="1440" w:bottom="1055"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EXHIBIT 10.1</w:t>
      </w:r>
    </w:p>
    <w:p>
      <w:pPr>
        <w:spacing w:after="0" w:line="200" w:lineRule="exact"/>
        <w:rPr>
          <w:sz w:val="20"/>
          <w:szCs w:val="20"/>
          <w:color w:val="auto"/>
        </w:rPr>
      </w:pPr>
    </w:p>
    <w:p>
      <w:pPr>
        <w:spacing w:after="0" w:line="392"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POWELL INDUSTRIES, INC.</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INCENTIVE COMPENSATION PLAN FOR 1996</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DECEMBER 1995</w:t>
      </w:r>
    </w:p>
    <w:p>
      <w:pPr>
        <w:spacing w:after="0" w:line="200" w:lineRule="exact"/>
        <w:rPr>
          <w:sz w:val="20"/>
          <w:szCs w:val="20"/>
          <w:color w:val="auto"/>
        </w:rPr>
      </w:pPr>
    </w:p>
    <w:p>
      <w:pPr>
        <w:spacing w:after="0" w:line="392" w:lineRule="exact"/>
        <w:rPr>
          <w:sz w:val="20"/>
          <w:szCs w:val="20"/>
          <w:color w:val="auto"/>
        </w:rPr>
      </w:pPr>
    </w:p>
    <w:p>
      <w:pPr>
        <w:ind w:left="920" w:hanging="915"/>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PURPOSE</w:t>
      </w:r>
    </w:p>
    <w:p>
      <w:pPr>
        <w:spacing w:after="0" w:line="200" w:lineRule="exact"/>
        <w:rPr>
          <w:rFonts w:ascii="Courier New" w:cs="Courier New" w:eastAsia="Courier New" w:hAnsi="Courier New"/>
          <w:sz w:val="17"/>
          <w:szCs w:val="17"/>
          <w:color w:val="auto"/>
        </w:rPr>
      </w:pPr>
    </w:p>
    <w:p>
      <w:pPr>
        <w:ind w:left="920" w:right="23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purpose of the plan is to recognize and reward key corporate and subsidiary employees for their contributions to the growth and profitability of Powell Industries, Inc. and its operating subsidiaries through the opportunity to earn incentive compensation, in addition to their base salaries, based on the performance of the Company or subsidiary.</w:t>
      </w:r>
    </w:p>
    <w:p>
      <w:pPr>
        <w:spacing w:after="0" w:line="19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DESCRIPTION</w:t>
      </w:r>
    </w:p>
    <w:p>
      <w:pPr>
        <w:spacing w:after="0" w:line="200" w:lineRule="exact"/>
        <w:rPr>
          <w:rFonts w:ascii="Courier New" w:cs="Courier New" w:eastAsia="Courier New" w:hAnsi="Courier New"/>
          <w:sz w:val="17"/>
          <w:szCs w:val="17"/>
          <w:color w:val="auto"/>
        </w:rPr>
      </w:pPr>
    </w:p>
    <w:p>
      <w:pPr>
        <w:ind w:left="920"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Key corporate and subsidiary executives and managers will be selected for participation on an annual basis. For each participant, a maximum incentive compensation opportunity will be established, and expressed as a percentage of the individual's base salary at the beginning of the plan year. The actual amount of incentive compensation earned by each participant will be based on the performance of the Company or subsidiary against pre-established performance measures. The performance measures for the subsidiary participants will include "return on revenues" and "revenue growth". For corporate participants, the performance measures will include "Powell Industries, Inc. earnings per share", and "revenue growth". Specific performance levels will be established each year based on an assessment of historical results, the budgeted performance for the plan year, and general business conditions.</w:t>
      </w:r>
    </w:p>
    <w:p>
      <w:pPr>
        <w:spacing w:after="0" w:line="201" w:lineRule="exact"/>
        <w:rPr>
          <w:rFonts w:ascii="Courier New" w:cs="Courier New" w:eastAsia="Courier New" w:hAnsi="Courier New"/>
          <w:sz w:val="17"/>
          <w:szCs w:val="17"/>
          <w:color w:val="auto"/>
        </w:rPr>
      </w:pPr>
    </w:p>
    <w:p>
      <w:pPr>
        <w:ind w:left="920" w:right="23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will be administered by the Compensation Committee of the Board of Directors, in conjunction with the Chief Executive Officer.</w:t>
      </w:r>
    </w:p>
    <w:p>
      <w:pPr>
        <w:spacing w:after="0" w:line="197" w:lineRule="exact"/>
        <w:rPr>
          <w:rFonts w:ascii="Courier New" w:cs="Courier New" w:eastAsia="Courier New" w:hAnsi="Courier New"/>
          <w:sz w:val="17"/>
          <w:szCs w:val="17"/>
          <w:color w:val="auto"/>
        </w:rPr>
      </w:pPr>
    </w:p>
    <w:p>
      <w:pPr>
        <w:ind w:left="920" w:hanging="915"/>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AND INCENTIVE COMPENSATION OPPORTUNITY</w:t>
      </w:r>
    </w:p>
    <w:p>
      <w:pPr>
        <w:spacing w:after="0" w:line="200" w:lineRule="exact"/>
        <w:rPr>
          <w:rFonts w:ascii="Courier New" w:cs="Courier New" w:eastAsia="Courier New" w:hAnsi="Courier New"/>
          <w:sz w:val="17"/>
          <w:szCs w:val="17"/>
          <w:color w:val="auto"/>
        </w:rPr>
      </w:pPr>
    </w:p>
    <w:p>
      <w:pPr>
        <w:ind w:left="920" w:right="23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an annual basis key corporate and subsidiary participants will be identified for participation. Participation in one year does not guarantee participation in the following year.</w:t>
      </w:r>
    </w:p>
    <w:p>
      <w:pPr>
        <w:spacing w:after="0" w:line="199" w:lineRule="exact"/>
        <w:rPr>
          <w:rFonts w:ascii="Courier New" w:cs="Courier New" w:eastAsia="Courier New" w:hAnsi="Courier New"/>
          <w:sz w:val="17"/>
          <w:szCs w:val="17"/>
          <w:color w:val="auto"/>
        </w:rPr>
      </w:pPr>
    </w:p>
    <w:p>
      <w:pPr>
        <w:ind w:left="920" w:right="24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presidents will submit their recommended participants to the CEO for approval. In addition, each subsidiary president may identify a general incentive "pool", which may be used to recognize the contributions of individuals within the subsidiary who are not named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Page 1</w:t>
      </w:r>
    </w:p>
    <w:p>
      <w:pPr>
        <w:sectPr>
          <w:pgSz w:w="11900" w:h="16838" w:orient="portrait"/>
          <w:cols w:equalWidth="0" w:num="1">
            <w:col w:w="10219"/>
          </w:cols>
          <w:pgMar w:left="240" w:top="141" w:right="1440" w:bottom="1440" w:gutter="0" w:footer="0" w:header="0"/>
        </w:sectPr>
      </w:pPr>
    </w:p>
    <w:bookmarkStart w:id="30" w:name="page31"/>
    <w:bookmarkEnd w:id="30"/>
    <w:p>
      <w:pPr>
        <w:ind w:left="315"/>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ind w:left="915" w:right="2159"/>
        <w:spacing w:after="0" w:line="244" w:lineRule="auto"/>
        <w:rPr>
          <w:sz w:val="20"/>
          <w:szCs w:val="20"/>
          <w:color w:val="auto"/>
        </w:rPr>
      </w:pPr>
      <w:r>
        <w:rPr>
          <w:rFonts w:ascii="Courier New" w:cs="Courier New" w:eastAsia="Courier New" w:hAnsi="Courier New"/>
          <w:sz w:val="17"/>
          <w:szCs w:val="17"/>
          <w:color w:val="auto"/>
        </w:rPr>
        <w:t>The CEO will recommend corporate participants for approval by the Compensation Committee. The CEO may identify a general incentive "pool" which may be used to recognize the contributions of individuals who are not named participants.</w:t>
      </w:r>
    </w:p>
    <w:p>
      <w:pPr>
        <w:spacing w:after="0" w:line="198" w:lineRule="exact"/>
        <w:rPr>
          <w:sz w:val="20"/>
          <w:szCs w:val="20"/>
          <w:color w:val="auto"/>
        </w:rPr>
      </w:pPr>
    </w:p>
    <w:p>
      <w:pPr>
        <w:ind w:left="915" w:right="2159"/>
        <w:spacing w:after="0" w:line="243" w:lineRule="auto"/>
        <w:rPr>
          <w:sz w:val="20"/>
          <w:szCs w:val="20"/>
          <w:color w:val="auto"/>
        </w:rPr>
      </w:pPr>
      <w:r>
        <w:rPr>
          <w:rFonts w:ascii="Courier New" w:cs="Courier New" w:eastAsia="Courier New" w:hAnsi="Courier New"/>
          <w:sz w:val="17"/>
          <w:szCs w:val="17"/>
          <w:color w:val="auto"/>
        </w:rPr>
        <w:t>For each named participant, their "maximum incentive opportunity" will be identified, which is expressed as a percentage of base salary at the beginning of the plan year.</w:t>
      </w:r>
    </w:p>
    <w:p>
      <w:pPr>
        <w:spacing w:after="0" w:line="199" w:lineRule="exact"/>
        <w:rPr>
          <w:sz w:val="20"/>
          <w:szCs w:val="20"/>
          <w:color w:val="auto"/>
        </w:rPr>
      </w:pPr>
    </w:p>
    <w:p>
      <w:pPr>
        <w:ind w:left="915" w:hanging="915"/>
        <w:spacing w:after="0"/>
        <w:tabs>
          <w:tab w:leader="none" w:pos="915"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MEASURES AND WEIGHTS</w:t>
      </w:r>
    </w:p>
    <w:p>
      <w:pPr>
        <w:spacing w:after="0" w:line="200" w:lineRule="exact"/>
        <w:rPr>
          <w:rFonts w:ascii="Courier New" w:cs="Courier New" w:eastAsia="Courier New" w:hAnsi="Courier New"/>
          <w:sz w:val="17"/>
          <w:szCs w:val="17"/>
          <w:color w:val="auto"/>
        </w:rPr>
      </w:pPr>
    </w:p>
    <w:p>
      <w:pPr>
        <w:ind w:left="915"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performance measures will be used to measure the performance of the Company and determine the incentive award earned by each participant. The weighting percentage reflects the relative weight given to each performance measure.</w:t>
      </w:r>
    </w:p>
    <w:p>
      <w:pPr>
        <w:spacing w:after="0" w:line="196"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PARTICIPANTS</w:t>
      </w:r>
    </w:p>
    <w:p>
      <w:pPr>
        <w:spacing w:after="0" w:line="200" w:lineRule="exact"/>
        <w:rPr>
          <w:rFonts w:ascii="Courier New" w:cs="Courier New" w:eastAsia="Courier New" w:hAnsi="Courier New"/>
          <w:sz w:val="17"/>
          <w:szCs w:val="17"/>
          <w:color w:val="auto"/>
        </w:rPr>
      </w:pPr>
    </w:p>
    <w:p>
      <w:pPr>
        <w:ind w:left="1735" w:right="2359" w:hanging="816"/>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o70% Return on Revenues - Net profits before taxes divided by total revenues</w:t>
      </w:r>
    </w:p>
    <w:p>
      <w:pPr>
        <w:spacing w:after="0" w:line="197"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o30% Percent Growth of Total Revenues</w:t>
      </w:r>
    </w:p>
    <w:p>
      <w:pPr>
        <w:spacing w:after="0" w:line="199"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PARTICIPANTS</w:t>
      </w:r>
    </w:p>
    <w:p>
      <w:pPr>
        <w:spacing w:after="0" w:line="199"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o70% Powell Industries, Inc. Earnings Per Share</w:t>
      </w:r>
    </w:p>
    <w:p>
      <w:pPr>
        <w:spacing w:after="0" w:line="199" w:lineRule="exact"/>
        <w:rPr>
          <w:rFonts w:ascii="Courier New" w:cs="Courier New" w:eastAsia="Courier New" w:hAnsi="Courier New"/>
          <w:sz w:val="17"/>
          <w:szCs w:val="17"/>
          <w:color w:val="auto"/>
        </w:rPr>
      </w:pPr>
    </w:p>
    <w:p>
      <w:pPr>
        <w:ind w:left="9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w:t>
      </w:r>
      <w:r>
        <w:rPr>
          <w:rFonts w:ascii="Courier New" w:cs="Courier New" w:eastAsia="Courier New" w:hAnsi="Courier New"/>
          <w:sz w:val="16"/>
          <w:szCs w:val="16"/>
          <w:color w:val="auto"/>
        </w:rPr>
        <w:t>30% Percent Growth of Total Revenues Over Prior Year</w:t>
      </w:r>
    </w:p>
    <w:p>
      <w:pPr>
        <w:spacing w:after="0" w:line="200" w:lineRule="exact"/>
        <w:rPr>
          <w:rFonts w:ascii="Courier New" w:cs="Courier New" w:eastAsia="Courier New" w:hAnsi="Courier New"/>
          <w:sz w:val="17"/>
          <w:szCs w:val="17"/>
          <w:color w:val="auto"/>
        </w:rPr>
      </w:pPr>
    </w:p>
    <w:p>
      <w:pPr>
        <w:ind w:left="915"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beginning of the plan year, the performance standards for each subsidiary and Powell Industries, Inc. will be finalized, approved by the Compensation Committee, and communicated to participants. The performance standards will be based on historical results, management's expectations for the coming year, and the general business environment. The CEO will approve subsidiary performance standards, and the Compensation Committee will approve the company-wide performance standards.</w:t>
      </w:r>
    </w:p>
    <w:p>
      <w:pPr>
        <w:spacing w:after="0" w:line="199" w:lineRule="exact"/>
        <w:rPr>
          <w:rFonts w:ascii="Courier New" w:cs="Courier New" w:eastAsia="Courier New" w:hAnsi="Courier New"/>
          <w:sz w:val="17"/>
          <w:szCs w:val="17"/>
          <w:color w:val="auto"/>
        </w:rPr>
      </w:pPr>
    </w:p>
    <w:p>
      <w:pPr>
        <w:ind w:left="915" w:right="25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1995, the revenue growth standard for the corporation and subsidiaries will be 10%. Beginning in 1996, the standard will be increased to 15%.</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AWARDS</w:t>
      </w:r>
    </w:p>
    <w:p>
      <w:pPr>
        <w:spacing w:after="0" w:line="200" w:lineRule="exact"/>
        <w:rPr>
          <w:rFonts w:ascii="Courier New" w:cs="Courier New" w:eastAsia="Courier New" w:hAnsi="Courier New"/>
          <w:sz w:val="17"/>
          <w:szCs w:val="17"/>
          <w:color w:val="auto"/>
        </w:rPr>
      </w:pPr>
    </w:p>
    <w:p>
      <w:pPr>
        <w:ind w:left="915" w:right="215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For each subsidiary and Powell Industries, Inc., an Incentive Compensation Calculation Form will be prepared at the beginning of the plan year, which will include a listing of the participants, their base salary, and maximum incentive opportunity. For each performance measure, a funding table will be attached which establishes the amount of incentive compensation earned at various performance levels. The Incentive Compensation Calculation Form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775"/>
        <w:spacing w:after="0"/>
        <w:rPr>
          <w:sz w:val="20"/>
          <w:szCs w:val="20"/>
          <w:color w:val="auto"/>
        </w:rPr>
      </w:pPr>
      <w:r>
        <w:rPr>
          <w:rFonts w:ascii="Courier New" w:cs="Courier New" w:eastAsia="Courier New" w:hAnsi="Courier New"/>
          <w:sz w:val="17"/>
          <w:szCs w:val="17"/>
          <w:color w:val="auto"/>
        </w:rPr>
        <w:t>Page 2</w:t>
      </w:r>
    </w:p>
    <w:p>
      <w:pPr>
        <w:sectPr>
          <w:pgSz w:w="11900" w:h="16838" w:orient="portrait"/>
          <w:cols w:equalWidth="0" w:num="1">
            <w:col w:w="10215"/>
          </w:cols>
          <w:pgMar w:left="245" w:top="311" w:right="1440" w:bottom="1440" w:gutter="0" w:footer="0" w:header="0"/>
        </w:sectPr>
      </w:pPr>
    </w:p>
    <w:bookmarkStart w:id="31" w:name="page32"/>
    <w:bookmarkEnd w:id="31"/>
    <w:p>
      <w:pPr>
        <w:ind w:left="315"/>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left="915" w:right="2459"/>
        <w:spacing w:after="0" w:line="244" w:lineRule="auto"/>
        <w:rPr>
          <w:sz w:val="20"/>
          <w:szCs w:val="20"/>
          <w:color w:val="auto"/>
        </w:rPr>
      </w:pPr>
      <w:r>
        <w:rPr>
          <w:rFonts w:ascii="Courier New" w:cs="Courier New" w:eastAsia="Courier New" w:hAnsi="Courier New"/>
          <w:sz w:val="17"/>
          <w:szCs w:val="17"/>
          <w:color w:val="auto"/>
        </w:rPr>
        <w:t>In order to activate the plan for each subsidiary, the threshold Return on Revenue (ROR) must be achieved. If the ROR threshold is not achieved, no incentive awards will be paid, regardless of the revenue growth percentage.</w:t>
      </w:r>
    </w:p>
    <w:p>
      <w:pPr>
        <w:spacing w:after="0" w:line="198" w:lineRule="exact"/>
        <w:rPr>
          <w:sz w:val="20"/>
          <w:szCs w:val="20"/>
          <w:color w:val="auto"/>
        </w:rPr>
      </w:pPr>
    </w:p>
    <w:p>
      <w:pPr>
        <w:ind w:left="915" w:right="2759"/>
        <w:spacing w:after="0" w:line="244" w:lineRule="auto"/>
        <w:rPr>
          <w:sz w:val="20"/>
          <w:szCs w:val="20"/>
          <w:color w:val="auto"/>
        </w:rPr>
      </w:pPr>
      <w:r>
        <w:rPr>
          <w:rFonts w:ascii="Courier New" w:cs="Courier New" w:eastAsia="Courier New" w:hAnsi="Courier New"/>
          <w:sz w:val="17"/>
          <w:szCs w:val="17"/>
          <w:color w:val="auto"/>
        </w:rPr>
        <w:t>In order to activate the plan for corporate participants, the threshold Earnings Per Share (EPS) must be achieved. If the EPS threshold is not achieved, no incentive awards will be paid, regardless of the revenue growth percentage.</w:t>
      </w:r>
    </w:p>
    <w:p>
      <w:pPr>
        <w:spacing w:after="0" w:line="198" w:lineRule="exact"/>
        <w:rPr>
          <w:sz w:val="20"/>
          <w:szCs w:val="20"/>
          <w:color w:val="auto"/>
        </w:rPr>
      </w:pPr>
    </w:p>
    <w:p>
      <w:pPr>
        <w:ind w:left="915" w:right="2759"/>
        <w:spacing w:after="0" w:line="243" w:lineRule="auto"/>
        <w:rPr>
          <w:sz w:val="20"/>
          <w:szCs w:val="20"/>
          <w:color w:val="auto"/>
        </w:rPr>
      </w:pPr>
      <w:r>
        <w:rPr>
          <w:rFonts w:ascii="Courier New" w:cs="Courier New" w:eastAsia="Courier New" w:hAnsi="Courier New"/>
          <w:sz w:val="17"/>
          <w:szCs w:val="17"/>
          <w:color w:val="auto"/>
        </w:rPr>
        <w:t>In computing performance results, ROR and EPS will be net of the accrued incentive compensation payments.</w:t>
      </w:r>
    </w:p>
    <w:p>
      <w:pPr>
        <w:spacing w:after="0" w:line="199" w:lineRule="exact"/>
        <w:rPr>
          <w:sz w:val="20"/>
          <w:szCs w:val="20"/>
          <w:color w:val="auto"/>
        </w:rPr>
      </w:pPr>
    </w:p>
    <w:p>
      <w:pPr>
        <w:ind w:left="915" w:right="2459"/>
        <w:spacing w:after="0" w:line="244" w:lineRule="auto"/>
        <w:rPr>
          <w:sz w:val="20"/>
          <w:szCs w:val="20"/>
          <w:color w:val="auto"/>
        </w:rPr>
      </w:pPr>
      <w:r>
        <w:rPr>
          <w:rFonts w:ascii="Courier New" w:cs="Courier New" w:eastAsia="Courier New" w:hAnsi="Courier New"/>
          <w:sz w:val="17"/>
          <w:szCs w:val="17"/>
          <w:color w:val="auto"/>
        </w:rPr>
        <w:t>In addition to the incentive award computed under this plan, the Compensation Committee may in its sole discretion, make additional discretionary awards to recognize significant individual contributions. This discretionary award is limited to no more than 30% of the individual's maximum incentive opportunity.</w:t>
      </w:r>
    </w:p>
    <w:p>
      <w:pPr>
        <w:spacing w:after="0" w:line="198" w:lineRule="exact"/>
        <w:rPr>
          <w:sz w:val="20"/>
          <w:szCs w:val="20"/>
          <w:color w:val="auto"/>
        </w:rPr>
      </w:pPr>
    </w:p>
    <w:p>
      <w:pPr>
        <w:ind w:left="915" w:right="2559"/>
        <w:spacing w:after="0" w:line="244" w:lineRule="auto"/>
        <w:rPr>
          <w:sz w:val="20"/>
          <w:szCs w:val="20"/>
          <w:color w:val="auto"/>
        </w:rPr>
      </w:pPr>
      <w:r>
        <w:rPr>
          <w:rFonts w:ascii="Courier New" w:cs="Courier New" w:eastAsia="Courier New" w:hAnsi="Courier New"/>
          <w:sz w:val="17"/>
          <w:szCs w:val="17"/>
          <w:color w:val="auto"/>
        </w:rPr>
        <w:t>The Compensation Committee, in conjunction with the CEO, may make adjustments to the subsidiary or Company performance results to eliminate the impact of extraordinary charges to earnings, both positive and negative. The purpose of any such adjustment is to better reflect the performance of the subsidiary or Company. Each August, the Committee will meet to review the interim performance results of the Company and determine if extraordinary charges have occurred or are likely to occur that should be eliminated.</w:t>
      </w:r>
    </w:p>
    <w:p>
      <w:pPr>
        <w:spacing w:after="0" w:line="199" w:lineRule="exact"/>
        <w:rPr>
          <w:sz w:val="20"/>
          <w:szCs w:val="20"/>
          <w:color w:val="auto"/>
        </w:rPr>
      </w:pPr>
    </w:p>
    <w:p>
      <w:pPr>
        <w:ind w:left="915" w:hanging="915"/>
        <w:spacing w:after="0"/>
        <w:tabs>
          <w:tab w:leader="none" w:pos="9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AWARDS</w:t>
      </w:r>
    </w:p>
    <w:p>
      <w:pPr>
        <w:spacing w:after="0" w:line="200" w:lineRule="exact"/>
        <w:rPr>
          <w:rFonts w:ascii="Courier New" w:cs="Courier New" w:eastAsia="Courier New" w:hAnsi="Courier New"/>
          <w:sz w:val="17"/>
          <w:szCs w:val="17"/>
          <w:color w:val="auto"/>
        </w:rPr>
      </w:pPr>
    </w:p>
    <w:p>
      <w:pPr>
        <w:ind w:left="915" w:right="22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incentive awards will be determined after the end of the plan year and paid as soon as practical. Prior to payment of awards, the Compensation Committee will review and certify the incentive awards for all participants.</w:t>
      </w:r>
    </w:p>
    <w:p>
      <w:pPr>
        <w:spacing w:after="0" w:line="197" w:lineRule="exact"/>
        <w:rPr>
          <w:rFonts w:ascii="Courier New" w:cs="Courier New" w:eastAsia="Courier New" w:hAnsi="Courier New"/>
          <w:sz w:val="17"/>
          <w:szCs w:val="17"/>
          <w:color w:val="auto"/>
        </w:rPr>
      </w:pPr>
    </w:p>
    <w:p>
      <w:pPr>
        <w:ind w:left="915" w:right="26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awards will be computed based on the participant's base salary at the beginning of the plan year.</w:t>
      </w:r>
    </w:p>
    <w:p>
      <w:pPr>
        <w:spacing w:after="0" w:line="198" w:lineRule="exact"/>
        <w:rPr>
          <w:rFonts w:ascii="Courier New" w:cs="Courier New" w:eastAsia="Courier New" w:hAnsi="Courier New"/>
          <w:sz w:val="17"/>
          <w:szCs w:val="17"/>
          <w:color w:val="auto"/>
        </w:rPr>
      </w:pPr>
    </w:p>
    <w:p>
      <w:pPr>
        <w:ind w:left="915" w:right="23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must be an active employee on the last day of the plan year in order to receive an incentive award.</w:t>
      </w:r>
    </w:p>
    <w:p>
      <w:pPr>
        <w:spacing w:after="0" w:line="198" w:lineRule="exact"/>
        <w:rPr>
          <w:rFonts w:ascii="Courier New" w:cs="Courier New" w:eastAsia="Courier New" w:hAnsi="Courier New"/>
          <w:sz w:val="17"/>
          <w:szCs w:val="17"/>
          <w:color w:val="auto"/>
        </w:rPr>
      </w:pPr>
    </w:p>
    <w:p>
      <w:pPr>
        <w:ind w:left="915" w:right="23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Participants added to the plan after the beginning of the plan year, will be eligible to receive a prorated award based on their salary when they became eligible.</w:t>
      </w:r>
    </w:p>
    <w:p>
      <w:pPr>
        <w:spacing w:after="0" w:line="199" w:lineRule="exact"/>
        <w:rPr>
          <w:rFonts w:ascii="Courier New" w:cs="Courier New" w:eastAsia="Courier New" w:hAnsi="Courier New"/>
          <w:sz w:val="17"/>
          <w:szCs w:val="17"/>
          <w:color w:val="auto"/>
        </w:rPr>
      </w:pPr>
    </w:p>
    <w:p>
      <w:pPr>
        <w:ind w:left="915" w:right="21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Participants who die, retire, or become disabled during the plan year will be eligible for a prorated award based on the number of months of active participation during the plan year.</w:t>
      </w:r>
    </w:p>
    <w:p>
      <w:pPr>
        <w:spacing w:after="0" w:line="198" w:lineRule="exact"/>
        <w:rPr>
          <w:rFonts w:ascii="Courier New" w:cs="Courier New" w:eastAsia="Courier New" w:hAnsi="Courier New"/>
          <w:sz w:val="17"/>
          <w:szCs w:val="17"/>
          <w:color w:val="auto"/>
        </w:rPr>
      </w:pPr>
    </w:p>
    <w:p>
      <w:pPr>
        <w:ind w:left="915" w:hanging="915"/>
        <w:spacing w:after="0"/>
        <w:tabs>
          <w:tab w:leader="none" w:pos="9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PLAN</w:t>
      </w:r>
    </w:p>
    <w:p>
      <w:pPr>
        <w:spacing w:after="0" w:line="200" w:lineRule="exact"/>
        <w:rPr>
          <w:rFonts w:ascii="Courier New" w:cs="Courier New" w:eastAsia="Courier New" w:hAnsi="Courier New"/>
          <w:sz w:val="17"/>
          <w:szCs w:val="17"/>
          <w:color w:val="auto"/>
        </w:rPr>
      </w:pPr>
    </w:p>
    <w:p>
      <w:pPr>
        <w:ind w:left="915" w:right="23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will be administered by the Compensation Committee, in conjunction with the CEO. The Committee reserves the right to amend or terminate the plan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775"/>
        <w:spacing w:after="0"/>
        <w:rPr>
          <w:sz w:val="20"/>
          <w:szCs w:val="20"/>
          <w:color w:val="auto"/>
        </w:rPr>
      </w:pPr>
      <w:r>
        <w:rPr>
          <w:rFonts w:ascii="Courier New" w:cs="Courier New" w:eastAsia="Courier New" w:hAnsi="Courier New"/>
          <w:sz w:val="17"/>
          <w:szCs w:val="17"/>
          <w:color w:val="auto"/>
        </w:rPr>
        <w:t>Page 3</w:t>
      </w:r>
    </w:p>
    <w:p>
      <w:pPr>
        <w:sectPr>
          <w:pgSz w:w="11900" w:h="16838" w:orient="portrait"/>
          <w:cols w:equalWidth="0" w:num="1">
            <w:col w:w="10215"/>
          </w:cols>
          <w:pgMar w:left="245" w:top="31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left="600" w:right="2459"/>
        <w:spacing w:after="0" w:line="243" w:lineRule="auto"/>
        <w:rPr>
          <w:sz w:val="20"/>
          <w:szCs w:val="20"/>
          <w:color w:val="auto"/>
        </w:rPr>
      </w:pPr>
      <w:r>
        <w:rPr>
          <w:rFonts w:ascii="Courier New" w:cs="Courier New" w:eastAsia="Courier New" w:hAnsi="Courier New"/>
          <w:sz w:val="17"/>
          <w:szCs w:val="17"/>
          <w:color w:val="auto"/>
        </w:rPr>
        <w:t>time, except that such amendment or termination will not affect any awards that have been earned but not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Page 4</w:t>
      </w:r>
    </w:p>
    <w:p>
      <w:pPr>
        <w:sectPr>
          <w:pgSz w:w="11900" w:h="16838" w:orient="portrait"/>
          <w:cols w:equalWidth="0" w:num="1">
            <w:col w:w="9899"/>
          </w:cols>
          <w:pgMar w:left="560" w:top="311"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FIRST AMENDMENT TO CREDIT AGREEMENT</w:t>
      </w:r>
    </w:p>
    <w:p>
      <w:pPr>
        <w:spacing w:after="0" w:line="397"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THIS FIRST AMENDMENT TO CREDIT AGREEMENT (hereinafter called this "Amendment") is entered into on August 15, 1996, to be effective as of August 15, 1996, between Powell Industries, Inc., a Nevada corporation (the "Borrower") and Wells Fargo Bank (Texas), National Association, formerly First Interstate Bank of Texas, N.A. (the "Bank").</w:t>
      </w:r>
    </w:p>
    <w:p>
      <w:pPr>
        <w:spacing w:after="0" w:line="197"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 I T N E S S E T H:</w:t>
      </w:r>
    </w:p>
    <w:p>
      <w:pPr>
        <w:spacing w:after="0" w:line="201" w:lineRule="exact"/>
        <w:rPr>
          <w:sz w:val="20"/>
          <w:szCs w:val="20"/>
          <w:color w:val="auto"/>
        </w:rPr>
      </w:pPr>
    </w:p>
    <w:p>
      <w:pPr>
        <w:jc w:val="both"/>
        <w:ind w:right="2359" w:firstLine="714"/>
        <w:spacing w:after="0" w:line="244" w:lineRule="auto"/>
        <w:rPr>
          <w:sz w:val="20"/>
          <w:szCs w:val="20"/>
          <w:color w:val="auto"/>
        </w:rPr>
      </w:pPr>
      <w:r>
        <w:rPr>
          <w:rFonts w:ascii="Courier New" w:cs="Courier New" w:eastAsia="Courier New" w:hAnsi="Courier New"/>
          <w:sz w:val="17"/>
          <w:szCs w:val="17"/>
          <w:color w:val="auto"/>
        </w:rPr>
        <w:t>WHEREAS, the Borrower and First Interstate Bank of Texas, N.A. entered into a Credit Agreement dated as of October 20, 1995 (hereinafter called the "Agreement"), whereby, upon the terms and conditions therein stated, the Bank agreed to make available to the Borrower a credit facility upon the terms and conditions set forth in the Agreement; and</w:t>
      </w:r>
    </w:p>
    <w:p>
      <w:pPr>
        <w:spacing w:after="0" w:line="198"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WHEREAS, the Borrower has dissolved or sold Powell-Process Systems, Inc. and U.S. Turbine, Inc., each of which was a subsidiary of Borrower and each of which guaranteed the payment of the credit facility represented by the Agreement; and</w:t>
      </w:r>
    </w:p>
    <w:p>
      <w:pPr>
        <w:spacing w:after="0" w:line="198" w:lineRule="exact"/>
        <w:rPr>
          <w:sz w:val="20"/>
          <w:szCs w:val="20"/>
          <w:color w:val="auto"/>
        </w:rPr>
      </w:pPr>
    </w:p>
    <w:p>
      <w:pPr>
        <w:ind w:right="2759" w:firstLine="714"/>
        <w:spacing w:after="0" w:line="243" w:lineRule="auto"/>
        <w:rPr>
          <w:sz w:val="20"/>
          <w:szCs w:val="20"/>
          <w:color w:val="auto"/>
        </w:rPr>
      </w:pPr>
      <w:r>
        <w:rPr>
          <w:rFonts w:ascii="Courier New" w:cs="Courier New" w:eastAsia="Courier New" w:hAnsi="Courier New"/>
          <w:sz w:val="17"/>
          <w:szCs w:val="17"/>
          <w:color w:val="auto"/>
        </w:rPr>
        <w:t>WHEREAS, the Borrower has requested that the Bank agree to certain amendments to the Agreement;</w:t>
      </w:r>
    </w:p>
    <w:p>
      <w:pPr>
        <w:spacing w:after="0" w:line="199" w:lineRule="exact"/>
        <w:rPr>
          <w:sz w:val="20"/>
          <w:szCs w:val="20"/>
          <w:color w:val="auto"/>
        </w:rPr>
      </w:pPr>
    </w:p>
    <w:p>
      <w:pPr>
        <w:jc w:val="both"/>
        <w:ind w:right="2559" w:firstLine="714"/>
        <w:spacing w:after="0" w:line="243" w:lineRule="auto"/>
        <w:rPr>
          <w:sz w:val="20"/>
          <w:szCs w:val="20"/>
          <w:color w:val="auto"/>
        </w:rPr>
      </w:pPr>
      <w:r>
        <w:rPr>
          <w:rFonts w:ascii="Courier New" w:cs="Courier New" w:eastAsia="Courier New" w:hAnsi="Courier New"/>
          <w:sz w:val="17"/>
          <w:szCs w:val="17"/>
          <w:color w:val="auto"/>
        </w:rPr>
        <w:t>NOW, THEREFORE, for and in consideration of the mutual covenants and agreements herein contained, the parties to this Amendment hereby agree as follows:</w:t>
      </w:r>
    </w:p>
    <w:p>
      <w:pPr>
        <w:spacing w:after="0" w:line="200" w:lineRule="exact"/>
        <w:rPr>
          <w:sz w:val="20"/>
          <w:szCs w:val="20"/>
          <w:color w:val="auto"/>
        </w:rPr>
      </w:pPr>
    </w:p>
    <w:p>
      <w:pPr>
        <w:ind w:right="2259" w:firstLine="714"/>
        <w:spacing w:after="0" w:line="244" w:lineRule="auto"/>
        <w:rPr>
          <w:sz w:val="20"/>
          <w:szCs w:val="20"/>
          <w:color w:val="auto"/>
        </w:rPr>
      </w:pPr>
      <w:r>
        <w:rPr>
          <w:rFonts w:ascii="Courier New" w:cs="Courier New" w:eastAsia="Courier New" w:hAnsi="Courier New"/>
          <w:sz w:val="17"/>
          <w:szCs w:val="17"/>
          <w:color w:val="auto"/>
        </w:rPr>
        <w:t>SECTION 1. Terms Defined in Agreement. An used in this Amendment, except as may otherwise be provided herein, all capitalized terms which are defined in the Agreement shall have the same meaning herein as therein, all of such terms and their definitions being incorporated herein by reference.</w:t>
      </w:r>
    </w:p>
    <w:p>
      <w:pPr>
        <w:spacing w:after="0" w:line="198" w:lineRule="exact"/>
        <w:rPr>
          <w:sz w:val="20"/>
          <w:szCs w:val="20"/>
          <w:color w:val="auto"/>
        </w:rPr>
      </w:pPr>
    </w:p>
    <w:p>
      <w:pPr>
        <w:ind w:right="2159" w:firstLine="714"/>
        <w:spacing w:after="0" w:line="243" w:lineRule="auto"/>
        <w:rPr>
          <w:sz w:val="20"/>
          <w:szCs w:val="20"/>
          <w:color w:val="auto"/>
        </w:rPr>
      </w:pPr>
      <w:r>
        <w:rPr>
          <w:rFonts w:ascii="Courier New" w:cs="Courier New" w:eastAsia="Courier New" w:hAnsi="Courier New"/>
          <w:sz w:val="17"/>
          <w:szCs w:val="17"/>
          <w:color w:val="auto"/>
        </w:rPr>
        <w:t>SECTION 2. Amendments to Agreement. Subject to the conditions precedent set forth in Section 3 hereof, the Agreement is hereby amended as follows:</w:t>
      </w:r>
    </w:p>
    <w:p>
      <w:pPr>
        <w:spacing w:after="0" w:line="199" w:lineRule="exact"/>
        <w:rPr>
          <w:sz w:val="20"/>
          <w:szCs w:val="20"/>
          <w:color w:val="auto"/>
        </w:rPr>
      </w:pPr>
    </w:p>
    <w:p>
      <w:pPr>
        <w:ind w:right="2559" w:firstLine="719"/>
        <w:spacing w:after="0" w:line="243" w:lineRule="auto"/>
        <w:tabs>
          <w:tab w:leader="none" w:pos="112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"Stated Maturity Date" is hereby deleted from Section 8.1 of the Agreement and the following definition is substituted in lieu thereof:</w:t>
      </w:r>
    </w:p>
    <w:p>
      <w:pPr>
        <w:spacing w:after="0" w:line="199"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"STATED MATURITY DATE" shall mean August 15, 1998.</w:t>
      </w:r>
    </w:p>
    <w:p>
      <w:pPr>
        <w:spacing w:after="0" w:line="201" w:lineRule="exact"/>
        <w:rPr>
          <w:sz w:val="20"/>
          <w:szCs w:val="20"/>
          <w:color w:val="auto"/>
        </w:rPr>
      </w:pPr>
    </w:p>
    <w:p>
      <w:pPr>
        <w:ind w:right="2259" w:firstLine="719"/>
        <w:spacing w:after="0" w:line="243" w:lineRule="auto"/>
        <w:tabs>
          <w:tab w:leader="none" w:pos="112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"Termination Date" is hereby deleted from Section 8.1 of the Agreement and the following definition is substituted in lieu thereof:</w:t>
      </w:r>
    </w:p>
    <w:p>
      <w:pPr>
        <w:spacing w:after="0" w:line="199"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"TERMINATION DATE" shall mean August 15, 1998.</w:t>
      </w:r>
    </w:p>
    <w:p>
      <w:pPr>
        <w:spacing w:after="0" w:line="200"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SECTION 3. Conditions of Effectiveness.</w:t>
      </w:r>
    </w:p>
    <w:p>
      <w:pPr>
        <w:spacing w:after="0" w:line="201" w:lineRule="exact"/>
        <w:rPr>
          <w:sz w:val="20"/>
          <w:szCs w:val="20"/>
          <w:color w:val="auto"/>
        </w:rPr>
      </w:pPr>
    </w:p>
    <w:p>
      <w:pPr>
        <w:ind w:right="2159" w:firstLine="719"/>
        <w:spacing w:after="0" w:line="244" w:lineRule="auto"/>
        <w:tabs>
          <w:tab w:leader="none" w:pos="142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Bank has relied upon the representations and warranties contained in this Amendment in agreeing to the amendments to the Agreement set forth herein and the amendments to the Agreement set forth herein are conditioned upon and subject to the accuracy of each and every representation and warranty of the Borrower made or referred to herein, and performance by the Borrower of its obligations to be performed under the Agreement on or before the date of this Amendment (except to the extent amended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41"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ind w:right="2659" w:firstLine="719"/>
        <w:spacing w:after="0" w:line="243" w:lineRule="auto"/>
        <w:tabs>
          <w:tab w:leader="none" w:pos="142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amendments to the Agreement set forth herein are further conditioned upon receipt by the Bank of</w:t>
      </w:r>
    </w:p>
    <w:p>
      <w:pPr>
        <w:spacing w:after="0" w:line="199" w:lineRule="exact"/>
        <w:rPr>
          <w:sz w:val="20"/>
          <w:szCs w:val="20"/>
          <w:color w:val="auto"/>
        </w:rPr>
      </w:pPr>
    </w:p>
    <w:p>
      <w:pPr>
        <w:ind w:left="1440" w:right="2359" w:hanging="721"/>
        <w:spacing w:after="0" w:line="243" w:lineRule="auto"/>
        <w:tabs>
          <w:tab w:leader="none" w:pos="14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fully executed Amended and Restated Revolving Promissory Note in the form attached hereto as Exhibit "A";</w:t>
      </w:r>
    </w:p>
    <w:p>
      <w:pPr>
        <w:spacing w:after="0" w:line="198" w:lineRule="exact"/>
        <w:rPr>
          <w:rFonts w:ascii="Courier New" w:cs="Courier New" w:eastAsia="Courier New" w:hAnsi="Courier New"/>
          <w:sz w:val="17"/>
          <w:szCs w:val="17"/>
          <w:color w:val="auto"/>
        </w:rPr>
      </w:pPr>
    </w:p>
    <w:p>
      <w:pPr>
        <w:ind w:left="1440" w:right="2459" w:hanging="721"/>
        <w:spacing w:after="0" w:line="264" w:lineRule="auto"/>
        <w:tabs>
          <w:tab w:leader="none" w:pos="14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the Secretary or Assistant Secretary of the Borrower and each Guarantor setting forth resolutions of its respective Board of Directors in form and substance reasonably satisfactory to the Bank with respect to this Amendment.</w:t>
      </w:r>
    </w:p>
    <w:p>
      <w:pPr>
        <w:spacing w:after="0" w:line="183"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SECTION 4. Representations and Warranties of the Borrower. The Borrower represents and warrants to the Bank, with full knowledge that the Bank is relying on the following representations and warranties in executing this Amendment, as follows:</w:t>
      </w:r>
    </w:p>
    <w:p>
      <w:pPr>
        <w:spacing w:after="0" w:line="198" w:lineRule="exact"/>
        <w:rPr>
          <w:sz w:val="20"/>
          <w:szCs w:val="20"/>
          <w:color w:val="auto"/>
        </w:rPr>
      </w:pPr>
    </w:p>
    <w:p>
      <w:pPr>
        <w:ind w:right="2159" w:firstLine="719"/>
        <w:spacing w:after="0" w:line="244" w:lineRule="auto"/>
        <w:tabs>
          <w:tab w:leader="none" w:pos="142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 has corporate power and authority to execute, deliver and perform this Amendment, and all corporate action on the part of the Borrower requisite for the due execution, delivery and performance of this Amendment has been duly and effectively taken.</w:t>
      </w:r>
    </w:p>
    <w:p>
      <w:pPr>
        <w:spacing w:after="0" w:line="197" w:lineRule="exact"/>
        <w:rPr>
          <w:rFonts w:ascii="Courier New" w:cs="Courier New" w:eastAsia="Courier New" w:hAnsi="Courier New"/>
          <w:sz w:val="17"/>
          <w:szCs w:val="17"/>
          <w:color w:val="auto"/>
        </w:rPr>
      </w:pPr>
    </w:p>
    <w:p>
      <w:pPr>
        <w:ind w:right="2159" w:firstLine="719"/>
        <w:spacing w:after="0" w:line="244" w:lineRule="auto"/>
        <w:tabs>
          <w:tab w:leader="none" w:pos="142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Agreement as amended by this Amendment and the Loan Documents and each and every other document executed and delivered in connection with this Amendment to which the Borrower or any of its Subsidiaries is a party constitute the legal, valid and binding obligations of the Borrower and any of its Subsidiaries to the extent it is a party thereto, enforceable against such Person in accordance with their respective terms.</w:t>
      </w:r>
    </w:p>
    <w:p>
      <w:pPr>
        <w:spacing w:after="0" w:line="198" w:lineRule="exact"/>
        <w:rPr>
          <w:rFonts w:ascii="Courier New" w:cs="Courier New" w:eastAsia="Courier New" w:hAnsi="Courier New"/>
          <w:sz w:val="17"/>
          <w:szCs w:val="17"/>
          <w:color w:val="auto"/>
        </w:rPr>
      </w:pPr>
    </w:p>
    <w:p>
      <w:pPr>
        <w:ind w:right="2159" w:firstLine="719"/>
        <w:spacing w:after="0" w:line="244" w:lineRule="auto"/>
        <w:tabs>
          <w:tab w:leader="none" w:pos="142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Amendment does not and will not violate any provisions of the articles or certificate of incorporation or bylaws of the Borrower, or any contract, agreement, instrument or requirement of any Governmental Authority to which the Borrower is subject. The Borrower's execution of this Amendment will not result in the creation or imposition of any lien upon any properties of the Borrower, other than those permitted by the Agreement and this Amendment.</w:t>
      </w:r>
    </w:p>
    <w:p>
      <w:pPr>
        <w:spacing w:after="0" w:line="198" w:lineRule="exact"/>
        <w:rPr>
          <w:rFonts w:ascii="Courier New" w:cs="Courier New" w:eastAsia="Courier New" w:hAnsi="Courier New"/>
          <w:sz w:val="17"/>
          <w:szCs w:val="17"/>
          <w:color w:val="auto"/>
        </w:rPr>
      </w:pPr>
    </w:p>
    <w:p>
      <w:pPr>
        <w:ind w:right="2159" w:firstLine="719"/>
        <w:spacing w:after="0" w:line="244" w:lineRule="auto"/>
        <w:tabs>
          <w:tab w:leader="none" w:pos="142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execution, delivery and performance of this Amendment do not require the consent or approval of any other Person, including, without limitation, any regulatory authority or governmental body of the United States of America or any state thereof or any political subdivision of the United States of America or any state thereof.</w:t>
      </w:r>
    </w:p>
    <w:p>
      <w:pPr>
        <w:spacing w:after="0" w:line="198" w:lineRule="exact"/>
        <w:rPr>
          <w:rFonts w:ascii="Courier New" w:cs="Courier New" w:eastAsia="Courier New" w:hAnsi="Courier New"/>
          <w:sz w:val="17"/>
          <w:szCs w:val="17"/>
          <w:color w:val="auto"/>
        </w:rPr>
      </w:pPr>
    </w:p>
    <w:p>
      <w:pPr>
        <w:ind w:right="2159" w:firstLine="719"/>
        <w:spacing w:after="0" w:line="243" w:lineRule="auto"/>
        <w:tabs>
          <w:tab w:leader="none" w:pos="142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 has performed and complied with all agreements and conditions contained in the Agreement required to be performed or complied with by the Borrower prior to or at the time of delivery of this Amendment.</w:t>
      </w:r>
    </w:p>
    <w:p>
      <w:pPr>
        <w:spacing w:after="0" w:line="199" w:lineRule="exact"/>
        <w:rPr>
          <w:rFonts w:ascii="Courier New" w:cs="Courier New" w:eastAsia="Courier New" w:hAnsi="Courier New"/>
          <w:sz w:val="17"/>
          <w:szCs w:val="17"/>
          <w:color w:val="auto"/>
        </w:rPr>
      </w:pPr>
    </w:p>
    <w:p>
      <w:pPr>
        <w:ind w:right="2159" w:firstLine="719"/>
        <w:spacing w:after="0" w:line="244" w:lineRule="auto"/>
        <w:tabs>
          <w:tab w:leader="none" w:pos="142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giving effect to this Amendment, no Default or Event of Default exists and all of the representations and warranties contained in the Agreement and all instruments and documents executed pursuant thereto or contemplated thereby are true and correct in all material respects on and as of this date.</w:t>
      </w:r>
    </w:p>
    <w:p>
      <w:pPr>
        <w:spacing w:after="0" w:line="198" w:lineRule="exact"/>
        <w:rPr>
          <w:rFonts w:ascii="Courier New" w:cs="Courier New" w:eastAsia="Courier New" w:hAnsi="Courier New"/>
          <w:sz w:val="17"/>
          <w:szCs w:val="17"/>
          <w:color w:val="auto"/>
        </w:rPr>
      </w:pPr>
    </w:p>
    <w:p>
      <w:pPr>
        <w:ind w:right="2259" w:firstLine="719"/>
        <w:spacing w:after="0" w:line="243" w:lineRule="auto"/>
        <w:tabs>
          <w:tab w:leader="none" w:pos="142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in this Section 4 of this Amendment is intended to amend any of the representations or warranties contained in the Agreement or of the Loan Documents to which the Borrower or any of the Subsidiaries is a party.</w:t>
      </w:r>
    </w:p>
    <w:p>
      <w:pPr>
        <w:spacing w:after="0" w:line="3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1"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7"/>
          <w:szCs w:val="17"/>
          <w:color w:val="auto"/>
        </w:rPr>
        <w:t>3</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SECTION 5. Reference to and Effect on the Agreement.</w:t>
      </w:r>
    </w:p>
    <w:p>
      <w:pPr>
        <w:spacing w:after="0" w:line="201" w:lineRule="exact"/>
        <w:rPr>
          <w:sz w:val="20"/>
          <w:szCs w:val="20"/>
          <w:color w:val="auto"/>
        </w:rPr>
      </w:pPr>
    </w:p>
    <w:p>
      <w:pPr>
        <w:ind w:right="2359" w:firstLine="719"/>
        <w:spacing w:after="0" w:line="244" w:lineRule="auto"/>
        <w:tabs>
          <w:tab w:leader="none" w:pos="142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effectiveness of Sections 1 and 2 hereof, on and after the date hereof, each reference in the Agreement to "this Agreement", "hereunder", "hereof", "herein", or words of like import, shall mean and be a reference to the Agreement as amended hereby.</w:t>
      </w:r>
    </w:p>
    <w:p>
      <w:pPr>
        <w:spacing w:after="0" w:line="197" w:lineRule="exact"/>
        <w:rPr>
          <w:rFonts w:ascii="Courier New" w:cs="Courier New" w:eastAsia="Courier New" w:hAnsi="Courier New"/>
          <w:sz w:val="17"/>
          <w:szCs w:val="17"/>
          <w:color w:val="auto"/>
        </w:rPr>
      </w:pPr>
    </w:p>
    <w:p>
      <w:pPr>
        <w:ind w:right="2359" w:firstLine="719"/>
        <w:spacing w:after="0" w:line="243" w:lineRule="auto"/>
        <w:tabs>
          <w:tab w:leader="none" w:pos="142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specifically amended by this Amendment, the Agreement shall remain in full force and effect and is hereby ratified and confirmed.</w:t>
      </w:r>
    </w:p>
    <w:p>
      <w:pPr>
        <w:spacing w:after="0" w:line="199"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SECTION 6. No Waiver. Except as specifically amended hereby, the Borrower agrees that no Event of Default and no Default has been waived or remedied by the execution of this Amendment by the Bank and any such Default or Event or Default heretofore arising and currently continuing shall continue after the execution and delivery hereof.</w:t>
      </w:r>
    </w:p>
    <w:p>
      <w:pPr>
        <w:spacing w:after="0" w:line="198"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SECTION 7. Extent of Amendments. Except as otherwise expressly provided herein, the Agreement and the other Loan Documents are not amended, modified or affected by this Amendment. The Borrower ratifies and confirms that (i) except as expressly amended hereby, all of the terms, conditions, covenants, representations, warranties and all other provisions of the Agreement remain in full force and effect and (ii) each of the other Loan Documents are and remain in full force and effect in accordance with their respective terms.</w:t>
      </w:r>
    </w:p>
    <w:p>
      <w:pPr>
        <w:spacing w:after="0" w:line="199" w:lineRule="exact"/>
        <w:rPr>
          <w:sz w:val="20"/>
          <w:szCs w:val="20"/>
          <w:color w:val="auto"/>
        </w:rPr>
      </w:pPr>
    </w:p>
    <w:p>
      <w:pPr>
        <w:ind w:right="2259" w:firstLine="714"/>
        <w:spacing w:after="0" w:line="244" w:lineRule="auto"/>
        <w:rPr>
          <w:sz w:val="20"/>
          <w:szCs w:val="20"/>
          <w:color w:val="auto"/>
        </w:rPr>
      </w:pPr>
      <w:r>
        <w:rPr>
          <w:rFonts w:ascii="Courier New" w:cs="Courier New" w:eastAsia="Courier New" w:hAnsi="Courier New"/>
          <w:sz w:val="17"/>
          <w:szCs w:val="17"/>
          <w:color w:val="auto"/>
        </w:rPr>
        <w:t>SECTION 8. WAIVERS AND RELEASE OF CLAIMS. As additional consideration to the execution, delivery, and performance of this Amendment by the parties hereto and to induce the Bank to enter into this Amendment, the Borrower represents and warrants that (a) the Borrower knows of no defenses, counterclaims or rights of setoff to the payment of any indebtedness of the Borrower to the Bank, and (b) the Borrower for itself, its Subsidiaries, their respective representatives, agents, officers, directors, employees, shareholders, and successors and assigns, hereby fully, finally, completely, generally and forever releases, discharges, acquits, and relinquishes the Bank and their respective representatives, agents, officers, directors, employees, shareholders, and successors and assigns, from any and all claims, actions, demands, and causes of action of whatever kind or character, whether joint or several, whether known or unknown, for any and all injuries, harm, damages, penalties, costs, losses, expenses, attorneys' fees, and/or liability whatsoever and whenever incurred or suffered by any of them prior to the execution of this Amendment. Notwithstanding any provision of this Amendment, the Agreement or any other Loan Document, this Section 8 shall remain in full force and effect and shall survive the delivery of the Notes, this Amendment and the other Loan Documents and the making, extension, renewal, modification, amendment or restatement of any thereof.</w:t>
      </w:r>
    </w:p>
    <w:p>
      <w:pPr>
        <w:spacing w:after="0" w:line="204" w:lineRule="exact"/>
        <w:rPr>
          <w:sz w:val="20"/>
          <w:szCs w:val="20"/>
          <w:color w:val="auto"/>
        </w:rPr>
      </w:pPr>
    </w:p>
    <w:p>
      <w:pPr>
        <w:ind w:right="2359" w:firstLine="714"/>
        <w:spacing w:after="0" w:line="244" w:lineRule="auto"/>
        <w:rPr>
          <w:sz w:val="20"/>
          <w:szCs w:val="20"/>
          <w:color w:val="auto"/>
        </w:rPr>
      </w:pPr>
      <w:r>
        <w:rPr>
          <w:rFonts w:ascii="Courier New" w:cs="Courier New" w:eastAsia="Courier New" w:hAnsi="Courier New"/>
          <w:sz w:val="17"/>
          <w:szCs w:val="17"/>
          <w:color w:val="auto"/>
        </w:rPr>
        <w:t>SECTION 9. Guaranties. Each of the Guarantors hereby consents to and accepts the terms and conditions of this Amendment, agrees to be bound by the terms and conditions hereof and ratifies and confirms that its continuing Guaranty Agreement, executed and delivered to the Bank on October 20, 1995, guaranteeing payment of the obligations, is and remains in full force and effect and secures payment of, among other things, the Note as renewed, rearranged and extended hereby.</w:t>
      </w:r>
    </w:p>
    <w:p>
      <w:pPr>
        <w:spacing w:after="0" w:line="199"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SECTION 10. Execution and Counterparts. This Amendment may be executed in any number of counterparts and by different parties hereto in separate counterparts, each of which when so executed and delivered shall be deemed to be an original and all of which taken together shall constitute but one and the same instrument. Delivery of an executed counterpart of the signature page of this Amendment by facsimile shall be equally as effective as delivery of a manually executed counterpart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1"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right="2659" w:firstLine="714"/>
        <w:spacing w:after="0" w:line="243" w:lineRule="auto"/>
        <w:rPr>
          <w:sz w:val="20"/>
          <w:szCs w:val="20"/>
          <w:color w:val="auto"/>
        </w:rPr>
      </w:pPr>
      <w:r>
        <w:rPr>
          <w:rFonts w:ascii="Courier New" w:cs="Courier New" w:eastAsia="Courier New" w:hAnsi="Courier New"/>
          <w:sz w:val="17"/>
          <w:szCs w:val="17"/>
          <w:color w:val="auto"/>
        </w:rPr>
        <w:t>SECTION 11. Governing Law. This Amendment shall be governed by and construed in accordance with the laws of the State of Texas.</w:t>
      </w:r>
    </w:p>
    <w:p>
      <w:pPr>
        <w:spacing w:after="0" w:line="199" w:lineRule="exact"/>
        <w:rPr>
          <w:sz w:val="20"/>
          <w:szCs w:val="20"/>
          <w:color w:val="auto"/>
        </w:rPr>
      </w:pPr>
    </w:p>
    <w:p>
      <w:pPr>
        <w:ind w:right="2259" w:firstLine="714"/>
        <w:spacing w:after="0" w:line="243" w:lineRule="auto"/>
        <w:rPr>
          <w:sz w:val="20"/>
          <w:szCs w:val="20"/>
          <w:color w:val="auto"/>
        </w:rPr>
      </w:pPr>
      <w:r>
        <w:rPr>
          <w:rFonts w:ascii="Courier New" w:cs="Courier New" w:eastAsia="Courier New" w:hAnsi="Courier New"/>
          <w:sz w:val="17"/>
          <w:szCs w:val="17"/>
          <w:color w:val="auto"/>
        </w:rPr>
        <w:t>SECTION 12. Headings. Section headings in this Amendment are included herein for convenience and reference only and shall not constitute a part of this Amendment for any other purpose.</w:t>
      </w:r>
    </w:p>
    <w:p>
      <w:pPr>
        <w:spacing w:after="0" w:line="200" w:lineRule="exact"/>
        <w:rPr>
          <w:sz w:val="20"/>
          <w:szCs w:val="20"/>
          <w:color w:val="auto"/>
        </w:rPr>
      </w:pPr>
    </w:p>
    <w:p>
      <w:pPr>
        <w:ind w:right="2259" w:firstLine="714"/>
        <w:spacing w:after="0" w:line="244" w:lineRule="auto"/>
        <w:rPr>
          <w:sz w:val="20"/>
          <w:szCs w:val="20"/>
          <w:color w:val="auto"/>
        </w:rPr>
      </w:pPr>
      <w:r>
        <w:rPr>
          <w:rFonts w:ascii="Courier New" w:cs="Courier New" w:eastAsia="Courier New" w:hAnsi="Courier New"/>
          <w:sz w:val="17"/>
          <w:szCs w:val="17"/>
          <w:color w:val="auto"/>
        </w:rPr>
        <w:t>SECTION 13. Arbitration Program. The parties agree to be bound by the terms and provisions of the current Arbitration Program of First Interstate Bank of Texas, N.A., which is incorporated by reference herein and is acknowledged as received by the parties pursuant to which any and all disputes arising hereunder, under the Agreement, under any of the other Loan Documents, or under any of the documents and instruments contemplated thereby, or pertaining hereto or thereto, shall be resolved by mandatory binding arbitration upon the request of any party.</w:t>
      </w:r>
    </w:p>
    <w:p>
      <w:pPr>
        <w:spacing w:after="0" w:line="199" w:lineRule="exact"/>
        <w:rPr>
          <w:sz w:val="20"/>
          <w:szCs w:val="20"/>
          <w:color w:val="auto"/>
        </w:rPr>
      </w:pPr>
    </w:p>
    <w:p>
      <w:pPr>
        <w:ind w:right="2159" w:firstLine="714"/>
        <w:spacing w:after="0" w:line="244" w:lineRule="auto"/>
        <w:rPr>
          <w:sz w:val="20"/>
          <w:szCs w:val="20"/>
          <w:color w:val="auto"/>
        </w:rPr>
      </w:pPr>
      <w:r>
        <w:rPr>
          <w:rFonts w:ascii="Courier New" w:cs="Courier New" w:eastAsia="Courier New" w:hAnsi="Courier New"/>
          <w:sz w:val="17"/>
          <w:szCs w:val="17"/>
          <w:color w:val="auto"/>
        </w:rPr>
        <w:t>SECTION 14. NO ORAL AGREEMENTS. THE AGREEMENT (AS AMENDED BY THIS AMENDMENT) AND THE OTHER LOAN DOCUMENTS, REPRESENT THE FINAL AGREEMENT BETWEEN THE PARTIES AND MAY NOT BE CONTRADICTED BY EVIDENCE OF PRIOR CONTEMPORANEOUS OR SUBSEQUENT ORAL AGREEMENTS OF THE PARTIES.</w:t>
      </w:r>
    </w:p>
    <w:p>
      <w:pPr>
        <w:spacing w:after="0" w:line="197"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THERE ARE NO UNWRITTEN ORAL AGREEMENTS BETWEEN THE PARTIES.</w:t>
      </w:r>
    </w:p>
    <w:p>
      <w:pPr>
        <w:spacing w:after="0" w:line="397" w:lineRule="exact"/>
        <w:rPr>
          <w:sz w:val="20"/>
          <w:szCs w:val="20"/>
          <w:color w:val="auto"/>
        </w:rPr>
      </w:pPr>
    </w:p>
    <w:p>
      <w:pPr>
        <w:ind w:right="2259" w:firstLine="714"/>
        <w:spacing w:after="0" w:line="243" w:lineRule="auto"/>
        <w:rPr>
          <w:sz w:val="20"/>
          <w:szCs w:val="20"/>
          <w:color w:val="auto"/>
        </w:rPr>
      </w:pPr>
      <w:r>
        <w:rPr>
          <w:rFonts w:ascii="Courier New" w:cs="Courier New" w:eastAsia="Courier New" w:hAnsi="Courier New"/>
          <w:sz w:val="17"/>
          <w:szCs w:val="17"/>
          <w:color w:val="auto"/>
        </w:rPr>
        <w:t>IN WITNESS WHEREOF, the parties hereto have caused this Amendment to be executed by their respective officers thereunto duly authorized.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POWELL INDUSTRIES,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 J. F. AHART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20"/>
        <w:spacing w:after="0"/>
        <w:tabs>
          <w:tab w:leader="none" w:pos="1200" w:val="left"/>
        </w:tabs>
        <w:rPr>
          <w:sz w:val="20"/>
          <w:szCs w:val="20"/>
          <w:color w:val="auto"/>
        </w:rPr>
      </w:pPr>
      <w:r>
        <w:rPr>
          <w:rFonts w:ascii="Courier New" w:cs="Courier New" w:eastAsia="Courier New" w:hAnsi="Courier New"/>
          <w:sz w:val="17"/>
          <w:szCs w:val="17"/>
          <w:color w:val="auto"/>
        </w:rPr>
        <w:t>Name:</w:t>
        <w:tab/>
        <w:t>J. F. Ahart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WELLS FARGO BANK (TEXAS), NATIONAL ASSOCIATION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 VALERIE B. CARLSON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Name: Valerie B. Carlson</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 Vice President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CONSENTED AND AGREED TO THIS 3 day of September, 1996:</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POWELL ELECTRICAL MANUFACTURING COMPANY</w:t>
      </w:r>
    </w:p>
    <w:p>
      <w:pPr>
        <w:spacing w:after="0" w:line="39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J. F. AHART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Name: J. F. Ahart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 Vice President</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1"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DELTA-UNIBUS CORP.</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POWELL-ESCO COMPANY</w:t>
      </w:r>
    </w:p>
    <w:p>
      <w:pPr>
        <w:spacing w:after="0" w:line="200" w:lineRule="exact"/>
        <w:rPr>
          <w:sz w:val="20"/>
          <w:szCs w:val="20"/>
          <w:color w:val="auto"/>
        </w:rPr>
      </w:pPr>
    </w:p>
    <w:p>
      <w:pPr>
        <w:sectPr>
          <w:pgSz w:w="11900" w:h="16838" w:orient="portrait"/>
          <w:cols w:equalWidth="0" w:num="2">
            <w:col w:w="2860" w:space="720"/>
            <w:col w:w="6639"/>
          </w:cols>
          <w:pgMar w:left="240" w:top="311" w:right="1440" w:bottom="1440" w:gutter="0" w:footer="0" w:header="0"/>
        </w:sectPr>
      </w:pP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6"/>
          <w:szCs w:val="16"/>
          <w:color w:val="auto"/>
        </w:rPr>
        <w:t>J. F. AHART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Name: J. F. Ahart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 Vice President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 F. AHART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 F. Ahart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ectPr>
          <w:pgSz w:w="11900" w:h="16838" w:orient="portrait"/>
          <w:cols w:equalWidth="0" w:num="2">
            <w:col w:w="3380" w:space="700"/>
            <w:col w:w="6139"/>
          </w:cols>
          <w:pgMar w:left="240" w:top="311" w:right="1440"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UNIBUS,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TRACTION POWER SYSTEMS, INC</w:t>
      </w:r>
    </w:p>
    <w:p>
      <w:pPr>
        <w:spacing w:after="0" w:line="200" w:lineRule="exact"/>
        <w:rPr>
          <w:sz w:val="20"/>
          <w:szCs w:val="20"/>
          <w:color w:val="auto"/>
        </w:rPr>
      </w:pPr>
    </w:p>
    <w:p>
      <w:pPr>
        <w:sectPr>
          <w:pgSz w:w="11900" w:h="16838" w:orient="portrait"/>
          <w:cols w:equalWidth="0" w:num="2">
            <w:col w:w="3360" w:space="720"/>
            <w:col w:w="6139"/>
          </w:cols>
          <w:pgMar w:left="240" w:top="311" w:right="1440" w:bottom="1440" w:gutter="0" w:footer="0" w:header="0"/>
          <w:type w:val="continuous"/>
        </w:sect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 F. AHART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Name: J. F. Ahart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 Vice President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 F. AHART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 F. Ahart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ectPr>
          <w:pgSz w:w="11900" w:h="16838" w:orient="portrait"/>
          <w:cols w:equalWidth="0" w:num="2">
            <w:col w:w="3380" w:space="700"/>
            <w:col w:w="6139"/>
          </w:cols>
          <w:pgMar w:left="240" w:top="311" w:right="1440" w:bottom="1440" w:gutter="0" w:footer="0" w:header="0"/>
          <w:type w:val="continuous"/>
        </w:sectPr>
      </w:pPr>
    </w:p>
    <w:p>
      <w:pPr>
        <w:spacing w:after="0" w:line="393" w:lineRule="exact"/>
        <w:rPr>
          <w:sz w:val="20"/>
          <w:szCs w:val="20"/>
          <w:color w:val="auto"/>
        </w:rPr>
      </w:pPr>
    </w:p>
    <w:p>
      <w:pPr>
        <w:ind w:right="800"/>
        <w:spacing w:after="0" w:line="243" w:lineRule="auto"/>
        <w:rPr>
          <w:sz w:val="20"/>
          <w:szCs w:val="20"/>
          <w:color w:val="auto"/>
        </w:rPr>
      </w:pPr>
      <w:r>
        <w:rPr>
          <w:rFonts w:ascii="Courier New" w:cs="Courier New" w:eastAsia="Courier New" w:hAnsi="Courier New"/>
          <w:sz w:val="17"/>
          <w:szCs w:val="17"/>
          <w:color w:val="auto"/>
        </w:rPr>
        <w:t>POWELL-INNOVATIVE BREAKER TECHNOLOGIES, INC.</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TRANSDYN CONTROLS, INC.</w:t>
      </w:r>
    </w:p>
    <w:p>
      <w:pPr>
        <w:spacing w:after="0" w:line="398" w:lineRule="exact"/>
        <w:rPr>
          <w:sz w:val="20"/>
          <w:szCs w:val="20"/>
          <w:color w:val="auto"/>
        </w:rPr>
      </w:pPr>
    </w:p>
    <w:p>
      <w:pPr>
        <w:sectPr>
          <w:pgSz w:w="11900" w:h="16838" w:orient="portrait"/>
          <w:cols w:equalWidth="0" w:num="2">
            <w:col w:w="3360" w:space="720"/>
            <w:col w:w="6139"/>
          </w:cols>
          <w:pgMar w:left="240" w:top="311"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 F. AHART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Name: J. F. Ahart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Title: Vice President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J. F. AHART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 F. Ahart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Vice President</w:t>
      </w:r>
    </w:p>
    <w:p>
      <w:pPr>
        <w:spacing w:after="0" w:line="200" w:lineRule="exact"/>
        <w:rPr>
          <w:sz w:val="20"/>
          <w:szCs w:val="20"/>
          <w:color w:val="auto"/>
        </w:rPr>
      </w:pPr>
    </w:p>
    <w:p>
      <w:pPr>
        <w:sectPr>
          <w:pgSz w:w="11900" w:h="16838" w:orient="portrait"/>
          <w:cols w:equalWidth="0" w:num="2">
            <w:col w:w="3380" w:space="700"/>
            <w:col w:w="6139"/>
          </w:cols>
          <w:pgMar w:left="240" w:top="3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1" w:right="1440" w:bottom="1440"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6</w:t>
      </w:r>
    </w:p>
    <w:p>
      <w:pPr>
        <w:spacing w:after="0" w:line="4" w:lineRule="exact"/>
        <w:rPr>
          <w:sz w:val="20"/>
          <w:szCs w:val="20"/>
          <w:color w:val="auto"/>
        </w:rPr>
      </w:pPr>
    </w:p>
    <w:p>
      <w:pPr>
        <w:ind w:left="1340"/>
        <w:spacing w:after="0"/>
        <w:tabs>
          <w:tab w:leader="none" w:pos="5180" w:val="left"/>
          <w:tab w:leader="none" w:pos="6420" w:val="left"/>
        </w:tabs>
        <w:rPr>
          <w:sz w:val="20"/>
          <w:szCs w:val="20"/>
          <w:color w:val="auto"/>
        </w:rPr>
      </w:pPr>
      <w:r>
        <w:rPr>
          <w:rFonts w:ascii="Courier New" w:cs="Courier New" w:eastAsia="Courier New" w:hAnsi="Courier New"/>
          <w:sz w:val="17"/>
          <w:szCs w:val="17"/>
          <w:color w:val="auto"/>
        </w:rPr>
        <w:t>FIRST AMENDED AND RESTATED REVOLVING</w:t>
        <w:tab/>
        <w:t>PROMISSORY</w:t>
      </w:r>
      <w:r>
        <w:rPr>
          <w:sz w:val="20"/>
          <w:szCs w:val="20"/>
          <w:color w:val="auto"/>
        </w:rPr>
        <w:tab/>
      </w:r>
      <w:r>
        <w:rPr>
          <w:rFonts w:ascii="Courier New" w:cs="Courier New" w:eastAsia="Courier New" w:hAnsi="Courier New"/>
          <w:sz w:val="16"/>
          <w:szCs w:val="16"/>
          <w:color w:val="auto"/>
        </w:rPr>
        <w:t>NOTE</w:t>
      </w:r>
    </w:p>
    <w:p>
      <w:pPr>
        <w:spacing w:after="0" w:line="396" w:lineRule="exact"/>
        <w:rPr>
          <w:sz w:val="20"/>
          <w:szCs w:val="20"/>
          <w:color w:val="auto"/>
        </w:rPr>
      </w:pPr>
    </w:p>
    <w:p>
      <w:pPr>
        <w:spacing w:after="0"/>
        <w:tabs>
          <w:tab w:leader="none" w:pos="6520" w:val="left"/>
          <w:tab w:leader="none" w:pos="7340" w:val="left"/>
        </w:tabs>
        <w:rPr>
          <w:sz w:val="20"/>
          <w:szCs w:val="20"/>
          <w:color w:val="auto"/>
        </w:rPr>
      </w:pPr>
      <w:r>
        <w:rPr>
          <w:rFonts w:ascii="Courier New" w:cs="Courier New" w:eastAsia="Courier New" w:hAnsi="Courier New"/>
          <w:sz w:val="17"/>
          <w:szCs w:val="17"/>
          <w:color w:val="auto"/>
        </w:rPr>
        <w:t>$15,000,000.00</w:t>
      </w:r>
      <w:r>
        <w:rPr>
          <w:sz w:val="20"/>
          <w:szCs w:val="20"/>
          <w:color w:val="auto"/>
        </w:rPr>
        <w:tab/>
      </w:r>
      <w:r>
        <w:rPr>
          <w:rFonts w:ascii="Courier New" w:cs="Courier New" w:eastAsia="Courier New" w:hAnsi="Courier New"/>
          <w:sz w:val="17"/>
          <w:szCs w:val="17"/>
          <w:color w:val="auto"/>
        </w:rPr>
        <w:t>AUGUST</w:t>
      </w:r>
      <w:r>
        <w:rPr>
          <w:sz w:val="20"/>
          <w:szCs w:val="20"/>
          <w:color w:val="auto"/>
        </w:rPr>
        <w:tab/>
      </w:r>
      <w:r>
        <w:rPr>
          <w:rFonts w:ascii="Courier New" w:cs="Courier New" w:eastAsia="Courier New" w:hAnsi="Courier New"/>
          <w:sz w:val="16"/>
          <w:szCs w:val="16"/>
          <w:color w:val="auto"/>
        </w:rPr>
        <w:t>15, 1996</w:t>
      </w:r>
    </w:p>
    <w:p>
      <w:pPr>
        <w:spacing w:after="0" w:line="397"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FOR VALUE RECEIVED, after date, without grace, in the manner, on the dates and in the amounts so herein stipulated, the undersigned, POWELL INDUSTRIES, INC., a Nevada corporation, acting by and through its duly authorized officer, ("Borrower") , PROMISES TO PAY TO THE ORDER OF WELLS FARGO BANK (TEXAS), NATIONAL ASSOCIATION, FORMERLY FIRST INTERSTATE BANK OF TEXAS, N.A. ("Lender"), in Houston, Harris County, Texas, the sum of FIFTEEN MILLION AND N0/100 DOLLARS ($15,000,000.00) or, if less, the aggregate unpaid principal amount of advances made by Lender to Borrower pursuant to this Note, in lawful money of the United States of America, which shall be legal tender in payment of all debts and dues, public and private, at the time of payment, and to pay interest on the unpaid principal amount from date until maturity at a rate equal to the Stated Rate (as hereinafter defined), not to exceed the maximum non-usurious interest rate permitted by applicable law from time to time in effect as such law may be interpreted, amended, revised, supplemented or enacted ("Maximum Rate"), provided that if at any time the Stated Rate exceeds the Maximum Rate then interest hereon shall accrue at the Maximum Rate. In the event the Stated Rate subsequently decreases to a level which would be less than the Maximum Rate or if the Maximum Rate applicable to this Note should subsequently be changed, then interest hereon shall accrue at a rate equal to the applicable Maximum Rate until the aggregate amount of interest so accrued equals the aggregate amount of interest which would have accrued at the Stated Rate without regard to any usury limit, at which time interest hereon shall again accrue at the Stated Rate. As used herein, the Stated Rate shall mean, in the absence of Borrower's exercise of a Eurodollar Rate Election (as defined in the Credit Agreement) , the Prime Rate plus the applicable Base Rate Margin as set forth below:</w:t>
      </w:r>
    </w:p>
    <w:p>
      <w:pPr>
        <w:spacing w:after="0" w:line="200" w:lineRule="exact"/>
        <w:rPr>
          <w:sz w:val="20"/>
          <w:szCs w:val="20"/>
          <w:color w:val="auto"/>
        </w:rPr>
      </w:pP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RATIO OF-FUNDED INDEBTEDNESS TO</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BASE RATE MARGIN</w:t>
            </w:r>
          </w:p>
        </w:tc>
      </w:tr>
      <w:tr>
        <w:trPr>
          <w:trHeight w:val="196"/>
        </w:trPr>
        <w:tc>
          <w:tcPr>
            <w:tcW w:w="3780" w:type="dxa"/>
            <w:vAlign w:val="bottom"/>
            <w:gridSpan w:val="2"/>
          </w:tcPr>
          <w:p>
            <w:pPr>
              <w:spacing w:after="0"/>
              <w:rPr>
                <w:sz w:val="20"/>
                <w:szCs w:val="20"/>
                <w:color w:val="auto"/>
              </w:rPr>
            </w:pPr>
            <w:r>
              <w:rPr>
                <w:rFonts w:ascii="Courier New" w:cs="Courier New" w:eastAsia="Courier New" w:hAnsi="Courier New"/>
                <w:sz w:val="17"/>
                <w:szCs w:val="17"/>
                <w:color w:val="auto"/>
              </w:rPr>
              <w:t>EBITDA FOR THE PRECEDING FOUR (4)</w:t>
            </w:r>
          </w:p>
        </w:tc>
        <w:tc>
          <w:tcPr>
            <w:tcW w:w="2040" w:type="dxa"/>
            <w:vAlign w:val="bottom"/>
          </w:tcPr>
          <w:p>
            <w:pPr>
              <w:spacing w:after="0"/>
              <w:rPr>
                <w:sz w:val="17"/>
                <w:szCs w:val="17"/>
                <w:color w:val="auto"/>
              </w:rPr>
            </w:pPr>
          </w:p>
        </w:tc>
      </w:tr>
      <w:tr>
        <w:trPr>
          <w:trHeight w:val="196"/>
        </w:trPr>
        <w:tc>
          <w:tcPr>
            <w:tcW w:w="3780" w:type="dxa"/>
            <w:vAlign w:val="bottom"/>
            <w:gridSpan w:val="2"/>
          </w:tcPr>
          <w:p>
            <w:pPr>
              <w:ind w:left="820"/>
              <w:spacing w:after="0"/>
              <w:rPr>
                <w:sz w:val="20"/>
                <w:szCs w:val="20"/>
                <w:color w:val="auto"/>
              </w:rPr>
            </w:pPr>
            <w:r>
              <w:rPr>
                <w:rFonts w:ascii="Courier New" w:cs="Courier New" w:eastAsia="Courier New" w:hAnsi="Courier New"/>
                <w:sz w:val="17"/>
                <w:szCs w:val="17"/>
                <w:color w:val="auto"/>
              </w:rPr>
              <w:t>FISCAL QUARTERS</w:t>
            </w:r>
          </w:p>
        </w:tc>
        <w:tc>
          <w:tcPr>
            <w:tcW w:w="2040" w:type="dxa"/>
            <w:vAlign w:val="bottom"/>
          </w:tcPr>
          <w:p>
            <w:pPr>
              <w:spacing w:after="0"/>
              <w:rPr>
                <w:sz w:val="17"/>
                <w:szCs w:val="17"/>
                <w:color w:val="auto"/>
              </w:rPr>
            </w:pPr>
          </w:p>
        </w:tc>
      </w:tr>
      <w:tr>
        <w:trPr>
          <w:trHeight w:val="392"/>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less than 1.75</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to 1.00</w:t>
            </w:r>
          </w:p>
        </w:tc>
        <w:tc>
          <w:tcPr>
            <w:tcW w:w="20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0%</w:t>
            </w:r>
          </w:p>
        </w:tc>
      </w:tr>
      <w:tr>
        <w:trPr>
          <w:trHeight w:val="589"/>
        </w:trPr>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1.75 to 1.00 or</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greater</w:t>
            </w:r>
          </w:p>
        </w:tc>
        <w:tc>
          <w:tcPr>
            <w:tcW w:w="20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1 of Five</w:t>
      </w:r>
    </w:p>
    <w:p>
      <w:pPr>
        <w:sectPr>
          <w:pgSz w:w="11900" w:h="16838" w:orient="portrait"/>
          <w:cols w:equalWidth="0" w:num="1">
            <w:col w:w="10219"/>
          </w:cols>
          <w:pgMar w:left="240" w:top="311"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the event the Borrower exercises its right to select the Eurodollar Rate (as defined in the Credit Agreement) , (i) such selection shall be in accordance with the provisions of the Credit Agreement and (ii) the Stated Rate as to the Eurodollar Rate Advance (as defined in the Credit Agreement) shall be the Eurodollar Rate plus the applicable Libor Margin as set forth below:</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020" w:type="dxa"/>
        <w:tblCellMar>
          <w:top w:w="0" w:type="dxa"/>
          <w:left w:w="0" w:type="dxa"/>
          <w:bottom w:w="0" w:type="dxa"/>
          <w:right w:w="0" w:type="dxa"/>
        </w:tblCellMar>
      </w:tblPr>
      <w:tr>
        <w:trPr>
          <w:trHeight w:val="193"/>
        </w:trPr>
        <w:tc>
          <w:tcPr>
            <w:tcW w:w="3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RATIO OF-FUNDED INDEBTEDNESS TO</w:t>
            </w:r>
          </w:p>
        </w:tc>
        <w:tc>
          <w:tcPr>
            <w:tcW w:w="10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LIBOR MARGIN</w:t>
            </w:r>
          </w:p>
        </w:tc>
      </w:tr>
      <w:tr>
        <w:trPr>
          <w:trHeight w:val="196"/>
        </w:trPr>
        <w:tc>
          <w:tcPr>
            <w:tcW w:w="44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EBITDA FOR THE PRECEDING FOUR (4)</w:t>
            </w:r>
          </w:p>
        </w:tc>
        <w:tc>
          <w:tcPr>
            <w:tcW w:w="1720" w:type="dxa"/>
            <w:vAlign w:val="bottom"/>
          </w:tcPr>
          <w:p>
            <w:pPr>
              <w:spacing w:after="0"/>
              <w:rPr>
                <w:sz w:val="17"/>
                <w:szCs w:val="17"/>
                <w:color w:val="auto"/>
              </w:rPr>
            </w:pPr>
          </w:p>
        </w:tc>
      </w:tr>
      <w:tr>
        <w:trPr>
          <w:trHeight w:val="196"/>
        </w:trPr>
        <w:tc>
          <w:tcPr>
            <w:tcW w:w="26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FISCAL QUARTERS</w:t>
            </w: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89"/>
        </w:trPr>
        <w:tc>
          <w:tcPr>
            <w:tcW w:w="3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less than or equal to 1.25 to</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1.00</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1.00%</w:t>
            </w:r>
          </w:p>
        </w:tc>
      </w:tr>
      <w:tr>
        <w:trPr>
          <w:trHeight w:val="392"/>
        </w:trPr>
        <w:tc>
          <w:tcPr>
            <w:tcW w:w="3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greater than 1.25 to 1.00,</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6"/>
        </w:trPr>
        <w:tc>
          <w:tcPr>
            <w:tcW w:w="2600" w:type="dxa"/>
            <w:vAlign w:val="bottom"/>
          </w:tcPr>
          <w:p>
            <w:pPr>
              <w:jc w:val="right"/>
              <w:spacing w:after="0"/>
              <w:rPr>
                <w:sz w:val="20"/>
                <w:szCs w:val="20"/>
                <w:color w:val="auto"/>
              </w:rPr>
            </w:pPr>
            <w:r>
              <w:rPr>
                <w:rFonts w:ascii="Courier New" w:cs="Courier New" w:eastAsia="Courier New" w:hAnsi="Courier New"/>
                <w:sz w:val="17"/>
                <w:szCs w:val="17"/>
                <w:color w:val="auto"/>
              </w:rPr>
              <w:t>but less than 1.50</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w w:val="97"/>
              </w:rPr>
              <w:t>to 1.00</w:t>
            </w:r>
          </w:p>
        </w:tc>
        <w:tc>
          <w:tcPr>
            <w:tcW w:w="1020" w:type="dxa"/>
            <w:vAlign w:val="bottom"/>
          </w:tcPr>
          <w:p>
            <w:pPr>
              <w:spacing w:after="0"/>
              <w:rPr>
                <w:sz w:val="17"/>
                <w:szCs w:val="17"/>
                <w:color w:val="auto"/>
              </w:rPr>
            </w:pP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1.25%</w:t>
            </w:r>
          </w:p>
        </w:tc>
      </w:tr>
      <w:tr>
        <w:trPr>
          <w:trHeight w:val="589"/>
        </w:trPr>
        <w:tc>
          <w:tcPr>
            <w:tcW w:w="3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w w:val="99"/>
              </w:rPr>
              <w:t>equal to or greater than 1.50 to</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1.00,</w:t>
            </w:r>
          </w:p>
        </w:tc>
        <w:tc>
          <w:tcPr>
            <w:tcW w:w="1720" w:type="dxa"/>
            <w:vAlign w:val="bottom"/>
          </w:tcPr>
          <w:p>
            <w:pPr>
              <w:spacing w:after="0"/>
              <w:rPr>
                <w:sz w:val="24"/>
                <w:szCs w:val="24"/>
                <w:color w:val="auto"/>
              </w:rPr>
            </w:pPr>
          </w:p>
        </w:tc>
      </w:tr>
      <w:tr>
        <w:trPr>
          <w:trHeight w:val="196"/>
        </w:trPr>
        <w:tc>
          <w:tcPr>
            <w:tcW w:w="2600" w:type="dxa"/>
            <w:vAlign w:val="bottom"/>
          </w:tcPr>
          <w:p>
            <w:pPr>
              <w:jc w:val="right"/>
              <w:spacing w:after="0"/>
              <w:rPr>
                <w:sz w:val="20"/>
                <w:szCs w:val="20"/>
                <w:color w:val="auto"/>
              </w:rPr>
            </w:pPr>
            <w:r>
              <w:rPr>
                <w:rFonts w:ascii="Courier New" w:cs="Courier New" w:eastAsia="Courier New" w:hAnsi="Courier New"/>
                <w:sz w:val="17"/>
                <w:szCs w:val="17"/>
                <w:color w:val="auto"/>
              </w:rPr>
              <w:t>but less than 1.75</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w w:val="97"/>
              </w:rPr>
              <w:t>to 1.00</w:t>
            </w:r>
          </w:p>
        </w:tc>
        <w:tc>
          <w:tcPr>
            <w:tcW w:w="1020" w:type="dxa"/>
            <w:vAlign w:val="bottom"/>
          </w:tcPr>
          <w:p>
            <w:pPr>
              <w:spacing w:after="0"/>
              <w:rPr>
                <w:sz w:val="17"/>
                <w:szCs w:val="17"/>
                <w:color w:val="auto"/>
              </w:rPr>
            </w:pP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1.50%</w:t>
            </w:r>
          </w:p>
        </w:tc>
      </w:tr>
      <w:tr>
        <w:trPr>
          <w:trHeight w:val="392"/>
        </w:trPr>
        <w:tc>
          <w:tcPr>
            <w:tcW w:w="33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w w:val="99"/>
              </w:rPr>
              <w:t>equal to or greater than 1.75 to</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1.00,</w:t>
            </w:r>
          </w:p>
        </w:tc>
        <w:tc>
          <w:tcPr>
            <w:tcW w:w="1720" w:type="dxa"/>
            <w:vAlign w:val="bottom"/>
          </w:tcPr>
          <w:p>
            <w:pPr>
              <w:spacing w:after="0"/>
              <w:rPr>
                <w:sz w:val="24"/>
                <w:szCs w:val="24"/>
                <w:color w:val="auto"/>
              </w:rPr>
            </w:pPr>
          </w:p>
        </w:tc>
      </w:tr>
      <w:tr>
        <w:trPr>
          <w:trHeight w:val="196"/>
        </w:trPr>
        <w:tc>
          <w:tcPr>
            <w:tcW w:w="2600" w:type="dxa"/>
            <w:vAlign w:val="bottom"/>
          </w:tcPr>
          <w:p>
            <w:pPr>
              <w:jc w:val="right"/>
              <w:spacing w:after="0"/>
              <w:rPr>
                <w:sz w:val="20"/>
                <w:szCs w:val="20"/>
                <w:color w:val="auto"/>
              </w:rPr>
            </w:pPr>
            <w:r>
              <w:rPr>
                <w:rFonts w:ascii="Courier New" w:cs="Courier New" w:eastAsia="Courier New" w:hAnsi="Courier New"/>
                <w:sz w:val="17"/>
                <w:szCs w:val="17"/>
                <w:color w:val="auto"/>
              </w:rPr>
              <w:t>but less than 2.00</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w w:val="97"/>
              </w:rPr>
              <w:t>to 1.00</w:t>
            </w:r>
          </w:p>
        </w:tc>
        <w:tc>
          <w:tcPr>
            <w:tcW w:w="1020" w:type="dxa"/>
            <w:vAlign w:val="bottom"/>
          </w:tcPr>
          <w:p>
            <w:pPr>
              <w:spacing w:after="0"/>
              <w:rPr>
                <w:sz w:val="17"/>
                <w:szCs w:val="17"/>
                <w:color w:val="auto"/>
              </w:rPr>
            </w:pP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1.75%</w:t>
            </w:r>
          </w:p>
        </w:tc>
      </w:tr>
      <w:tr>
        <w:trPr>
          <w:trHeight w:val="392"/>
        </w:trPr>
        <w:tc>
          <w:tcPr>
            <w:tcW w:w="2600" w:type="dxa"/>
            <w:vAlign w:val="bottom"/>
          </w:tcPr>
          <w:p>
            <w:pPr>
              <w:jc w:val="right"/>
              <w:spacing w:after="0"/>
              <w:rPr>
                <w:sz w:val="20"/>
                <w:szCs w:val="20"/>
                <w:color w:val="auto"/>
              </w:rPr>
            </w:pPr>
            <w:r>
              <w:rPr>
                <w:rFonts w:ascii="Courier New" w:cs="Courier New" w:eastAsia="Courier New" w:hAnsi="Courier New"/>
                <w:sz w:val="17"/>
                <w:szCs w:val="17"/>
                <w:color w:val="auto"/>
              </w:rPr>
              <w:t>equal to or greater than</w:t>
            </w:r>
          </w:p>
        </w:tc>
        <w:tc>
          <w:tcPr>
            <w:tcW w:w="18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2.00 to 1.00</w:t>
            </w:r>
          </w:p>
        </w:tc>
        <w:tc>
          <w:tcPr>
            <w:tcW w:w="17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2.25%</w:t>
            </w:r>
          </w:p>
        </w:tc>
      </w:tr>
    </w:tbl>
    <w:p>
      <w:pPr>
        <w:spacing w:after="0" w:line="200" w:lineRule="exact"/>
        <w:rPr>
          <w:sz w:val="20"/>
          <w:szCs w:val="20"/>
          <w:color w:val="auto"/>
        </w:rPr>
      </w:pPr>
    </w:p>
    <w:p>
      <w:pPr>
        <w:spacing w:after="0" w:line="393"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adjustment in the applicable Base Rate Margin and/or Libor Margin of this Note shall be effective on the first of the month following receipt of quarterly financial statements pursuant to Section 3.1 and Compliance Certificate pursuant to Section 5.10 of the Credit Agreement indicating the Ratio of Funded Indebtedness to EBITDA for the preceding four (4) fiscal quarters (as such terms are defined in the Credit Agreement), provided that if, for any reason, the applicable financial statements are delivered after the 1st of the month approximately sixty (60) days following the end of the fiscal quarter, the adjustment in Base Rate Margin or Libor Margin shall be retroactive to the 1st of such month based upon the financial statements when delivered.</w:t>
      </w:r>
    </w:p>
    <w:p>
      <w:pPr>
        <w:spacing w:after="0" w:line="201" w:lineRule="exact"/>
        <w:rPr>
          <w:sz w:val="20"/>
          <w:szCs w:val="20"/>
          <w:color w:val="auto"/>
        </w:rPr>
      </w:pPr>
    </w:p>
    <w:p>
      <w:pPr>
        <w:jc w:val="both"/>
        <w:ind w:right="2559"/>
        <w:spacing w:after="0" w:line="244" w:lineRule="auto"/>
        <w:rPr>
          <w:sz w:val="20"/>
          <w:szCs w:val="20"/>
          <w:color w:val="auto"/>
        </w:rPr>
      </w:pPr>
      <w:r>
        <w:rPr>
          <w:rFonts w:ascii="Courier New" w:cs="Courier New" w:eastAsia="Courier New" w:hAnsi="Courier New"/>
          <w:sz w:val="17"/>
          <w:szCs w:val="17"/>
          <w:color w:val="auto"/>
        </w:rPr>
        <w:t>Interest shall be due and payable monthly as it accrues on the first day of each and every month, beginning November 1, 1995, and continuing regularly thereafter until August 15, 1998, when the entire balance of principal and accrued interest shall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2 of Five</w:t>
      </w:r>
    </w:p>
    <w:p>
      <w:pPr>
        <w:sectPr>
          <w:pgSz w:w="11900" w:h="16838" w:orient="portrait"/>
          <w:cols w:equalWidth="0" w:num="1">
            <w:col w:w="10219"/>
          </w:cols>
          <w:pgMar w:left="240" w:top="311"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This Note is the Revolving Note referred to in, is subject to, and is entitled to the benefits of, the Credit Agreement dated as of October 20, 1995, as amended by a First Amendment to Credit Agreement, dated of even date herewith, between Borrower and Lender, as that Credit Agreement, as amended, may be further amended, modified or supplemented from time to time (the "Credit Agreement"). The Credit Agreement contains, among other things, provisions for the acceleration of the maturity hereof upon the occurrence of certain stated events. All capitalized terms used herein which are defined in the Credit Agreement shall have the same meaning as in the Credit Agreement.</w:t>
      </w:r>
    </w:p>
    <w:p>
      <w:pPr>
        <w:spacing w:after="0" w:line="200"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It is agreed that time is of the essence of this agreement. Upon the occurrence of an Event of Default, Lender may accelerate and declare this Note immediately due and payable as provided in the Credit Agreement. Any failure to exercise this option shall not constitute a waiver by Lender of the right to exercise the same at any other time.</w:t>
      </w:r>
    </w:p>
    <w:p>
      <w:pPr>
        <w:spacing w:after="0" w:line="198"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Upon the occurrence of an Event of Default under Section 6.1 of the Credit Agreement or in the event this Note is declared due interest shall accrue in accordance with the provisions of Section 1.9 of the Credit Agreement, but in no event to exceed the Maximum Rate.</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Borrower hereby agrees to pay all expenses incurred, including reasonable attorneys' fees, all of which shall become a part of the principal hereof, if this Note is placed in the hands of an attorney for collection or if collected by suit or through any probate, bankruptcy or any other legal proceedings.</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Interest charges will be calculated on amounts advanced hereunder on the actual number of days these amounts are outstanding in accordance with the Credit Agreement. It is the intention of the parties hereto to comply with all applicable usury laws; accordingly, it is agreed that notwithstanding any provision to the contrary in this Note, or in any of the documents securing payment hereof or otherwise relating hereto, no such provision shall require the payment or permit the collection of interest in excess of the Maximum Rate. If any excess of interest in such respect is provided for, or shall be adjudicated to be so provided for, in this Note or in any of the documents securing payment hereof or otherwise relating hereto, then in such event (1) the provisions of this paragraph shall govern and control, (2) neither Borrower, endorsers or guarantors, nor their heirs, legal representatives, successors or assigns nor any other party liable for the payment hereof, shall be obligated to pay the amount of such interest to the extent that it is in excess of the Maximum Rate, (3) any such excess which may have been collected shall be either applied as a credit against the then unpaid principal amount hereof or refunded to Borrower, and (4) the provisions of this Note and any documents securing payment of this Note shall be automatically reformed so that the effective rate of interest shall be reduced to the Maximum Rate. For the purpose of determining the Maximum Rate, all interest payments with respect to this Note shall be amortized, prorated and spread throughout the full term of the Note so that the effective rate of interest on account of this Note is uniform throughout the term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3 of Five</w:t>
      </w:r>
    </w:p>
    <w:p>
      <w:pPr>
        <w:sectPr>
          <w:pgSz w:w="11900" w:h="16838" w:orient="portrait"/>
          <w:cols w:equalWidth="0" w:num="1">
            <w:col w:w="10219"/>
          </w:cols>
          <w:pgMar w:left="240" w:top="311"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9</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Borrower agrees that the Maximum Rate to be charged or collected pursuant to this Note shall be the applicable indicated rate ceiling as defined in TEX. REV. CIV. STAT. ANN. Art. 5069-1.04, provided that Lender may rely on other applicable laws, including without limitation laws of the United States, for calculation of the Maximum Rate if the application thereof results in a greater Maximum Rate. Except as provided above, the provisions of this Note shall be governed by the laws of the State of Texas.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Each maker, surety, guarantor and endorser (i) waives demand, grace, notice, presentment for payment, notice of intention to accelerate the maturity hereof, notice of acceleration of the maturity hereof and protest, (ii) agrees that this Note and the liens securing its payment may be renewed, and the time of payment extended from time to time, without notice and without releasing any of the foregoing, and (iii) agrees that without notice or consent from any maker, surety, guarantor, or endorser, Lender may release any collateral which may from time to time be pledged to secure repayment of this Note, or may release any party who might be liable for this Note.</w:t>
      </w:r>
    </w:p>
    <w:p>
      <w:pPr>
        <w:spacing w:after="0" w:line="200"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Subject to the provisions of the Credit Agreement, Borrower may prepay this Note, in whole or in part, at any time prior to maturity without penalty, and interest shall cease on any amount prepaid.</w:t>
      </w:r>
    </w:p>
    <w:p>
      <w:pPr>
        <w:spacing w:after="0" w:line="200"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As used in this Note, the term "Prime Rate" shall mean the variable rate of interest announced by Lender from time to time as its prime rate of interest and, without notice to the maker of this Note or any other person, such rate of interest shall change as and when changes in that prime rate of interest are announced. The Prime Rate is set by Lender as a general reference rate of interest, taking into account such factors as Lender may deem appropriate, it being understood that many of Lender's commercial or other loans are priced in relation to such rate, that it is not necessarily the lowest or best rate of interest actually charged on any loan, and that Lender may make various commercial or other loans at rates of interest having no relationship to the Prime Rate. If at any time the "Prime Rate" of Wells Fargo Bank (Texas), National Association, formerly First Interstate Bank of Texas, N.A. is no longer available, then the owner of this Note ("Owner") will designate a different "Prime Rate" as announced by a national banking association of owner's choice.</w:t>
      </w:r>
    </w:p>
    <w:p>
      <w:pPr>
        <w:spacing w:after="0" w:line="20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principal of this Note represents funds which Lender will advance to Borrower from time to time upon request of Borrower. Any part of the principal may be repaid by Borrower and thereafter reborrowed, provided the outstanding principal amount of this Note shall never exceed the face amount of this Note. Each advance shall constitute a part of the principal hereof and shall bear interest from the date of the advance. The provisions of TEX. REV. CIV. STAT. ANN. Art. 5069-15.01, et seq, as may be amended, shall not apply to this Note or to any of the security documents executed in connection with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4 of Five</w:t>
      </w:r>
    </w:p>
    <w:p>
      <w:pPr>
        <w:sectPr>
          <w:pgSz w:w="11900" w:h="16838" w:orient="portrait"/>
          <w:cols w:equalWidth="0" w:num="1">
            <w:col w:w="10219"/>
          </w:cols>
          <w:pgMar w:left="240" w:top="311"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10</w:t>
      </w:r>
    </w:p>
    <w:p>
      <w:pPr>
        <w:spacing w:after="0" w:line="5"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This First Amended and Restated Revolving Promissory Note is given in renewal and extension and not in novation of the Revolving Promissory Note dated October 20, 1995, in the amont of $15,000,000.00 executed by Borrower payable to First Interstate Bank of Texas, N.A.</w:t>
      </w:r>
    </w:p>
    <w:p>
      <w:pPr>
        <w:spacing w:after="0" w:line="198"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Borrower represents and warrants that this loan is for business, commercial, investment or similar purposes and not primarily for personal, family, household or agricultural use, as such terms are used in Chapter One of the Texas Credit Code.</w:t>
      </w:r>
    </w:p>
    <w:p>
      <w:pPr>
        <w:spacing w:after="0" w:line="197"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POWELL INDUSTRIES, INC.</w:t>
      </w:r>
    </w:p>
    <w:p>
      <w:pPr>
        <w:spacing w:after="0" w:line="3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By: /s/ J. F. AHART</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260"/>
        <w:spacing w:after="0"/>
        <w:tabs>
          <w:tab w:leader="none" w:pos="4060" w:val="left"/>
        </w:tabs>
        <w:rPr>
          <w:sz w:val="20"/>
          <w:szCs w:val="20"/>
          <w:color w:val="auto"/>
        </w:rPr>
      </w:pPr>
      <w:r>
        <w:rPr>
          <w:rFonts w:ascii="Courier New" w:cs="Courier New" w:eastAsia="Courier New" w:hAnsi="Courier New"/>
          <w:sz w:val="17"/>
          <w:szCs w:val="17"/>
          <w:color w:val="auto"/>
        </w:rPr>
        <w:t>Name:</w:t>
        <w:tab/>
        <w:t>J. F. Ahart</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260"/>
        <w:spacing w:after="0"/>
        <w:tabs>
          <w:tab w:leader="none" w:pos="426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Vice President</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"BORROWER"</w:t>
      </w:r>
    </w:p>
    <w:p>
      <w:pPr>
        <w:spacing w:after="0" w:line="200" w:lineRule="exact"/>
        <w:rPr>
          <w:sz w:val="20"/>
          <w:szCs w:val="20"/>
          <w:color w:val="auto"/>
        </w:rPr>
      </w:pPr>
    </w:p>
    <w:p>
      <w:pPr>
        <w:spacing w:after="0" w:line="39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Page 5 of Five</w:t>
      </w:r>
    </w:p>
    <w:p>
      <w:pPr>
        <w:sectPr>
          <w:pgSz w:w="11900" w:h="16838" w:orient="portrait"/>
          <w:cols w:equalWidth="0" w:num="1">
            <w:col w:w="10219"/>
          </w:cols>
          <w:pgMar w:left="240" w:top="311"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EXHIBIT 21.1</w:t>
      </w:r>
    </w:p>
    <w:p>
      <w:pPr>
        <w:spacing w:after="0" w:line="396"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SUBSIDIARIES OF POWELL INDUSTRIES, INC.</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DOMESTIC 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Powell Electrical Manufacturing Co.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Powell-Process Systems, Inc.(Inactive)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Powell-ESCO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Unibus,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Delta-Unibus Corp.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 S. Turbine Corp.(Inactive)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Transdyn Controls,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Utah</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Ohio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Illinois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Nevada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California</w:t>
      </w:r>
    </w:p>
    <w:p>
      <w:pPr>
        <w:spacing w:after="0" w:line="200" w:lineRule="exact"/>
        <w:rPr>
          <w:sz w:val="20"/>
          <w:szCs w:val="20"/>
          <w:color w:val="auto"/>
        </w:rPr>
      </w:pPr>
    </w:p>
    <w:p>
      <w:pPr>
        <w:sectPr>
          <w:pgSz w:w="11900" w:h="16838" w:orient="portrait"/>
          <w:cols w:equalWidth="0" w:num="2">
            <w:col w:w="4480" w:space="720"/>
            <w:col w:w="5019"/>
          </w:cols>
          <w:pgMar w:left="240" w:top="141" w:right="1440" w:bottom="1440" w:gutter="0" w:footer="0" w:header="0"/>
          <w:type w:val="continuous"/>
        </w:sectPr>
      </w:pPr>
    </w:p>
    <w:p>
      <w:pPr>
        <w:spacing w:after="0" w:line="393" w:lineRule="exact"/>
        <w:rPr>
          <w:sz w:val="20"/>
          <w:szCs w:val="20"/>
          <w:color w:val="auto"/>
        </w:rPr>
      </w:pPr>
    </w:p>
    <w:p>
      <w:pPr>
        <w:ind w:right="1220"/>
        <w:spacing w:after="0" w:line="366" w:lineRule="auto"/>
        <w:rPr>
          <w:sz w:val="20"/>
          <w:szCs w:val="20"/>
          <w:color w:val="auto"/>
        </w:rPr>
      </w:pPr>
      <w:r>
        <w:rPr>
          <w:rFonts w:ascii="Courier New" w:cs="Courier New" w:eastAsia="Courier New" w:hAnsi="Courier New"/>
          <w:sz w:val="17"/>
          <w:szCs w:val="17"/>
          <w:color w:val="auto"/>
        </w:rPr>
        <w:t>NAME OF FOREIGN SUBSIDIARY - -------------------------- Powell Foreign Sales Corporation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COUNTRY OF INCORPORATION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Barbados, West Indies</w:t>
      </w:r>
    </w:p>
    <w:p>
      <w:pPr>
        <w:sectPr>
          <w:pgSz w:w="11900" w:h="16838" w:orient="portrait"/>
          <w:cols w:equalWidth="0" w:num="2">
            <w:col w:w="4480" w:space="720"/>
            <w:col w:w="5019"/>
          </w:cols>
          <w:pgMar w:left="240" w:top="141"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EXHIBIT 23.1</w:t>
      </w:r>
    </w:p>
    <w:p>
      <w:pPr>
        <w:spacing w:after="0" w:line="396"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CONSENT OF INDEPENDENT PUBLIC ACCOUNTANTS</w:t>
      </w:r>
    </w:p>
    <w:p>
      <w:pPr>
        <w:spacing w:after="0" w:line="397" w:lineRule="exact"/>
        <w:rPr>
          <w:sz w:val="20"/>
          <w:szCs w:val="20"/>
          <w:color w:val="auto"/>
        </w:rPr>
      </w:pPr>
    </w:p>
    <w:p>
      <w:pPr>
        <w:jc w:val="both"/>
        <w:ind w:right="2459"/>
        <w:spacing w:after="0" w:line="244"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OF OUR REPORTS DATED DECEMBER 3, 1996, INCLUDED IN THIS FORM 10-K, INTO THE POWELL INDUSTRIES, INC. PREVIOUSLY FILED FORM S-8 REGISTRATION FILE NO. 33-81998.</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ARTHUR ANDERSEN LLP</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HOUSTON, TEXAS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27, 1997</w:t>
      </w:r>
    </w:p>
    <w:p>
      <w:pPr>
        <w:sectPr>
          <w:pgSz w:w="11900" w:h="16838" w:orient="portrait"/>
          <w:cols w:equalWidth="0" w:num="1">
            <w:col w:w="10219"/>
          </w:cols>
          <w:pgMar w:left="240" w:top="141" w:right="1440" w:bottom="1440" w:gutter="0" w:footer="0" w:header="0"/>
        </w:sectPr>
      </w:pPr>
    </w:p>
    <w:bookmarkStart w:id="45" w:name="page46"/>
    <w:bookmarkEnd w:id="45"/>
    <w:p>
      <w:pPr>
        <w:ind w:left="60"/>
        <w:spacing w:after="0"/>
        <w:rPr>
          <w:sz w:val="20"/>
          <w:szCs w:val="20"/>
          <w:color w:val="auto"/>
        </w:rPr>
      </w:pPr>
      <w:r>
        <w:rPr>
          <w:rFonts w:ascii="Courier New" w:cs="Courier New" w:eastAsia="Courier New" w:hAnsi="Courier New"/>
          <w:sz w:val="17"/>
          <w:szCs w:val="17"/>
          <w:color w:val="auto"/>
        </w:rPr>
        <w:t>5</w:t>
      </w:r>
    </w:p>
    <w:p>
      <w:pPr>
        <w:spacing w:after="0" w:line="201" w:lineRule="exact"/>
        <w:rPr>
          <w:sz w:val="20"/>
          <w:szCs w:val="20"/>
          <w:color w:val="auto"/>
        </w:rPr>
      </w:pPr>
    </w:p>
    <w:p>
      <w:pPr>
        <w:ind w:right="2019"/>
        <w:spacing w:after="0" w:line="244" w:lineRule="auto"/>
        <w:rPr>
          <w:sz w:val="20"/>
          <w:szCs w:val="20"/>
          <w:color w:val="auto"/>
        </w:rPr>
      </w:pPr>
      <w:r>
        <w:rPr>
          <w:rFonts w:ascii="Courier New" w:cs="Courier New" w:eastAsia="Courier New" w:hAnsi="Courier New"/>
          <w:sz w:val="17"/>
          <w:szCs w:val="17"/>
          <w:color w:val="auto"/>
        </w:rPr>
        <w:t>THE SCHEDULE CONTAINS SUMMARY FINANCIAL INFORMATION EXTRACTED FROM THE COMPANY'S UNAUDITED PRO FORMA CONDENSED CONSOLIDATED FINANCIAL STATEMENTS FOR THE YEAR ENDED OCTOBER 31, 1996 AND IS QUALIFIED IN ITS ENTIRETY BY REFERENCE TO SUCH FINANCIAL STATEMENTS.</w:t>
      </w:r>
    </w:p>
    <w:p>
      <w:pPr>
        <w:spacing w:after="0" w:line="19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12-MOS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OCT-31-1996</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OCT-31-1996</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8,935</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37,790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777</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14,114</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79,144</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41,566</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26,964</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99,523</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32,639</w:t>
      </w:r>
    </w:p>
    <w:p>
      <w:pPr>
        <w:spacing w:after="0" w:line="4"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106</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63,119</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99,523</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170,123</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170,123</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127,075</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127,075</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26,928</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117</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16,003</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5,245</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(5,998)</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4,760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0.44</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79"/>
      </w:cols>
      <w:pgMar w:left="28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upperLetter"/>
      <w:start w:val="2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lvl w:ilvl="1">
      <w:lvlJc w:val="left"/>
      <w:lvlText w:val="%2"/>
      <w:numFmt w:val="decimal"/>
      <w:start w:val="27"/>
    </w:lvl>
  </w:abstractNum>
  <w:abstractNum w:abstractNumId="6">
    <w:nsid w:val="66EF438D"/>
    <w:multiLevelType w:val="hybridMultilevel"/>
    <w:lvl w:ilvl="0">
      <w:lvlJc w:val="left"/>
      <w:lvlText w:val="(%1)"/>
      <w:numFmt w:val="lowerLetter"/>
      <w:start w:val="2"/>
    </w:lvl>
    <w:lvl w:ilvl="1">
      <w:lvlJc w:val="left"/>
      <w:lvlText w:val="%2"/>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4"/>
    </w:lvl>
  </w:abstractNum>
  <w:abstractNum w:abstractNumId="9">
    <w:nsid w:val="109CF92E"/>
    <w:multiLevelType w:val="hybridMultilevel"/>
    <w:lvl w:ilvl="0">
      <w:lvlJc w:val="left"/>
      <w:lvlText w:val="%1."/>
      <w:numFmt w:val="decimal"/>
      <w:start w:val="6"/>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2"/>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2019-12-13T06:17:49Z</dcterms:created>
  <dcterms:modified xsi:type="dcterms:W3CDTF">2019-12-13T06:17:49Z</dcterms:modified>
</cp:coreProperties>
</file>