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517525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-157480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158750</wp:posOffset>
            </wp:positionV>
            <wp:extent cx="1818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118745</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2019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1" w:lineRule="exact"/>
        <w:rPr>
          <w:sz w:val="24"/>
          <w:szCs w:val="24"/>
          <w:color w:val="auto"/>
        </w:rPr>
      </w:pPr>
    </w:p>
    <w:p>
      <w:pPr>
        <w:ind w:left="400" w:hanging="351"/>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408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50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0"/>
        </w:trPr>
        <w:tc>
          <w:tcPr>
            <w:tcW w:w="2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93"/>
        </w:trPr>
        <w:tc>
          <w:tcPr>
            <w:tcW w:w="32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158115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335"/>
        </w:trPr>
        <w:tc>
          <w:tcPr>
            <w:tcW w:w="3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gridSpan w:val="4"/>
          </w:tcPr>
          <w:p>
            <w:pPr>
              <w:jc w:val="center"/>
              <w:ind w:right="500"/>
              <w:spacing w:after="0"/>
              <w:rPr>
                <w:sz w:val="20"/>
                <w:szCs w:val="20"/>
                <w:color w:val="auto"/>
              </w:rPr>
            </w:pPr>
            <w:r>
              <w:rPr>
                <w:rFonts w:ascii="Times New Roman" w:cs="Times New Roman" w:eastAsia="Times New Roman" w:hAnsi="Times New Roman"/>
                <w:sz w:val="25"/>
                <w:szCs w:val="25"/>
                <w:b w:val="1"/>
                <w:bCs w:val="1"/>
                <w:color w:val="auto"/>
              </w:rPr>
              <w:t>Powell Industries,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960" w:type="dxa"/>
            <w:vAlign w:val="bottom"/>
          </w:tcPr>
          <w:p>
            <w:pPr>
              <w:spacing w:after="0"/>
              <w:rPr>
                <w:sz w:val="20"/>
                <w:szCs w:val="20"/>
                <w:color w:val="auto"/>
              </w:rPr>
            </w:pPr>
          </w:p>
        </w:tc>
        <w:tc>
          <w:tcPr>
            <w:tcW w:w="35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960" w:type="dxa"/>
            <w:vAlign w:val="bottom"/>
            <w:vMerge w:val="restart"/>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940" w:type="dxa"/>
            <w:vAlign w:val="bottom"/>
            <w:vMerge w:val="restart"/>
          </w:tcPr>
          <w:p>
            <w:pPr>
              <w:jc w:val="center"/>
              <w:ind w:right="1443"/>
              <w:spacing w:after="0"/>
              <w:rPr>
                <w:sz w:val="20"/>
                <w:szCs w:val="20"/>
                <w:color w:val="auto"/>
              </w:rPr>
            </w:pPr>
            <w:r>
              <w:rPr>
                <w:rFonts w:ascii="Times New Roman" w:cs="Times New Roman" w:eastAsia="Times New Roman" w:hAnsi="Times New Roman"/>
                <w:sz w:val="14"/>
                <w:szCs w:val="14"/>
                <w:b w:val="1"/>
                <w:bCs w:val="1"/>
                <w:color w:val="auto"/>
              </w:rPr>
              <w:t>88-0106100</w:t>
            </w:r>
          </w:p>
        </w:tc>
        <w:tc>
          <w:tcPr>
            <w:tcW w:w="0" w:type="dxa"/>
            <w:vAlign w:val="bottom"/>
          </w:tcPr>
          <w:p>
            <w:pPr>
              <w:spacing w:after="0"/>
              <w:rPr>
                <w:sz w:val="1"/>
                <w:szCs w:val="1"/>
                <w:color w:val="auto"/>
              </w:rPr>
            </w:pPr>
          </w:p>
        </w:tc>
      </w:tr>
      <w:tr>
        <w:trPr>
          <w:trHeight w:val="443"/>
        </w:trPr>
        <w:tc>
          <w:tcPr>
            <w:tcW w:w="39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960" w:type="dxa"/>
            <w:vAlign w:val="bottom"/>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40" w:type="dxa"/>
            <w:vAlign w:val="bottom"/>
          </w:tcPr>
          <w:p>
            <w:pPr>
              <w:jc w:val="center"/>
              <w:ind w:right="1463"/>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960" w:type="dxa"/>
            <w:vAlign w:val="bottom"/>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40" w:type="dxa"/>
            <w:vAlign w:val="bottom"/>
          </w:tcPr>
          <w:p>
            <w:pPr>
              <w:jc w:val="center"/>
              <w:ind w:right="146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61"/>
        </w:trPr>
        <w:tc>
          <w:tcPr>
            <w:tcW w:w="3960" w:type="dxa"/>
            <w:vAlign w:val="bottom"/>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8550 Mosley Road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40" w:type="dxa"/>
            <w:vAlign w:val="bottom"/>
            <w:vMerge w:val="restart"/>
          </w:tcPr>
          <w:p>
            <w:pPr>
              <w:jc w:val="center"/>
              <w:ind w:right="1463"/>
              <w:spacing w:after="0"/>
              <w:rPr>
                <w:sz w:val="20"/>
                <w:szCs w:val="20"/>
                <w:color w:val="auto"/>
              </w:rPr>
            </w:pPr>
            <w:r>
              <w:rPr>
                <w:rFonts w:ascii="Times New Roman" w:cs="Times New Roman" w:eastAsia="Times New Roman" w:hAnsi="Times New Roman"/>
                <w:sz w:val="14"/>
                <w:szCs w:val="14"/>
                <w:b w:val="1"/>
                <w:bCs w:val="1"/>
                <w:color w:val="auto"/>
              </w:rPr>
              <w:t>77075-1180</w:t>
            </w:r>
          </w:p>
        </w:tc>
        <w:tc>
          <w:tcPr>
            <w:tcW w:w="0" w:type="dxa"/>
            <w:vAlign w:val="bottom"/>
          </w:tcPr>
          <w:p>
            <w:pPr>
              <w:spacing w:after="0"/>
              <w:rPr>
                <w:sz w:val="1"/>
                <w:szCs w:val="1"/>
                <w:color w:val="auto"/>
              </w:rPr>
            </w:pPr>
          </w:p>
        </w:tc>
      </w:tr>
      <w:tr>
        <w:trPr>
          <w:trHeight w:val="190"/>
        </w:trPr>
        <w:tc>
          <w:tcPr>
            <w:tcW w:w="3960" w:type="dxa"/>
            <w:vAlign w:val="bottom"/>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Houston, Texas</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40" w:type="dxa"/>
            <w:vAlign w:val="bottom"/>
          </w:tcPr>
          <w:p>
            <w:pPr>
              <w:jc w:val="center"/>
              <w:ind w:right="144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09"/>
        </w:trPr>
        <w:tc>
          <w:tcPr>
            <w:tcW w:w="3960" w:type="dxa"/>
            <w:vAlign w:val="bottom"/>
          </w:tcPr>
          <w:p>
            <w:pPr>
              <w:spacing w:after="0"/>
              <w:rPr>
                <w:sz w:val="24"/>
                <w:szCs w:val="24"/>
                <w:color w:val="auto"/>
              </w:rPr>
            </w:pPr>
          </w:p>
        </w:tc>
        <w:tc>
          <w:tcPr>
            <w:tcW w:w="3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2560" w:type="dxa"/>
            <w:vAlign w:val="bottom"/>
            <w:gridSpan w:val="3"/>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(713) 944-6900</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9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9"/>
        </w:trPr>
        <w:tc>
          <w:tcPr>
            <w:tcW w:w="3960" w:type="dxa"/>
            <w:vAlign w:val="bottom"/>
          </w:tcPr>
          <w:p>
            <w:pPr>
              <w:spacing w:after="0"/>
              <w:rPr>
                <w:sz w:val="24"/>
                <w:szCs w:val="24"/>
                <w:color w:val="auto"/>
              </w:rPr>
            </w:pPr>
          </w:p>
        </w:tc>
        <w:tc>
          <w:tcPr>
            <w:tcW w:w="3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960" w:type="dxa"/>
            <w:vAlign w:val="bottom"/>
          </w:tcPr>
          <w:p>
            <w:pPr>
              <w:jc w:val="center"/>
              <w:ind w:left="424"/>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rPr>
              <w:t>Trading Symbol</w:t>
            </w:r>
          </w:p>
        </w:tc>
        <w:tc>
          <w:tcPr>
            <w:tcW w:w="3940" w:type="dxa"/>
            <w:vAlign w:val="bottom"/>
          </w:tcPr>
          <w:p>
            <w:pPr>
              <w:jc w:val="center"/>
              <w:ind w:right="543"/>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jc w:val="center"/>
              <w:ind w:left="444"/>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7"/>
              </w:rPr>
              <w:t>POWL</w:t>
            </w:r>
          </w:p>
        </w:tc>
        <w:tc>
          <w:tcPr>
            <w:tcW w:w="3940" w:type="dxa"/>
            <w:vAlign w:val="bottom"/>
          </w:tcPr>
          <w:p>
            <w:pPr>
              <w:jc w:val="center"/>
              <w:ind w:right="543"/>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102235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36" w:lineRule="exact"/>
        <w:rPr>
          <w:sz w:val="24"/>
          <w:szCs w:val="24"/>
          <w:color w:val="auto"/>
        </w:rPr>
      </w:pPr>
    </w:p>
    <w:p>
      <w:pPr>
        <w:ind w:left="180" w:right="1960"/>
        <w:spacing w:after="0" w:line="27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 w:lineRule="exact"/>
        <w:rPr>
          <w:sz w:val="24"/>
          <w:szCs w:val="24"/>
          <w:color w:val="auto"/>
        </w:rPr>
      </w:pPr>
    </w:p>
    <w:p>
      <w:pPr>
        <w:jc w:val="both"/>
        <w:ind w:firstLine="162"/>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81"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69" w:lineRule="exact"/>
        <w:rPr>
          <w:sz w:val="24"/>
          <w:szCs w:val="24"/>
          <w:color w:val="auto"/>
        </w:rPr>
      </w:pPr>
    </w:p>
    <w:p>
      <w:pPr>
        <w:jc w:val="both"/>
        <w:ind w:right="20" w:firstLine="16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p>
      <w:pPr>
        <w:ind w:left="560"/>
        <w:spacing w:after="0"/>
        <w:tabs>
          <w:tab w:leader="none" w:pos="2400" w:val="left"/>
          <w:tab w:leader="none" w:pos="4620" w:val="left"/>
          <w:tab w:leader="none" w:pos="7060" w:val="left"/>
          <w:tab w:leader="none" w:pos="9280" w:val="left"/>
        </w:tabs>
        <w:rPr>
          <w:sz w:val="20"/>
          <w:szCs w:val="20"/>
          <w:color w:val="auto"/>
        </w:rPr>
      </w:pPr>
      <w:r>
        <w:rPr>
          <w:rFonts w:ascii="Times New Roman" w:cs="Times New Roman" w:eastAsia="Times New Roman" w:hAnsi="Times New Roman"/>
          <w:sz w:val="14"/>
          <w:szCs w:val="14"/>
          <w:color w:val="auto"/>
        </w:rPr>
        <w:t>Large accelerated filer o</w:t>
      </w:r>
      <w:r>
        <w:rPr>
          <w:sz w:val="20"/>
          <w:szCs w:val="20"/>
          <w:color w:val="auto"/>
        </w:rPr>
        <w:tab/>
      </w:r>
      <w:r>
        <w:rPr>
          <w:rFonts w:ascii="Times New Roman" w:cs="Times New Roman" w:eastAsia="Times New Roman" w:hAnsi="Times New Roman"/>
          <w:sz w:val="14"/>
          <w:szCs w:val="14"/>
          <w:color w:val="auto"/>
        </w:rPr>
        <w:t>Accelerated filer x</w:t>
      </w:r>
      <w:r>
        <w:rPr>
          <w:sz w:val="20"/>
          <w:szCs w:val="20"/>
          <w:color w:val="auto"/>
        </w:rPr>
        <w:tab/>
      </w:r>
      <w:r>
        <w:rPr>
          <w:rFonts w:ascii="Times New Roman" w:cs="Times New Roman" w:eastAsia="Times New Roman" w:hAnsi="Times New Roman"/>
          <w:sz w:val="14"/>
          <w:szCs w:val="14"/>
          <w:color w:val="auto"/>
        </w:rPr>
        <w:t>Non-accelerated filer o</w:t>
      </w:r>
      <w:r>
        <w:rPr>
          <w:sz w:val="20"/>
          <w:szCs w:val="20"/>
          <w:color w:val="auto"/>
        </w:rPr>
        <w:tab/>
      </w:r>
      <w:r>
        <w:rPr>
          <w:rFonts w:ascii="Times New Roman" w:cs="Times New Roman" w:eastAsia="Times New Roman" w:hAnsi="Times New Roman"/>
          <w:sz w:val="14"/>
          <w:szCs w:val="14"/>
          <w:color w:val="auto"/>
        </w:rPr>
        <w:t>Smaller reporting company o</w:t>
      </w:r>
      <w:r>
        <w:rPr>
          <w:sz w:val="20"/>
          <w:szCs w:val="20"/>
          <w:color w:val="auto"/>
        </w:rPr>
        <w:tab/>
      </w:r>
      <w:r>
        <w:rPr>
          <w:rFonts w:ascii="Times New Roman" w:cs="Times New Roman" w:eastAsia="Times New Roman" w:hAnsi="Times New Roman"/>
          <w:sz w:val="14"/>
          <w:szCs w:val="14"/>
          <w:color w:val="auto"/>
        </w:rPr>
        <w:t>Emerging growth company o</w:t>
      </w:r>
    </w:p>
    <w:p>
      <w:pPr>
        <w:spacing w:after="0" w:line="26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17" w:lineRule="exact"/>
        <w:rPr>
          <w:sz w:val="24"/>
          <w:szCs w:val="24"/>
          <w:color w:val="auto"/>
        </w:rPr>
      </w:pPr>
    </w:p>
    <w:p>
      <w:pPr>
        <w:jc w:val="both"/>
        <w:ind w:firstLine="162"/>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approximately $234 million as of March 31, 2019, based upon the closing price on the NASDAQ Global Market on that date. For purposes of the calculation above only, all directors, executive officers and beneficial owners of 5% or more of the outstanding shares of the registrant's common stock are considered to be “affiliates.”</w:t>
      </w:r>
    </w:p>
    <w:p>
      <w:pPr>
        <w:spacing w:after="0" w:line="1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At December 2, 2019, there were 11,589,313 outstanding shares of the registrant’s common stock, par value $0.01 per share.</w:t>
      </w:r>
    </w:p>
    <w:p>
      <w:pPr>
        <w:spacing w:after="0" w:line="2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96" w:lineRule="exact"/>
        <w:rPr>
          <w:sz w:val="24"/>
          <w:szCs w:val="24"/>
          <w:color w:val="auto"/>
        </w:rPr>
      </w:pPr>
    </w:p>
    <w:p>
      <w:pPr>
        <w:ind w:right="720" w:firstLine="162"/>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2019 annual meeting of stockholders to be filed not later than 120 days after September 30, 2019,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146685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60960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POWELL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20" w:type="dxa"/>
            <w:vAlign w:val="bottom"/>
            <w:tcBorders>
              <w:bottom w:val="single" w:sz="8" w:color="0000EE"/>
            </w:tcBorders>
            <w:gridSpan w:val="24"/>
          </w:tcPr>
          <w:p>
            <w:pPr>
              <w:spacing w:after="0" w:line="201"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Cautionary Statement Regarding Forward-Looking Statements; Risk Factors</w:t>
              </w:r>
            </w:hyperlink>
          </w:p>
        </w:tc>
        <w:tc>
          <w:tcPr>
            <w:tcW w:w="3920" w:type="dxa"/>
            <w:vAlign w:val="bottom"/>
            <w:gridSpan w:val="4"/>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201"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17"/>
                <w:szCs w:val="17"/>
                <w:color w:val="auto"/>
              </w:rPr>
            </w:pPr>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44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800" w:type="dxa"/>
            <w:vAlign w:val="bottom"/>
            <w:gridSpan w:val="2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Risk Factors</w:t>
              </w:r>
            </w:hyperlink>
          </w:p>
        </w:tc>
        <w:tc>
          <w:tcPr>
            <w:tcW w:w="8540" w:type="dxa"/>
            <w:vAlign w:val="bottom"/>
            <w:gridSpan w:val="2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Unresolved Staff Comments</w:t>
              </w:r>
            </w:hyperlink>
          </w:p>
        </w:tc>
        <w:tc>
          <w:tcPr>
            <w:tcW w:w="7400" w:type="dxa"/>
            <w:vAlign w:val="bottom"/>
            <w:gridSpan w:val="19"/>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9"/>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Properties</w:t>
              </w:r>
            </w:hyperlink>
          </w:p>
        </w:tc>
        <w:tc>
          <w:tcPr>
            <w:tcW w:w="7400" w:type="dxa"/>
            <w:vAlign w:val="bottom"/>
            <w:gridSpan w:val="19"/>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28"/>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Legal Proceedings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8"/>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Mine Safety Disclosures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14</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Times New Roman" w:cs="Times New Roman" w:eastAsia="Times New Roman" w:hAnsi="Times New Roman"/>
                <w:sz w:val="18"/>
                <w:szCs w:val="18"/>
                <w:b w:val="1"/>
                <w:bCs w:val="1"/>
                <w:color w:val="0000EE"/>
                <w:w w:val="97"/>
              </w:rPr>
            </w:pPr>
            <w:hyperlink w:anchor="page15">
              <w:r>
                <w:rPr>
                  <w:rFonts w:ascii="Times New Roman" w:cs="Times New Roman" w:eastAsia="Times New Roman" w:hAnsi="Times New Roman"/>
                  <w:sz w:val="18"/>
                  <w:szCs w:val="18"/>
                  <w:b w:val="1"/>
                  <w:bCs w:val="1"/>
                  <w:color w:val="0000EE"/>
                  <w:w w:val="97"/>
                </w:rPr>
                <w:t>PART II</w:t>
              </w:r>
            </w:hyperlink>
          </w:p>
        </w:tc>
        <w:tc>
          <w:tcPr>
            <w:tcW w:w="44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28"/>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7"/>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Selected Financial Data</w:t>
              </w:r>
            </w:hyperlink>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5"/>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4"/>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Quantitative and Qualitative Disclosures about Market Risk</w:t>
              </w:r>
            </w:hyperlink>
          </w:p>
        </w:tc>
        <w:tc>
          <w:tcPr>
            <w:tcW w:w="2160" w:type="dxa"/>
            <w:vAlign w:val="bottom"/>
            <w:gridSpan w:val="11"/>
          </w:tcPr>
          <w:p>
            <w:pPr>
              <w:spacing w:after="0"/>
              <w:rPr>
                <w:sz w:val="21"/>
                <w:szCs w:val="21"/>
                <w:color w:val="auto"/>
              </w:rPr>
            </w:pPr>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Financial Statements and Supplementary Data</w:t>
              </w:r>
            </w:hyperlink>
          </w:p>
        </w:tc>
        <w:tc>
          <w:tcPr>
            <w:tcW w:w="514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440" w:type="dxa"/>
            <w:vAlign w:val="bottom"/>
            <w:gridSpan w:val="28"/>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25"/>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Controls and Procedures</w:t>
              </w:r>
            </w:hyperlink>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Other Information</w:t>
              </w:r>
            </w:hyperlink>
          </w:p>
        </w:tc>
        <w:tc>
          <w:tcPr>
            <w:tcW w:w="7680" w:type="dxa"/>
            <w:vAlign w:val="bottom"/>
            <w:gridSpan w:val="2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54</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Times New Roman" w:cs="Times New Roman" w:eastAsia="Times New Roman" w:hAnsi="Times New Roman"/>
                <w:sz w:val="18"/>
                <w:szCs w:val="18"/>
                <w:b w:val="1"/>
                <w:bCs w:val="1"/>
                <w:color w:val="0000EE"/>
                <w:w w:val="96"/>
              </w:rPr>
            </w:pPr>
            <w:hyperlink w:anchor="page55">
              <w:r>
                <w:rPr>
                  <w:rFonts w:ascii="Times New Roman" w:cs="Times New Roman" w:eastAsia="Times New Roman" w:hAnsi="Times New Roman"/>
                  <w:sz w:val="18"/>
                  <w:szCs w:val="18"/>
                  <w:b w:val="1"/>
                  <w:bCs w:val="1"/>
                  <w:color w:val="0000EE"/>
                  <w:w w:val="96"/>
                </w:rPr>
                <w:t>PART III</w:t>
              </w:r>
            </w:hyperlink>
          </w:p>
        </w:tc>
        <w:tc>
          <w:tcPr>
            <w:tcW w:w="43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440" w:type="dxa"/>
            <w:vAlign w:val="bottom"/>
            <w:gridSpan w:val="2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Directors, Executive Officers and Corporate Governance</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8"/>
          </w:tcPr>
          <w:p>
            <w:pPr>
              <w:spacing w:after="0"/>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Executive Compensation</w:t>
              </w:r>
            </w:hyperlink>
          </w:p>
        </w:tc>
        <w:tc>
          <w:tcPr>
            <w:tcW w:w="2280" w:type="dxa"/>
            <w:vAlign w:val="bottom"/>
            <w:gridSpan w:val="5"/>
          </w:tcPr>
          <w:p>
            <w:pPr>
              <w:spacing w:after="0"/>
              <w:rPr>
                <w:sz w:val="21"/>
                <w:szCs w:val="21"/>
                <w:color w:val="auto"/>
              </w:rPr>
            </w:pPr>
          </w:p>
        </w:tc>
        <w:tc>
          <w:tcPr>
            <w:tcW w:w="5360" w:type="dxa"/>
            <w:vAlign w:val="bottom"/>
            <w:gridSpan w:val="1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440" w:type="dxa"/>
            <w:vAlign w:val="bottom"/>
            <w:gridSpan w:val="2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6"/>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23"/>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Principal Accounting Fees and Services</w:t>
              </w:r>
            </w:hyperlink>
          </w:p>
        </w:tc>
        <w:tc>
          <w:tcPr>
            <w:tcW w:w="40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2"/>
          </w:tcPr>
          <w:p>
            <w:pPr>
              <w:jc w:val="center"/>
              <w:ind w:right="4380"/>
              <w:spacing w:after="0"/>
              <w:rPr>
                <w:rFonts w:ascii="Times New Roman" w:cs="Times New Roman" w:eastAsia="Times New Roman" w:hAnsi="Times New Roman"/>
                <w:sz w:val="18"/>
                <w:szCs w:val="18"/>
                <w:b w:val="1"/>
                <w:bCs w:val="1"/>
                <w:color w:val="0000EE"/>
                <w:w w:val="95"/>
              </w:rPr>
            </w:pPr>
            <w:hyperlink w:anchor="page55">
              <w:r>
                <w:rPr>
                  <w:rFonts w:ascii="Times New Roman" w:cs="Times New Roman" w:eastAsia="Times New Roman" w:hAnsi="Times New Roman"/>
                  <w:sz w:val="18"/>
                  <w:szCs w:val="18"/>
                  <w:b w:val="1"/>
                  <w:bCs w:val="1"/>
                  <w:color w:val="0000EE"/>
                  <w:w w:val="95"/>
                </w:rPr>
                <w:t>PART IV</w:t>
              </w:r>
            </w:hyperlink>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1"/>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Exhibits. Financial Statement Schedules</w:t>
              </w:r>
            </w:hyperlink>
          </w:p>
        </w:tc>
        <w:tc>
          <w:tcPr>
            <w:tcW w:w="1460" w:type="dxa"/>
            <w:vAlign w:val="bottom"/>
            <w:gridSpan w:val="5"/>
          </w:tcPr>
          <w:p>
            <w:pPr>
              <w:spacing w:after="0"/>
              <w:rPr>
                <w:sz w:val="21"/>
                <w:szCs w:val="21"/>
                <w:color w:val="auto"/>
              </w:rPr>
            </w:pPr>
          </w:p>
        </w:tc>
        <w:tc>
          <w:tcPr>
            <w:tcW w:w="700" w:type="dxa"/>
            <w:vAlign w:val="bottom"/>
            <w:tcBorders>
              <w:top w:val="single" w:sz="8" w:color="0000EE"/>
            </w:tcBorders>
            <w:gridSpan w:val="5"/>
          </w:tcPr>
          <w:p>
            <w:pPr>
              <w:spacing w:after="0"/>
              <w:rPr>
                <w:sz w:val="21"/>
                <w:szCs w:val="21"/>
                <w:color w:val="auto"/>
              </w:rPr>
            </w:pPr>
          </w:p>
        </w:tc>
        <w:tc>
          <w:tcPr>
            <w:tcW w:w="4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54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1"/>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Form 10-K Summary</w:t>
              </w:r>
            </w:hyperlink>
          </w:p>
        </w:tc>
        <w:tc>
          <w:tcPr>
            <w:tcW w:w="6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58</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19"/>
          </w:tcPr>
          <w:p>
            <w:pPr>
              <w:ind w:left="43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49"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includes forward-looking statements based on our current expectations, which are subject to risks and uncertainties.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These forward-looking statements are subject to risks and uncertainties, and many factors could affect the future financial results and condition of the Company. Factors that may have a material effect on our revenues, expenses and operating results include, among other things, adverse business or market conditions, our ability to meet our customers’ scheduling requirements, our customers’ financial conditions and their ability to secure financing to support current and future projects, the availability and cost of materials from suppliers, availability of skilled labor force, adverse competitive developments and changes in customer requirements as well as those circumstances discussed under “Part I, Item 1A. Risk Factors,” below. Accordingly, actual results may differ materially from those expressed or implied by the forward-looking statements contained in this Annual Report. Any forward-looking statements made by or on our behalf are made pursuant to the safe harbor provisions of the Private Securities Litigation Reform Act of 1995.</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current assumptions that we will continue to develop, market, manufacture and ship products and provide services on a competitive and timely basis; that economic and competitive conditions in our markets will not change in a materially adverse way; that we will accurately identify and meet customer needs for products and services; that we will be able to hire and retain skilled laborers and key employees; that our products and capabilities will remain competitive; that the financial markets and banking systems will remain stable and availability of credit will continue; that risks related to shifts in customer demand are minimized and that there will be no material adverse change in the operations or business of the Company. Assumptions relating to these factors involve judgments that are based on available information, which may not be complete, and are subject to changes in many factors beyond the Company’s control that can materially affect results. Because of these and other factors that affect our operating results, past financial performance should not be considered an indicator of future performance, and investors should not use historical trends to anticipate results or trends in future periods.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4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was incorporated in the state of Delaware in 2004 as a successor to a Nevada company incorporated in 1968. The Nevada company was the successor to a company founded by William E. Powell in 1947, which merged into the Company in 1977. We are headquartered in Houston, Texas, and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We make available, free of charge on or through our website, copies of our Annual Reports on Form 10-K, Quarterly Reports on Form 10-Q, Current Reports on Form 8-K, and amendments to those reports, filed or furnished pursuant to Section 13(a) or 15(d) of the Securities Exchange Act of 1934 as soon as is reasonably practicable after we electronically file such material with, or furnish it to, the Securities and Exchange Commission (SEC). Additionally, all of our reports filed with the SEC are available via their website at http://</w:t>
      </w:r>
      <w:r>
        <w:rPr>
          <w:rFonts w:ascii="Times New Roman" w:cs="Times New Roman" w:eastAsia="Times New Roman" w:hAnsi="Times New Roman"/>
          <w:sz w:val="18"/>
          <w:szCs w:val="18"/>
          <w:u w:val="single" w:color="auto"/>
          <w:color w:val="auto"/>
        </w:rPr>
        <w:t>www.sec.gov.</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and bus duct systems. These products are designed for application voltages ranging from 480 volts to 38,000 volts and are used in oil and gas refining, onshore and offshore oil and gas production, petrochemical, liquid natural gas terminals, pipeline, terminal, mining and metals, light rail traction power, electric utility, pulp and paper and other heavy industrial markets. Our product scope includes designs tested to meet both U.S. and international standards, under both the American National Standards Institute (ANSI) and International Electrotechnical Commission.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2019, Fiscal 2018 and Fiscal 2017 used throughout this Annual Report relate to our fiscal years ended September 30, 2019, 2018 and 2017,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 and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customers are typically sophisticated users of large amounts of electrical energy that typically require a complex combination of electrical components and systems. These customers' industries include oil and gas refining, onshore and offshore oil and gas production, petrochemical, pipeline, terminal, mining and metals, light rail traction power, electric utility, pulp and paper and other heavy industrial markets. Specific to the oil and gas sector, we serve both the upstream and downstream end markets. Within the downstream segment, our primary customers typically are engaged in refining activities and/or leveraging natural gas feedstocks for the production of petrochemical or Liquified Natural Gas (LNG) products. We have developed strong relationships with our customers over the years and strive to maintain our position as a preferred service provider to solve our customers' complex electrical needs.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Products and services are principally sold directly to the end user or to an engineering, procurement and construction (EPC) firm on behalf of the end user. Each project is specifically engineered and manufactured to meet the exact specifications and requirements of the individual customer. Powell’s expertise is in the design and engineering, manufacturing, project management and integration of the various systems into a single custom-engineered deliverable. We market and sell our products and services, which are typically awarded in competitive bid situations, to a wide variety of customers, governmental agencies, markets and geographic regions. Contracts often represent large-scale and complex projects with an individual customer. By their nature, these projects are typically nonrecurring. Thus, multiple and/or continuous projects of similar magnitude with the same customer may vary. As such, the timing of large project awards may cause material fluctuations in our revenues and gross profits.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Occasionally our contracts may operate under a consortium or teaming arrangement. Typically, we enter into these arrangements with reputable companies that we have conducted business with previously. These arrangements are generally made to leverage competitive positioning or where scale and/or size dictates the use of such arrangement.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49" w:right="2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or customer. Although we could be adversely impacted by a significant reduction in business volume from a particular industry, we do not believe the loss of any specific customer would have a material adverse effect on our business. However, from time to time, an individual manufacturing facility may have significant volume from one particular customer that would be material to that facility. No customer accounted for more than 10% of our consolidated revenues in Fiscal 2019, Fiscal 2018 or Fiscal 2017.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be the supplier of choice for custom-engineered system solutions and services to a variety of customers and markets. Our activities are predominantly in the oil and gas and electric utility industries, but also include other markets where customers need to manage, monitor and control large amounts of electrical energy.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products and services, integration capabilities, technical and project management strengths, application engineering expertise and specialty contracting experience, together with our responsiveness and flexibility to the needs of our customers and our financial strength, give us a sustainable competitive advantage in our markets. We compete with a small number of multinational competitors that sell to a broad industrial and geographic market, as well as smaller, regional competitors that typically have limited capabilities and scope of supply. Some of our competitors are significantly larger and have substantially greater global resources such as engineering, manufacturing and marketing. Our principal competitors include ABB, Eaton, Schneider and Siemens.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whom we also have long, established relationships. Ultimately, our competitive position is dependent upon our ability to provide quality custom-engineered products, services and systems on a timely basis at a competitive price.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Backlog represents management's estimate of the remaining unsatisfied performance obligation from work to be performed on our firm orders under uncompleted contracts and customer purchase orders, including approved change orders as well as new contractual agreements on which work has not begun. Our backlog will be recognized as revenue as we complete the remaining performance obligations. Our backlog does not include service- and maintenance-type contracts for which we have the rights to invoice as services are performed. Typically, our contracts may have an early termination for convenience clause at the discretion of our customers; however, most of these contracts typically provide for the reimbursement of our costs incurred and a reasonable margin in the event of such early termination. Our methodology for determining backlog may not be comparable to the methodology used by other companies.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at September 30, 2019 totaled $419.0 million compared to $260.9 million at September 30, 2018. Backlog improved primarily due to increased demand from our customers in our core oil and gas and petrochemical markets. We anticipate that approximately $344.6 million of Fiscal 2019 ending backlog will be fulfilled during our fiscal year ending September 30, 2020. Backlog may not be indicative of future operating results as orders in our backlog may be cancelled or modified by our customers and may not be indicative of continuing revenue performance over future fiscal quarters.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Suppliers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raw materials used in our operations include steel, copper and aluminum and various electrical components. Material costs represented 47% of revenues in Fiscal 2019, Fiscal 2018 and Fiscal 2017. Unanticipated changes in material requirements, market conditions and disruptions in the supply chain or price increases could impact production costs and affect our consolidated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69" w:right="2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Our supply base for certain key components and raw materials is limited. Changes in our design to accommodate similar components from other suppliers could be implemented to resolve a supply problem related to a sole-sourced component. In this circumstance, supply problems could result in delays in our ability to meet commitments to our customers. We believe that sources of supply for raw materials and components are generally sufficient, and we do not believe a temporary shortage of materials will cause any significant adverse impact in the future. While we are not dependent on any one supplier for the majority of our raw materials, we are highly dependent on our suppliers in order to meet commitments to our customers. While we have not experienced significant or unusual issues in the purchase of key raw materials or components in the past three fiscal years, we continue to monitor the availability and price of components and raw materials on a regular basis, as well as any potential impact on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the effects of changing material prices. During the last three fiscal years, we have not experienced significant price volatility for raw materials or component parts used in the production of our products. While the cost outlook for commodities used in the production of our products is not certain, we believe we can manage this volatility through contract pricing adjustments, with material-cost predictive estimating and by actively pursuing internal cost reduction efforts. We did not enter into any derivative contracts to hedge our exposure to commodity price changes in Fiscal 2019, 2018 or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September 30, 2019, we had 2,312 full-time employees located primarily in the U.S., Canada and the U.K. Our employees are not represented by unions, and we believe that our relationship with our employees is good. Periodically, demand for qualified personnel increases in certain geographic areas due to increased construction or economic activity. We continue to monitor our demand for skilled and unskilled labor and provide training and competitive compensation packages in an effort to attract and retain skilled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hold various patents, trademarks, servicemarks, copyrights and licenses, we do not consider any individual intellectual property to be material to our consolidated business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including, but not limited to, the risks and uncertainties described below. If any of the following risks occur, the business's financial condition, cash flows, liquidity and results of operations may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Industry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cyclical nature of the end markets that we serve. This has had, and may continue to have, an adverse effect on our future operating results.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end markets that we serve have historically been, and will continue to be vulnerable to general downturns, which in turn could materially and adversely affect the demand for our products and services. Our customer projects, budgets for capital expenditures and the need for our services have in the past, and may in the future, be adversely affected by among other things, poor economic conditions, low commodity prices, political uncertainties, and currency fluctuations. These variables may impact the number and/or the amount of new awards, delays in the timing of awards or potential cancellation of projects. The uncertainty of our contract award timing is outside of our control and can also present difficulties in matching workforce size with contract requirements. In some cases, we bear and maintain the cost of a ready workforce that may be larger than necessary in anticipation of future workforce needs. If an expected contract is delayed or not received, we may incur additional costs in staff or facility redundancy that could have an adverse impact on our business,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competitors are significantly larger and have substantially greater global resources such as engineering, manufacturing and marketing resources, and at various times, may be a customer or supplier on any given project. Competition in the industry depends on a number of factors, including the number of projects available, technical ability, production capacity, location and price. Certain of our competitors may have lower cost structures and may, therefore, be able to provide their products or services at lower prices.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could adversely affect future revenues and have an adverse impact on our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innovations by competitors may make existing products and production methods obsolete.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 products that we manufacture and sell depend upon the best available technology for success in the marketplace. The industries in which we operate are characterized by intense competition and are highly sensitive to technological innovation and customer requirements. It is possible for competitors (both domestic and international) to develop products or production methods that will make current products or methods obsolete or at a minimum hasten their obsolescence; therefore, we cannot be certain that our competitors will not develop the expertise, experience and resources to provide products and services that are superior in both price and quality. Our future success will depend, in part, on our ability to anticipate and offer products that meet changing customer specifications. Failure to successfully develop new products, or to enhance existing products, could result in the loss of existing customers to competitors, the inability to attract new business or an overall reduction in our competitive position, any of which may adversely affect our business or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difficulties with expansions, relocations or consolidations of existing facilities could adversely affect our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decide to enter new markets, build or lease additional facilities, expand our existing facilities, relocate or consolidate one or more of our operations or exit a facility we may own or lease. Increased costs and production delays arising from the staffing, relocation, sublease, expansion or consolidation of our facilities could adversely affect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and erode our competitive position.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the quality of our products and our relationships with customers. In the event that one of our products fails to meet our customers' standards or safety requirements or fails to operate effectively, our reputation could be harmed, which would adversely affect our marketing and sales efforts. We provide warranties to our customers for our products and the cost to satisfy customer warranty claims, which may include, among other things, costs for the repair or replacement of products, could adversely impact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product diversification through strategic acquisitions involves a number of risks.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includes the pursuit of growth and product diversification through the acquisition of companies or assets and entering into joint ventures that will enable us to expand our geographic coverage and product and service offerings. We periodically review potential acquisitions; however, we may be unable to successfully implement this strategy. Acquisitions involve certain risks, including difficulties in the integration of operations and systems; failure to realize cost savings; the termination of relationships by key personnel and customers of the acquired company and a failure to add additional employees to handle the increased volume of business. Additionally, financial and accounting challenges and complexities in areas such as valuation, tax planning, treasury management and financial reporting from our acquisitions may impact our operating results. Due diligence may not be adequate or reveal all risks and challenges associated with our acquisitions. Companies that we acquire may not achieve revenues, profitability or cash flows that we expected,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 under the terms of our credit facility or other financing arrangements. Any failure to successfully complete or successfully integrate acquisitions could have a material adverse effect on our business and results of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873"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The departure of key personnel could disrupt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continued efforts of our executive officers, senior management and other key professionals. We cannot be certain that any individual will continue in such capacity for any particular period of time. The loss of key personnel, or the inability to hire and retain qualified employees, could negatively impact our ability to perform and manage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skilled and unskilled labor, and we may be unable to attract and retain qualified employees.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maintain our productivity at competitive levels may be limited by our ability to employ, train and retain personnel necessary to meet our requirements. We face significant competition for qualified personnel in our industry. We may experience shortages of qualified personnel such as engineers, project managers and select skilled trades. We cannot be certain that we will be able to maintain an adequate skilled labor force or key technical personnel necessary to operate efficiently and to support our growth strategy and operations. We cannot be certain that our labor costs will not increase as a result of a shortage in the supply of skilled, unskilled and technical personnel. Labor shortages or increased labor costs could impair our ability to maintain our business, meet customer commitments or grow our revenues, and may adversely impact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relating to the use of subcontractors on some of our projects.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hire subcontractors to perform work on some projects and sometimes depend on third-party suppliers to provide equipment and materials necessary to complete or ship our products. If our subcontractors do not perform as expected for any reason, we may experience delays in completing our projects or incur additional costs. In addition, we may have disputes with these independent subcontractors arising from, among other things, the quality and timeliness of the work they have performed. Any of these factors could adversely impact our business and results of operations.</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Misconduct by our employees or subcontractors, or a failure to comply with laws or regulations, could harm our reputation, damage our relationships with customers and subject us to criminal and civil enforcement actions.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52525"/>
        </w:rPr>
        <w:t xml:space="preserve">Misconduct, fraud, non-compliance with applicable laws and regulations, or other improper activities by one or more of our employees or subcontractors could have a significant negative impact on our business and reputation. While we take precautions to prevent and detect these activities, such precautions may not be effective and are subject to inherent limitations, including human error and fraud. Acts of misconduct, or our failure to comply with applicable laws or regulations, could subject us to fines and penalties, harm our reputation, damage our relationships with customers and </w:t>
      </w:r>
      <w:r>
        <w:rPr>
          <w:rFonts w:ascii="Times New Roman" w:cs="Times New Roman" w:eastAsia="Times New Roman" w:hAnsi="Times New Roman"/>
          <w:sz w:val="18"/>
          <w:szCs w:val="18"/>
          <w:color w:val="000000"/>
        </w:rPr>
        <w:t>could adversely impact our</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business and results of operations.</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Unsatisfactory safety performance may subject us to penalties, negatively impact customer relationships, result in higher operating costs, and negatively impact employee morale and turnover.</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52525"/>
        </w:rPr>
        <w:t>We place great emphasis on workplace safety in our entire organization through various safety initiatives and training. We have both indoor and outdoor manufacturing facilities which are susceptible to numerous industrial safety risks that can lead to personal injury, loss of life, damage to property and equipment, as well as potential environmental damage. While we take every precaution to avoid incidents, we have experienced accidents in the past and may again in the future, which can negatively affect our safety record. A poor safety record can harm our reputation with existing and potential customers, jeopardize our relationship with employees and could adversely impact our business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Catastrophic events could disrupt 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52525"/>
        </w:rPr>
        <w:t>The occurrence of catastrophic events, ranging from natural disasters to health epidemics, to acts of war and terrorism, could disrupt or delay our ability to operate our business and complete projects for our customers and could potentially expose us to third-party liability claims. We may declare the existence of a force majeure event under our contracts in certain situations; however, a customer may dispute our force majeure claim, which may result in additional liabilities. Losses arising from such events may or may not be fully covered by our various insurance policies or may be subject to deductibles or exceed coverage limits. In addition, such events could result in temporary or long-term delays and/or cancellations of orders for raw materials from our suppliers that could impact our project execution. These situations or other disruptions are outside of our control and may adversely impact our business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7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 and Markets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and financial market conditions may impact our customer base, suppliers and backlog.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factors drive demand for our products and services, including the price and demand for oil and gas, capital expenditures, economic forecasts and financial markets. Unanticipated increases in raw material requirements or prices, the imposition of tariffs, and changes in supplier availability or supplier consolidation, could increase production costs and adversely affect profitability. Uncertainty regarding these factors could impact our customers and severely impact the demand for projects and orders for our products and services. Additionally, the loss of significant volume from one particular customer at one of our facilities could adversely impact the operating results of that facility. If one or more of our suppliers or subcontractors experiences difficulties that result in a reduction or interruption in supply to us, or they fail to meet our manufacturing requirements, our business could be adversely impacted until we are able to secure alternative sources. Furthermore, our ability to maintain or expand our business would be limited in the future if we are unable to maintain or increase our bonding capacity or our bank credit facility on favorable terms or at all. Similarly, disruptions in the capital markets may also adversely impact our customer's ability to finance projects, which could result in contract cancellations or delays. These disruptions could lead to reduced demand for our products and services and could have an adverse impact on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and cancellations and, therefore, may not be a reliable indicator of our future earnings.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backlog of uncompleted contracts. Backlog represents management's best estimate of the remaining performance obligation from work to be performed on uncompleted contracts, including new contractual agreements on which work has not begun. From time to time, projects are cancelled or modified, and while we may be reimbursed for certain costs, we may not have a contractual right to the total revenue reflected in our backlog. In addition to our being unable to recover certain direct costs, cancelled projects may also result in additional unrecoverable costs due to the underutilization of our assets. Accordingly, the amounts recorded in backlog may not be a reliable indicator of our future operating results and may not be indicative of continuing revenue performance over future fiscal quarters.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 from our fixed-price contracts could result in volatility in our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“Management’s Discussion and Analysis of Financial Condition and Results of Operations — Critical Accounting Policies and Estimates” and in the Notes to Consolidated Financial Statements included elsewhere in this Annual Report, the majority of our revenues are recognized over time. Revenues are recognized as work is performed and costs are incurred. The revenue earned to date is calculated by multiplying the total contract price by the percentage of performance to date, which is based on total costs incurred to date compared to the total estimated costs at completion. The determination of the revenue recognized requires the use of estimates of costs to be incurred for the performance of the contract. The cost estimation process is based upon the professional knowledge and experience of our management teams, engineers, project managers and financial professionals. We bear the risk of cost overruns in most of our contracts, which may result in reduced profits. Contract losses are recognized in full when determined, and estimates of revenue and cost to complete are adjusted based on ongoing reviews of estimated contract performance. Previously recorded estimates of revenues and costs are adjusted as the project progresses and circumstances change. In certain circumstances, it is possible that such adjustments to costs and revenues could have an adverse impact on our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may subject us to penalties or additional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customer contracts have schedule and performance obligation clauses that, if we fail to meet, could subject us to penalty provisions, liquidated damages or claims against the company or our outstanding letters of credit or performance bonds. In addition, some customer contracts stipulate protection against our gross negligence or willful misconduct. Each individual contract defines the conditions under which the customer may make a claim against us. It is possible that adjustments arising from such claims, or our failure to manage our contract risk, may not be covered by insurance and could have an adverse impact on our results of operations.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873" w:right="239" w:bottom="1440" w:gutter="0" w:footer="0" w:header="0"/>
        </w:sectPr>
      </w:pPr>
    </w:p>
    <w:bookmarkStart w:id="9" w:name="page10"/>
    <w:bookmarkEnd w:id="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material costs represented 47% of our consolidated revenues for Fiscal 2019. Unanticipated increases in raw material requirements or prices, the imposition of tariffs, and changes in supplier availability or supplier consolidation, could increase production costs and adversely affect profitability as fixed-price contracts may prohibit our ability to charge the customer for the increase in raw material prices. We purchase a wide variety of materials and component parts from various suppliers to manufacture our products, including steel, aluminum, copper and various components. Our supply base for certain key components and raw materials is limited and may come from a single supplier. If we are unable to obtain key components and raw materials from these suppliers, the key components and raw materials may not be readily available from other suppliers or available with acceptable terms. Our success depends on our ability to meet customer commitments and could be negatively impacted if a supplier experiences a disruption or discontinuance in their operations. The time and effort associated with the selection and qualification of a new supplier and changes in our design and testing to accommodate similar components from other suppliers could be significant. Additionally, we rely on certain competitors for key materials used in our products. This could negatively impact our ability to manufacture our products if the relationships change or become adversarial.</w:t>
      </w:r>
    </w:p>
    <w:p>
      <w:pPr>
        <w:spacing w:after="0" w:line="2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and past performance.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and would require us to issue letters of credit under our bank facilities in lieu of surety bonds, thereby reducing availability under our credit facility, which could have an adverse impact on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remain in compliance with covenants or obtain waivers or amendments under our credit agreement could adversely impact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agreement contains various financial covenants and restrictions, which are described in Note G of the Notes to Consolidated Financial Statements. Our ability to remain in compliance with such financial covenants and restrictions may be affected by factors beyond our control, including general or industry-specific economic downturns. If we fail to remain in compliance with such covenants and restrictions, absent a modification or waiver, this could result in an event of default under the credit agreement. Among other things, the occurrence of an event of default could limit our ability to obtain additional financing or result in acceleration of outstanding amounts under the credit agreement or a termination of the agreement, any of which could have an adverse impact on our liquidity, business and results of operations.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extend credit to customers in conjunction with our performance under fixed price contracts which subjects us to potential credit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agree to allow our customers to defer payment on projects until certain milestones have been met or until the projects are substantially completed, and customers typically withhold some portion of amounts due to us as retainage. Our payment arrangements subject us to potential credit risk related to changes in business and economic factors affecting our customers, including material changes in our customers' revenues or cash flows. If we are unable to collect amounts owed to us, or retain amounts paid to us, our cash flows would be reduced, and we could experience losses if those amounts exceed current allowances. Any of these factors could adversely impact our business and results of operations.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87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insurance against many potential liabilities, but our management of risk may leave us exposed to unidentified or unanticipated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maintain insurance policies with respect to our related exposures, including certain casualty, property, business interruption and self-insured medical and dental programs, these policies contain deductibles, self-insured retentions and limits of coverage. In addition, we may not be able to continue to obtain insurance at commercially reasonable rates or may be faced with liabilities not covered by insurance, such as, but not limited to, environmental contamination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associated with projects located outside of the U.S., including revenues generated from our operations in the U.K. and Canada, accounted for approximately 21% of our consolidated revenues in Fiscal 2019.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and/or governmental activities that limit or disrupt markets, restrict payments or limit the movement of funds and trade restrictions or economic embargoes imposed by the U.S. or other countries and the U.K.'s referendum to withdraw from the European Union. Additionally, the compliance with foreign and domestic import and export regulations and anti-corruption laws, such as the U.S. Foreign Corrupt Practices Act, General Data Protection Regulation, or similar laws of other jurisdictions outside the U.S., could adversely impact our ability to compete for contracts in such jurisdictions. Moreover, the violation of such laws or regulations, by us or our representatives, could result in severe penalties including monetary fines, criminal proceedings and suspension of export privileges.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fluctuating foreign currency exchange rates may impact our financial results. The functional currency of our foreign operations is typically the currency of the country in which the foreign operation is located. Accordingly, our financial performance is subject to fluctuations due to changes in foreign currency exchange rates relative to the U.S. dollar.</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weaknesses in our internal controls over financial reporting could adversely affect our ability to report on our financial condition and results of operations accurately and/or on a timely basis.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are dependent upon individual data input or review. We are continually working to maintain and strengthen our internal controls over financial reporting, however, any system of controls has limitations, including the possibility of human error, the circumvention or overriding of controls and/or fraud. Our failure to maintain effective internal controls over financial reporting could adversely affect our ability to report our financial results on a timely and accurate basis, which could result in a loss of investor confidence in our financial reports or have an adverse impact on our business and results of operations.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business systems or cyber security attacks on any of our facilities, or those of third parties, could adversely affect our business and our internal controls.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organization is dependent upon the proper functioning of our business systems that support our production, engineering, human resources, estimating, finance, and project management functions. If any of our financial, operational, or other data processing systems fail or have other significant shortcomings due to natural disaster, power loss, telecommunications failures, cyber security attacks or other similar events, our business or results of operations could be adversely affected. In addition, despite implementation of security measures, our business systems may be vulnerable to computer viruses, cyber-attacks, the accidental release of sensitive information and other unauthorized access. These failures of our business systems or security breaches could impact our customers, employees and reputation and result in a disruption to our operations or in legal claims or proceedings. A material network breach of our business systems could involve the theft of intellectual property, financial data, employee or customer data, which may be used by competitors. We rely on third-party systems which could also suffer operational system failure or cyber-attacks. Any of these occurrences could disrupt our business, result in potential liability or reputational damage or otherwise have an adverse effect on our business or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873" w:right="2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Network security and internal control measures have been implemented to address these risks and disruptions to our business. However, our portfolio of hardware and software products, solutions and services and information contained within our enterprise information technology (IT) systems may be vulnerable to damage or disruption caused by circumstances beyond our control such as catastrophic events, cyber-attacks, other malicious activities from unauthorized third parties, power outages, natural disasters, computer system or network failures or computer viruses. Any significant disruption or failure could damage our reputation or have a material adverse effect on our business and our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decline or fluctuate significantly due to unforeseen circumstances. These fluctuations may cause our stockholders to incur losses.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could fluctuate or decline due to a variety of factors including, but not limited to, the risks factors described herein, the timing and cancellation of projects,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the trading price of our common stock could decline significantly.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or pay future dividends on our common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regular dividend since Fiscal 2014. The declaration, amount and timing of future dividends are subject to capital availability and determinations by our Board of Directors that cash dividends are in the best interest of our stockholders and are in compliance with all respective laws and applicable agreements. Our ability to declare and pay dividends will depend upon, among other factors, our financial condition, results of operations, cash flows, current and anticipated expansion plans, requirements under Delaware law and other factors that our Board of Directors may deem relevant. A reduction in or elimination of our dividend payments could have a material negative effect on our stock price.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Legal and Regulatory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impacted by the effects of government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policy, laws or regulations, including those affecting oil and gas exploration and development activities and the resulting decisions by customers and other industry participants could reduce demand for our products and services, which would have a negative impact on our operations. Various regulations have been implemented around the world related to safety and certification requirements applicable to oil and gas drilling and production activities, and we cannot predict whether operators will be able to satisfy these requirements. Further, we cannot predict future changes in any country in which we operate and how those changes may affect our ability to perform projects in those regions.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 conflict minerals are most commonly found in metals. As there may be only a limited number of suppliers offering "conflict free" metals, we cannot be sure that we will be able to obtain necessary metals in sufficient quantities or at competitive prices. Also, we may face challenges with our customers and suppliers if we are unable to sufficiently verify that the metals used in our products are "conflict free."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change our effective tax rate and could have a material effect on our financial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A change in tax laws, deductions or credits, treaties or regulations, or their interpretation, in the countries in which we operate could result in a higher tax rate on our pre-tax income, which could have a material impact on our net income.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statutory tax rates could have a material impact on our net income or loss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87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could be named as a defendant in future legal proceedings that claim damages in connection with the operation of our business. Most of the actions against us arise out of the normal course of our performing services or manufacturing equipment. From time to time, we may be a plaintiff in legal proceedings against customers in which we seek to recover payment of contractual amounts due to us, as well as claims for increased costs incurred by us. When appropriate, we establish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compliance with environmental laws could adversely impact our financial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 potential contamination, including contamination we did not cause. These potential environmental liabilities may or may not be fully covered by our various insurance policies and may adversely affect our business and results operations.</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are governed by Delaware law, we are subject to the provisions of Section 203 of the Delaware General Corporation Law. These provisions prohibit a publicly 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provisions of our Certificate of Incorporation and bylaws may discourage, delay or prevent a merger, acquisition or other change in control that stockholders might otherwise consider favorable, including transactions in which stockholders might otherwise receive a premium for their shares. These provisions may frustrate or prevent any attempt by our stockholders to replace or remove our current management by making it more difficult to replace or remove our board of directors.</w:t>
      </w:r>
    </w:p>
    <w:p>
      <w:pPr>
        <w:spacing w:after="0" w:line="2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arising from recent U.S. Government proposals concerning tariffs and other economic proposals could adversely impact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recent changes to U.S. administration policy and recent U.S. government proposals, there may be greater restrictions and economic disincentives on international trade that could include significant increases in tariffs on goods. Changes in U.S. or international social, political, regulatory and economic conditions or in laws and policies governing foreign trade, manufacturing, development and investment in the territories and countries where we currently develop and sell our products, and any negative sentiment towards the U.S. as a result of such changes, could adversely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87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our principal manufacturing and fabrication facilities and periodically lease smaller facilities throughout the U.S., Canada and the U.K. Our facilities are generally located in areas that are readily accessible to materials and labor pools and are maintained in good condition. These facilities are expected to meet our needs for the foreseeable future.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locations as of September 30, 2019,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140" w:type="dxa"/>
            <w:vAlign w:val="bottom"/>
          </w:tcPr>
          <w:p>
            <w:pPr>
              <w:spacing w:after="0"/>
              <w:rPr>
                <w:sz w:val="13"/>
                <w:szCs w:val="13"/>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1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60"/>
        </w:trPr>
        <w:tc>
          <w:tcPr>
            <w:tcW w:w="3080" w:type="dxa"/>
            <w:vAlign w:val="bottom"/>
            <w:gridSpan w:val="3"/>
            <w:vMerge w:val="continue"/>
          </w:tcPr>
          <w:p>
            <w:pPr>
              <w:spacing w:after="0"/>
              <w:rPr>
                <w:sz w:val="13"/>
                <w:szCs w:val="13"/>
                <w:color w:val="auto"/>
              </w:rPr>
            </w:pPr>
          </w:p>
        </w:tc>
        <w:tc>
          <w:tcPr>
            <w:tcW w:w="314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6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Houston, TX</w:t>
            </w:r>
          </w:p>
        </w:tc>
        <w:tc>
          <w:tcPr>
            <w:tcW w:w="574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Corporate office and manufacturing facility</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428,515</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Houston, TX</w:t>
            </w:r>
          </w:p>
        </w:tc>
        <w:tc>
          <w:tcPr>
            <w:tcW w:w="574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290,554</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Houston, TX</w:t>
            </w:r>
          </w:p>
        </w:tc>
        <w:tc>
          <w:tcPr>
            <w:tcW w:w="574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fabrication facility and yard</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82,320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North Canton, OH</w:t>
            </w:r>
          </w:p>
        </w:tc>
        <w:tc>
          <w:tcPr>
            <w:tcW w:w="574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115,200</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Northlake, IL</w:t>
            </w:r>
          </w:p>
        </w:tc>
        <w:tc>
          <w:tcPr>
            <w:tcW w:w="574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103,500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Bradford, U.K.</w:t>
            </w:r>
          </w:p>
        </w:tc>
        <w:tc>
          <w:tcPr>
            <w:tcW w:w="574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129,200</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Acheson, Alberta, Canada</w:t>
            </w:r>
          </w:p>
        </w:tc>
        <w:tc>
          <w:tcPr>
            <w:tcW w:w="574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330,168</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4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Market (NASDAQ) under the symbol “POWL.”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 2019, the closing price of our common stock on the NASDAQ was $41.07 per share. As of December 2, 2019, there were 261 stockholders of record of our common stock. All common stock held in street names is recorded in the Company’s stock register as being held by one stockholder.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III, Item 12. Security Ownership of Certain Beneficial Owners and Management and Related Stockholder Matters” of this Annual Report for information regarding securities authorized for issuance under our equity compensation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anticipates declaring cash dividends in future quarters; however, there is no assurance as to future dividends or their amounts because they depend on future earnings, capital requirements, financial condition and debt covenants.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6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graph compares, for the period from October 1, 2014 to September 30, 2019, the cumulative stockholder return on our common stock with the cumulative total return on the NASDAQ Market Index, the new Industrial Electrical Equipment Group (a select group of peer companies – Altra Industrial Motion Corp.; Ameresco, Inc.; AZZ Inc.; Belden Inc.; Daktronics Inc.; EnerSys; Franklin Electric Co, Inc.; Littelfuse Inc.; LSI Industries Inc.; McDermott International, Inc.; Preformed Line Products; A O Smith Corporation; Thermon Group Holdings and Woodward, Inc.) and the old Industrial Electrical Equipment Group (Altra Industrial Motion Corp.; Ameresco, Inc.; AZZ Inc.; Belden Inc.; Daktronics Inc.; Electro Scientific Industries, Inc.; EnerSys; Franklin Electric Co, Inc.; Littelfuse Inc.; LSI Industries Inc.; Preformed Line Products; A O Smith Corporation and Woodward, Inc.). The comparison assumes that $100 was invested on October 1, 2014, in our common stock, the NASDAQ Market Index and each of the new and old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132080</wp:posOffset>
            </wp:positionV>
            <wp:extent cx="5848985" cy="3138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87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selected financial data shown below for the past five years was derived from our audited financial statements, adjusted for discontinuing operations. The historical results are not necessarily indicative of the operating results to be expected in the future. The selected financial data should be read in conjunction with “Part II, Item 7. Management’s Discussion and Analysis of Financial Condition and Results of Operations” and the consolidated financial statements and related notes included elsewhere in this Annual Report.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30"/>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517,180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448,716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661,858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430,204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383,361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345,142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459,038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553,597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86,976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106,205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108,261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66,768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74,924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76,801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proceeds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separation and other expenses, net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20,648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22,991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provision (benefit)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13,552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9,890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15,510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9" w:lineRule="exact"/>
        <w:rPr>
          <w:sz w:val="20"/>
          <w:szCs w:val="20"/>
          <w:color w:val="auto"/>
        </w:rPr>
      </w:pPr>
    </w:p>
    <w:p>
      <w:pPr>
        <w:ind w:firstLine="8"/>
        <w:spacing w:after="0"/>
        <w:tabs>
          <w:tab w:leader="none" w:pos="17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For an explanation of the effective tax rate for the last three fiscal years, see Note I of the Notes to Consolidated Financial Statements included elsewhere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-149860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2"/>
        </w:trPr>
        <w:tc>
          <w:tcPr>
            <w:tcW w:w="5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0"/>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Cash, cash equivalents and short-term investments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124,681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49,754</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95,188</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97,720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43,569</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120,812</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128,764</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139,420</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144,977</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154,594</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467,411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429,951</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414,986</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462,516</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468,824</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maturities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1,600</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2,400</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2,800</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299,153</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301,644</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321,296</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335,317</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333,262</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467,411</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429,951</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414,986</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462,516</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468,824</w:t>
            </w:r>
          </w:p>
        </w:tc>
      </w:tr>
      <w:tr>
        <w:trPr>
          <w:trHeight w:val="270"/>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11,998</w:t>
            </w:r>
          </w:p>
        </w:tc>
        <w:tc>
          <w:tcPr>
            <w:tcW w:w="32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11,916</w:t>
            </w: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11,875</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11,845</w:t>
            </w:r>
          </w:p>
        </w:tc>
        <w:tc>
          <w:tcPr>
            <w:tcW w:w="3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72"/>
        <w:spacing w:after="0" w:line="230"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Excludes current and non-current restricted cash totaling $25.1 million and $24.9 million as of September 30, 2018 and 2017, respectively.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2"/>
        </w:trPr>
        <w:tc>
          <w:tcPr>
            <w:tcW w:w="5820" w:type="dxa"/>
            <w:vAlign w:val="bottom"/>
          </w:tcPr>
          <w:p>
            <w:pPr>
              <w:spacing w:after="0"/>
              <w:rPr>
                <w:sz w:val="22"/>
                <w:szCs w:val="22"/>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0"/>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419,012</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260,900</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250,123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291,354</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441,437</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orders</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676,051</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458,884</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355,064</w:t>
            </w:r>
          </w:p>
        </w:tc>
        <w:tc>
          <w:tcPr>
            <w:tcW w:w="36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417,510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606,754</w:t>
            </w: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49"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twelve months ended September 30, 2019 compared to the twelve months ended September 30, 2018 should be read in conjunction with the accompanying consolidated financial statements and related notes. We have elected to omit discussion on the earliest of the three years covered by the consolidated financial statements presented. Refer to Item 7. Management's Discussion and Analysis of Financial Condition and Results of Operations and Liquidity and Capital Resources located in our Form 10-K for the fiscal year ended September 30, 2018, filed on December 12, 2018, for reference to discussion of the fiscal year ended September 30, 2017, the earliest of the three fiscal years presented.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Risk Factors” and “Part I, Item 1A. Risk Factors,” included elsewhere in this Annual Report.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and light traction power.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significant decline in oil and gas prices from peak 2014 levels, many of our customers reduced their capital budgets and cut costs, and in certain instances delayed or canceled projects that we were pursuing. This decline in projects negatively impacted our results in Fiscal 2018. However, customers have begun to invest in projects in our key oil and gas and petrochemical markets, and this shift has had a favorable impact on our orders and backlog over recent quarters, resulting in increased revenues in Fiscal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September 30, 2019 Compared to Twelve Months Ended September 30,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Gross Profit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by 15%, or $68.5 million, to $517.2 million in Fiscal 2019, primarily due to improved market conditions, primarily in our oil and gas markets over the past few quarters. Domestic revenues increased by 22%, or $72.8 million, to $405.0 million in Fiscal 2019. International revenues decreased by 4% to $112.1 million in Fiscal 2019, primarily due to a slight decrease in export projects from our domestic facilities. Our international revenues include both revenues generated from our international facilities as well as revenues from export projects generated at our domestic facilities.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and industrial revenue increased by 21%, or $69.0 million, to $394.2 million in Fiscal 2019, driven by the strength across the core oil and gas and petrochemical end markets. Public and private utilities revenue decreased by 5%, or $4.0 million, to $85.0 million in Fiscal 2019, as we completed various large domestic utility projects in the backlog in Fiscal 2018. Municipal and transit revenue increased by 10%, or $3.5 million, to $38.0 million in Fiscal 2019, primarily from project timing and product mix of projects for some of our key municipal customers.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33%, or $21.6 million, to $87.0 million in Fiscal 2019. Gross profit as a percentage of revenues increased to 17% in Fiscal 2019, compared to 15% in Fiscal 2018, due to improved market conditions and efficiencies from increased volume in our domestic and Canadian manufacturing facilities.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65"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5%, or $3.2 million, to $70.0 million in Fiscal 2019, primarily due to increased personnel costs associated with increased project volume. Selling, general and administrative expenses, as a percentage of revenues, decreased to 14% in Fiscal 2019 compared to 15% in Fiscal 2018, primarily due to the increase in revenues and our continued focus on our cost structure.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Proceeds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2019, we settled a 2017 business interruption insurance claim relating to Hurricane Harvey and received proceeds of $1.0 million, which is included within operating income.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Separation and Other Expenses,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2019, we recorded additional lease expense of $0.7 million related to certain unused facility leases in Canada. We also recorded income from a recovery of $0.7 million in Fiscal 2019 as a result of a favorable settlement of a claim related to the divestiture of a subsidiary in Fiscal 2014. In Fiscal 2018, we incurred $0.8 million of restructuring expense related to anticipated losses on the sublet of a Canadian facility that we exited in a prior period.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record other income in Fiscal 2019. In Fiscal 2018, we recorded the final $0.5 million amortization of the deferred gain from the amended supply agreement (see Note F of the Notes to Consolidated Financial Statements), as well as a $0.2 million gain from the settlement of a Company-owned life insurance policy.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Provision/Benefit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income tax provision of $2.4 million in Fiscal 2019, compared to an income tax benefit of $0.5 million in Fiscal 2018. The effective tax rate for Fiscal 2019 was 20% compared to an effective tax rate of 7% for Fiscal 2018. For Fiscal 2019, the effective tax rate approximated the U.S. federal statutory rate due to the benefit of the utilization of net operating loss carryforwards in Canada that were fully reserved with a valuation allowance and the benefit from Research and Development Tax Credit (R&amp;D Tax Credit). These tax benefits were largely offset by state income tax expense and other non-deductible costs. Due to the loss position in Fiscal 2018, the effective tax rate was negatively impacted by foreign tax losses for which no tax benefit was recognized and tax expense of $0.5 million due to the re-measurement of U.S. deferred tax assets as a result of tax reform.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Income/Loss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2019, net income of $9.9 million, or $0.85 per diluted share, improved from a net loss of $7.2 million, or $0.62 per diluted share in Fiscal 2018, primarily due to improved market conditions and efficiencies from increased volume in our domestic and Canadian manufacturing facilities.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order backlog at September 30, 2019 was $419.0 million, a 61% increase from the $260.9 million at September 30, 2018, primarily due to increased demand in our core oil and gas and petrochemical markets. New orders increased by 47% in Fiscal 2019 to $676.1 million, compared to $458.9 million in Fiscal 2018, primarily due to improved market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portion of our revenues has historically been from the oil, gas and petrochemical markets. Oil and gas commodity price levels have been unstable over the last several years, and our customers delayed some of their major capital investment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821" w:right="2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projects. Commodity prices have stabilized, and customers continue to invest in projects in our key oil and gas and petrochemical markets, and this shift in market sentiment has had a favorable impact on our orders and backlog over recent quarters.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have been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The increased orders in Fiscal 2018 and 2019 have led to improvement in revenues and operating results that we anticipate will continue into Fiscal 2020. We continue to focus on maintaining our cash position, improving efficiencies in production and investing in future business opportunities. We continue to monitor the factors that drive our markets and will continue to strive to maintain our leadership and competitive advantage in the markets we serve while aligning our cost structures with market conditions.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current assets exceeded current liabilities by 2.1 times, and our debt to total capitalization was 0.40%.</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$124.7 million at September 30, 2019, compared to $49.8 million at September 30, 2018. We also had restricted cash held in a pledged collateral account related to our prior credit agreement of $25.1 million at September 30, 2018. Our increase in project volume typically requires cash to fund operations. We believe that our strong working capital position, available borrowings under our credit facility and available cash and short-term investments should be sufficient to finance future operating activities, capital improvements, research and development initiatives and debt repayments for the foreseeable future.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27, 2019, we entered into an Amended and Restated Credit Agreement with Bank of America, N.A. (the "U.S. Revolver") which replaced our prior credit agreement. The U.S. Revolver is a $75.0 million revolving credit facility, which is available for both borrowings and letters of credit. As of September 30, 2019, there were no amounts borrowed under this facility, and letters of credit outstanding were $13.4 million. As of September 30, 2019, $61.6 million was available for the issuance of letters of credit and borrowing under the U.S. Revolver. Total long-term debt, including current maturities, totaled $1.2 million at September 30, 2019 related to outstanding industrial development revenue bonds. For further information regarding our debt, see Notes G and H of Notes to Consolidated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$21.7 million of our cash and short-term investments at September 30, 2019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may incur additional tax expense upon such repatriation.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$68.8 million in Fiscal 2019 and used net cash of $28.5 million in Fiscal 2018. Cash flow from operations is primarily influenced by project volume, the timing of milestone payments from our customers and the payment terms with our suppliers. The increase in operating cash flows during Fiscal 2019 was primarily due to the completion and cash collection of contractual billing milestones, the collection of accounts receivable and the receipt of a $6.6 million income tax refund.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provided $3.0 million during Fiscal 2019 compared to $10.4 million in Fiscal 2018. The decrease in cash provided by investing activities in Fiscal 2019 was primarily due to a decrease in the net maturities of short-term investments to $7.2 million in Fiscal 2019, compared to $13.0 million in Fiscal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purchases of property, plant and equipment during Fiscal 2019 totaled $4.3 million compared to $4.4 million in Fiscal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69"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$13.9 million in Fiscal 2019 and $13.0 million in Fiscal 2018, which primarily consisted of approximately $12 million of dividends paid in each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2019, our long-term contractual obligations were limited to debt and leases. The table below details our commitments by type of obligation, including interest if applicable, and the period that the payment will become due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8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Operating Lease</w:t>
            </w:r>
          </w:p>
        </w:tc>
        <w:tc>
          <w:tcPr>
            <w:tcW w:w="400" w:type="dxa"/>
            <w:vAlign w:val="bottom"/>
          </w:tcPr>
          <w:p>
            <w:pPr>
              <w:spacing w:after="0"/>
              <w:rPr>
                <w:sz w:val="14"/>
                <w:szCs w:val="14"/>
                <w:color w:val="auto"/>
              </w:rPr>
            </w:pPr>
          </w:p>
        </w:tc>
        <w:tc>
          <w:tcPr>
            <w:tcW w:w="130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80" w:type="dxa"/>
            <w:vAlign w:val="bottom"/>
          </w:tcPr>
          <w:p>
            <w:pPr>
              <w:spacing w:after="0"/>
              <w:rPr>
                <w:sz w:val="16"/>
                <w:szCs w:val="16"/>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8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than 1 year</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2,164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 to 3 years</w:t>
            </w:r>
          </w:p>
        </w:tc>
        <w:tc>
          <w:tcPr>
            <w:tcW w:w="2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to 5 years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More than 5 years</w:t>
            </w:r>
          </w:p>
        </w:tc>
        <w:tc>
          <w:tcPr>
            <w:tcW w:w="2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6,097</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the total unrecognized tax benefit related to uncertain tax positions was $2.7 million. We estimate that none of this will be paid within the next 12 months. However, we believe that it is reasonably possible that within the next 12 months, the total unrecognized tax benefits will decrease by approximately $0.9 million due to the expiration of certain statutes of limitations and voluntary filings. We are unable to make reasonably reliable estimates regarding the timing of future cash outflows, if any, associated with the remaining unrecognized tax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contingently liable for letters of credit and bank guarantees totaling $19.0 million as of September 30, 2019, with the following potential cash outflows in the event that we are unable to perform under our contracts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Pr>
          <w:p>
            <w:pPr>
              <w:spacing w:after="0"/>
              <w:rPr>
                <w:sz w:val="13"/>
                <w:szCs w:val="13"/>
                <w:color w:val="auto"/>
              </w:rPr>
            </w:pPr>
          </w:p>
        </w:tc>
        <w:tc>
          <w:tcPr>
            <w:tcW w:w="16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Letters of</w:t>
            </w:r>
          </w:p>
        </w:tc>
        <w:tc>
          <w:tcPr>
            <w:tcW w:w="0" w:type="dxa"/>
            <w:vAlign w:val="bottom"/>
          </w:tcPr>
          <w:p>
            <w:pPr>
              <w:spacing w:after="0"/>
              <w:rPr>
                <w:sz w:val="1"/>
                <w:szCs w:val="1"/>
                <w:color w:val="auto"/>
              </w:rPr>
            </w:pPr>
          </w:p>
        </w:tc>
      </w:tr>
      <w:tr>
        <w:trPr>
          <w:trHeight w:val="160"/>
        </w:trPr>
        <w:tc>
          <w:tcPr>
            <w:tcW w:w="96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right"/>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Credit/Bank Guarantees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8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than 1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9,728</w:t>
            </w:r>
          </w:p>
        </w:tc>
        <w:tc>
          <w:tcPr>
            <w:tcW w:w="0" w:type="dxa"/>
            <w:vAlign w:val="bottom"/>
          </w:tcPr>
          <w:p>
            <w:pPr>
              <w:spacing w:after="0"/>
              <w:rPr>
                <w:sz w:val="1"/>
                <w:szCs w:val="1"/>
                <w:color w:val="auto"/>
              </w:rPr>
            </w:pPr>
          </w:p>
        </w:tc>
      </w:tr>
      <w:tr>
        <w:trPr>
          <w:trHeight w:val="243"/>
        </w:trPr>
        <w:tc>
          <w:tcPr>
            <w:tcW w:w="9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 to 3 years</w:t>
            </w:r>
          </w:p>
        </w:tc>
        <w:tc>
          <w:tcPr>
            <w:tcW w:w="1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8,530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More than 3 years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57"/>
        </w:trPr>
        <w:tc>
          <w:tcPr>
            <w:tcW w:w="9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long-term commercial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19,042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had performance and maintenance bonds totaling $170.5 million that were outstanding at September 30, 2019. Performance and maintenance bonds are primarily used to guarantee our contract performance to our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off-balance sheet arrangements during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inflation, which can cause increases in our costs of raw materials, primarily copper, aluminum and steel. Fixed-price contracts can limit our ability to pass these increases to our customers, thus negatively impacting our earnings. Inflation in commodity prices could potentially impact our operations in future years.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7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requires management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policies and estimates to be critical in the preparation and reporting of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2018, we adopted the new revenue recognition standard using the modified retrospective transition method. We applied the guidance in the standard to customer contracts that were not substantially complete at that time, and we determined that no adjustment to retained earnings was necessary. Financial results for reporting periods after October 1, 2018 are reported under the new standard; however, financial results for prior periods were not adjusted and continue to be presented in accordance with the previous standard.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94% of revenues for Fiscal 2019.</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of revenues for Fiscal 2019.</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the time the performance obligation is fulfilled.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generally include a standard assurance warranty that typically ends 18 months after shipment. Occasionally, we provide service-type warranties that will extend the warranty period. These extended warranties qualify as separate performance obligations, and revenue is deferred and recognized over the warranty period. If we determine during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873" w:right="2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September 30, 2019, we had backlog of $419.0 million, of which approximately $345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2019 and Fiscal 2018, our operating results were positively impacted by $5.1 million and $3.9 million, respectively, as a result of changes in contract estimates related to projects in progress at the beginning of the respective period. These changes in estimates resulted primarily from favorable project execution and negotiations of variable consideration as well as other changes in facts and circumstances during these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and continually assess the adequacy of an allowance for doubtful accounts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However, future changes in our customers’ operating performance and cash flows, or in general economic conditions, could have an impact on their ability to fully pay these amounts, which, among other things, could have a material adverse impact on our operating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long-lived assets and other intangibles and periodically review these estimates to determine whether these lives are appropriate.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for Contingent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 each contingent liability, including estimated legal costs, in evaluating the amount of liability that should be recorded. Actual results could differ from our estimates.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for estimated warranty costs with the recognition of revenue based upon historical rates applicable to individual product lines. In addition, specific provisions are made when the costs of such warranties are expected to exceed accruals. Our standard terms and conditions of sale include a warranty for parts and service for the earlier of 18 months from the date of shipment or 12 months from the date of energization, whichever occurs first. Occasionally projects require warranty terms that are longer than our standard terms due to the nature of the project. Extended warranty terms may be negotiated and included in our contracts. We use past experience and historical claims to determine the estimated liability. Actual results could differ from our estimate.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position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I of Notes to Consolidated Financial Statements for disclosures related to the valuation allowance recorded in relation to foreign deferred taxes.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our foreign operating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liquid natural gas terminals, as well as petrochemical, electric utility and light traction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873" w:right="2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power. We maintain ongoing discussions with customers regarding contract status with respect to payment status, change orders and billing terms in an effort to monitor collections of amounts billed.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Fiscal 2019, our realized foreign exchange gain was $0.4 million and is included in selling, general and administrative expenses in the Consolidated Statements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$24.5 million as of September 30, 2019, an increase of $2.8 million compared to September 30, 2018. This increase in comprehensive loss was primarily a result of fluctuations in the currency exchange rates for the Canadian Dollar and British Pound Sterling as we remeasured the foreign operations of those divisions.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Borders>
              <w:bottom w:val="single" w:sz="8" w:color="auto"/>
            </w:tcBorders>
          </w:tcPr>
          <w:p>
            <w:pPr>
              <w:spacing w:after="0"/>
              <w:rPr>
                <w:sz w:val="16"/>
                <w:szCs w:val="16"/>
                <w:color w:val="auto"/>
              </w:rPr>
            </w:pPr>
          </w:p>
        </w:tc>
        <w:tc>
          <w:tcPr>
            <w:tcW w:w="106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2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2"/>
        </w:trPr>
        <w:tc>
          <w:tcPr>
            <w:tcW w:w="60" w:type="dxa"/>
            <w:vAlign w:val="bottom"/>
          </w:tcPr>
          <w:p>
            <w:pPr>
              <w:spacing w:after="0"/>
              <w:rPr>
                <w:sz w:val="21"/>
                <w:szCs w:val="21"/>
                <w:color w:val="auto"/>
              </w:rPr>
            </w:pPr>
          </w:p>
        </w:tc>
        <w:tc>
          <w:tcPr>
            <w:tcW w:w="10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4200" w:type="dxa"/>
            <w:vAlign w:val="bottom"/>
            <w:gridSpan w:val="2"/>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Report of Independent Registered Public Accounting Firm</w:t>
              </w:r>
            </w:hyperlink>
          </w:p>
        </w:tc>
        <w:tc>
          <w:tcPr>
            <w:tcW w:w="6600" w:type="dxa"/>
            <w:vAlign w:val="bottom"/>
            <w:gridSpan w:val="7"/>
          </w:tcPr>
          <w:p>
            <w:pPr>
              <w:spacing w:after="0"/>
              <w:rPr>
                <w:sz w:val="19"/>
                <w:szCs w:val="19"/>
                <w:color w:val="auto"/>
              </w:rPr>
            </w:pPr>
          </w:p>
        </w:tc>
        <w:tc>
          <w:tcPr>
            <w:tcW w:w="5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27</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660" w:type="dxa"/>
            <w:vAlign w:val="bottom"/>
            <w:gridSpan w:val="3"/>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Consolidated Balance Sheets as of September 30, 2019 and 2018</w:t>
              </w:r>
            </w:hyperlink>
          </w:p>
        </w:tc>
        <w:tc>
          <w:tcPr>
            <w:tcW w:w="6140" w:type="dxa"/>
            <w:vAlign w:val="bottom"/>
            <w:gridSpan w:val="6"/>
          </w:tcPr>
          <w:p>
            <w:pPr>
              <w:spacing w:after="0"/>
              <w:rPr>
                <w:sz w:val="21"/>
                <w:szCs w:val="21"/>
                <w:color w:val="auto"/>
              </w:rPr>
            </w:pPr>
          </w:p>
        </w:tc>
        <w:tc>
          <w:tcPr>
            <w:tcW w:w="5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920" w:type="dxa"/>
            <w:vAlign w:val="bottom"/>
            <w:gridSpan w:val="4"/>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Consolidated Statements of Operations for the Years Ended September 30, 2019, 2018 and 2017</w:t>
              </w:r>
            </w:hyperlink>
          </w:p>
        </w:tc>
        <w:tc>
          <w:tcPr>
            <w:tcW w:w="3880" w:type="dxa"/>
            <w:vAlign w:val="bottom"/>
            <w:gridSpan w:val="5"/>
          </w:tcPr>
          <w:p>
            <w:pPr>
              <w:spacing w:after="0"/>
              <w:rPr>
                <w:sz w:val="21"/>
                <w:szCs w:val="21"/>
                <w:color w:val="auto"/>
              </w:rPr>
            </w:pPr>
          </w:p>
        </w:tc>
        <w:tc>
          <w:tcPr>
            <w:tcW w:w="5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30</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800" w:type="dxa"/>
            <w:vAlign w:val="bottom"/>
            <w:gridSpan w:val="9"/>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Consolidated Statements of Comprehensive Income (Loss) for the Years Ended September 30, 2019, 2018 and 2017</w:t>
              </w:r>
            </w:hyperlink>
          </w:p>
        </w:tc>
        <w:tc>
          <w:tcPr>
            <w:tcW w:w="5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340" w:type="dxa"/>
            <w:vAlign w:val="bottom"/>
            <w:gridSpan w:val="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Consolidated Statements of Stockholders’ Equity for the Years Ended September 30, 2019, 2018 and 2017</w:t>
              </w:r>
            </w:hyperlink>
          </w:p>
        </w:tc>
        <w:tc>
          <w:tcPr>
            <w:tcW w:w="2460" w:type="dxa"/>
            <w:vAlign w:val="bottom"/>
            <w:gridSpan w:val="2"/>
          </w:tcPr>
          <w:p>
            <w:pPr>
              <w:spacing w:after="0"/>
              <w:rPr>
                <w:sz w:val="21"/>
                <w:szCs w:val="21"/>
                <w:color w:val="auto"/>
              </w:rPr>
            </w:pPr>
          </w:p>
        </w:tc>
        <w:tc>
          <w:tcPr>
            <w:tcW w:w="5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40" w:type="dxa"/>
            <w:vAlign w:val="bottom"/>
            <w:gridSpan w:val="6"/>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Consolidated Statements of Cash Flows for the Years Ended September 30, 2019, 2018 and 2017</w:t>
              </w:r>
            </w:hyperlink>
          </w:p>
        </w:tc>
        <w:tc>
          <w:tcPr>
            <w:tcW w:w="3160" w:type="dxa"/>
            <w:vAlign w:val="bottom"/>
            <w:gridSpan w:val="3"/>
          </w:tcPr>
          <w:p>
            <w:pPr>
              <w:spacing w:after="0"/>
              <w:rPr>
                <w:sz w:val="21"/>
                <w:szCs w:val="21"/>
                <w:color w:val="auto"/>
              </w:rPr>
            </w:pPr>
          </w:p>
        </w:tc>
        <w:tc>
          <w:tcPr>
            <w:tcW w:w="5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960" w:type="dxa"/>
            <w:vAlign w:val="bottom"/>
            <w:gridSpan w:val="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Notes to Consolidated Financial Statements</w:t>
              </w:r>
            </w:hyperlink>
          </w:p>
        </w:tc>
        <w:tc>
          <w:tcPr>
            <w:tcW w:w="384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480"/>
        </w:trPr>
        <w:tc>
          <w:tcPr>
            <w:tcW w:w="6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80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Powell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Powell Industries, Inc. and its subsidiaries (the “Company”) as of September 30, 2019 and 2018, and the related consolidated statements of operations, of comprehensive income (loss), of stockholders’ equity and of cash flows for each of the three years in the period ended September 30, 2019, including the related notes (collectively referred to as the “consolidated financial statements”). We also have audited the Company's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September 30, 2019 and 2018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September 30, 2019 in conformity with accounting principles generally accepted in the United States of America. Also in our opinion, the Company maintained, in all material respects, effective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49" w:right="2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53"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120" w:type="dxa"/>
            <w:vAlign w:val="bottom"/>
            <w:tcBorders>
              <w:bottom w:val="single" w:sz="8" w:color="CCEEFF"/>
            </w:tcBorders>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36,584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19,154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$301 and $157</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112,093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92,548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Contract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82,545</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21,352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328,568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276,662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120,812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128,764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11,577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11,087</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467,411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429,951</w:t>
            </w:r>
          </w:p>
        </w:tc>
      </w:tr>
      <w:tr>
        <w:trPr>
          <w:trHeight w:val="67"/>
        </w:trPr>
        <w:tc>
          <w:tcPr>
            <w:tcW w:w="8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40,714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43,174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22,274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product warranty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7,786</w:t>
            </w: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157,896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117,849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(Note J)</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3,356</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168,258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128,307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par value $.01; 5,000,000 shares authorized; none issued</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par value $.01; 30,000,000 shares authorized; 12,372,766 and 12,280,556 shares issued,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56,769</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289,422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291,530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806,018 shares at cost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299,153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301,644</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467,411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429,951</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54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49" w:right="2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1"/>
        </w:trPr>
        <w:tc>
          <w:tcPr>
            <w:tcW w:w="64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3"/>
        </w:trPr>
        <w:tc>
          <w:tcPr>
            <w:tcW w:w="6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51"/>
        </w:trPr>
        <w:tc>
          <w:tcPr>
            <w:tcW w:w="64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517,180</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395,911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430,204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383,361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345,142</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86,976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50,769</w:t>
            </w:r>
          </w:p>
        </w:tc>
      </w:tr>
      <w:tr>
        <w:trPr>
          <w:trHeight w:val="297"/>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69,950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61,524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6,906</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proceeds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separation and other expenses, net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1,322</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(Note F)</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9,890</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6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51"/>
        </w:trPr>
        <w:tc>
          <w:tcPr>
            <w:tcW w:w="6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0.85</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11,453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11,453</w:t>
            </w: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Dividends per share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49" w:right="239" w:bottom="1440" w:gutter="0" w:footer="0" w:header="0"/>
        </w:sectPr>
      </w:pPr>
    </w:p>
    <w:bookmarkStart w:id="30" w:name="page31"/>
    <w:bookmarkEnd w:id="30"/>
    <w:p>
      <w:pPr>
        <w:ind w:left="36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60" w:type="dxa"/>
            <w:vAlign w:val="bottom"/>
          </w:tcPr>
          <w:p>
            <w:pPr>
              <w:spacing w:after="0"/>
              <w:rPr>
                <w:sz w:val="16"/>
                <w:szCs w:val="16"/>
                <w:color w:val="auto"/>
              </w:rPr>
            </w:pPr>
          </w:p>
        </w:tc>
      </w:tr>
      <w:tr>
        <w:trPr>
          <w:trHeight w:val="51"/>
        </w:trPr>
        <w:tc>
          <w:tcPr>
            <w:tcW w:w="77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9"/>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96"/>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Postretirement benefit adjustment, net of tax</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7,122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49" w:right="239" w:bottom="1440" w:gutter="0" w:footer="0" w:header="0"/>
        </w:sectPr>
      </w:pPr>
    </w:p>
    <w:bookmarkStart w:id="31" w:name="page32"/>
    <w:bookmarkEnd w:id="31"/>
    <w:p>
      <w:pPr>
        <w:ind w:left="36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8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78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Income/(Loss)</w:t>
            </w:r>
          </w:p>
        </w:tc>
        <w:tc>
          <w:tcPr>
            <w:tcW w:w="14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September 30, 2016</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12,199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52,003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331,959</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335,317</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4,822</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2,724</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(11,875)</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(11,875)</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Postretirement benefit adjustment, net of tax of $103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55"/>
        </w:trPr>
        <w:tc>
          <w:tcPr>
            <w:tcW w:w="3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September 30, 2017</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12,234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54,329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310,598</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321,296</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Postretirement benefit adjustment, net of tax of $20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55"/>
        </w:trPr>
        <w:tc>
          <w:tcPr>
            <w:tcW w:w="3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September 30, 2018</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12,281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56,769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291,530</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301,644</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9,890</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9,890</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3,839</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(11,998)</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(11,998)</w:t>
            </w:r>
          </w:p>
        </w:tc>
        <w:tc>
          <w:tcPr>
            <w:tcW w:w="0" w:type="dxa"/>
            <w:vAlign w:val="bottom"/>
          </w:tcPr>
          <w:p>
            <w:pPr>
              <w:spacing w:after="0"/>
              <w:rPr>
                <w:sz w:val="1"/>
                <w:szCs w:val="1"/>
                <w:color w:val="auto"/>
              </w:rPr>
            </w:pPr>
          </w:p>
        </w:tc>
      </w:tr>
      <w:tr>
        <w:trPr>
          <w:trHeight w:val="265"/>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Postretirement benefit adjustment, net of tax of $7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42"/>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September 30, 2019</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289,422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299,153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49" w:right="239" w:bottom="1440" w:gutter="0" w:footer="0" w:header="0"/>
        </w:sectPr>
      </w:pPr>
    </w:p>
    <w:bookmarkStart w:id="32" w:name="page33"/>
    <w:bookmarkEnd w:id="32"/>
    <w:p>
      <w:pPr>
        <w:ind w:left="36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9,890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12,755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2,724</w:t>
            </w: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Bad debt expense (recovery)</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Gain on amended supply agreement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Gain on cash surrender value of life insurance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received from amended supply agreement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47,983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Contract assets and liabilities,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55,333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w:t>
            </w: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8,213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17"/>
        </w:trPr>
        <w:tc>
          <w:tcPr>
            <w:tcW w:w="77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68,759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36,815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33,189</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Purchases of property, plant and equipment,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life insurance policy</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7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2,964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10,433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on industrial development revenue bonds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Shares withheld in lieu of employee tax withholding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(11,875)</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1,801</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61,725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93,210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97,720</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118,639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93,210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49"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and bus duct systems. These products are designed for application voltages ranging from 480 volts to 38,000 volts and are used in oil and gas refining, onshore and offshore oil and gas production, petrochemical, liquid natural gas terminals, pipeline, terminal, mining and metals, light rail traction power, electric utility, pulp and paper and other heavy industrial markets. Our product scope includes designs tested to meet both U.S. and international standards, under both the American National Standards Institute (ANSI) and International Electrotechnical Commission.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2019, Fiscal 2018 and Fiscal 2017 used throughout these Notes to Consolidated Financial Statements relate to our fiscal years ended September 30, 2019, 2018 and 2017,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Powell and our wholly 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financial statements affect revenue recognition and estimated cost recognition on our customer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49" w:right="239" w:bottom="1440" w:gutter="0" w:footer="0" w:header="0"/>
        </w:sectPr>
      </w:pPr>
    </w:p>
    <w:bookmarkStart w:id="34" w:name="page35"/>
    <w:bookmarkEnd w:id="3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Restricted cash included cash and cash equivalents that were unavailable for withdrawal or usage for general obligations and represented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pledged cash collateral balance that was required under our prior credit agreement and was held in an interest-bearing savings account. See Note G for further discussion on restricted cash.</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 (in thousands):</w:t>
      </w:r>
    </w:p>
    <w:p>
      <w:pPr>
        <w:spacing w:after="0" w:line="182"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24765</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paid, net of interest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634</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include cash, cash equivalents, short-term investments, restricted cash, receivables, deferred compensation, payables and debt obligations. Except as described below, due to the short-term nature of account receivables and account payables, the book value is representative of their fair value. The carrying value of debt approximates fair value as interest rates are indexed to the Federal Funds Rate or the bank’s prime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4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Accounts receivable are stated net of allowances for doubtful accounts. We maintain and continually assess the adequacy of the allowance for doubtful accounts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 receivables are not collateralized. However, we utilize letters of credit to secure payment on projects when possible. As of September 30, 2019 and 2018, accounts receivable included retention amounts of $5.6 million and $4.2 million, respectively. Retention amounts are in accordance with applicable provisions of contracts and become due upon completion of contractual requirements. Of the retained amount at September 30, 2019, $4.9 million is expected to be collected in the next twelve months and is recorded in accounts receivable. The remaining $0.7 million is recorded in other assets and is expected to be collected in Fiscal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previously referred to as costs and estimated earnings in excess of billings on uncompleted contracts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Contract liabilities, previously referred to as billings in excess of costs and estimated earnings on uncompleted contracts,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weighted-average methods and include the cost of materials, labor and manufacturing overhead. We use estimates in determining the level of reserves required to state inventory at the lower of cost or net realizable value. Our estimates are based on market activity levels, production requirements, the physical condition of products and technological innovation. Changes in any of these factors may result in adjustments to the carrying value of inventory.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67"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property, plant and equipment and periodically review these estimates to determine whether these lives are appropriate.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that may last from one month to several years, depending on the contract. 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73" w:right="2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time in each reporting period corresponding to the amount with which we have the right to invoice. Our performance obligations are satisfied as the work progresses.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a point in time when we fulfill our performance obligation to the customer, which is typically upon shipment.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for estimated warranty costs with the recognition of revenue based upon historical rates applicable to individual product lines. In addition, specific provisions are made when the costs of such warranties are expected to exceed accruals. Our standard terms and conditions of sale include a warranty for parts and service for the earlier of 18 months from the date of shipment or 12 months from the date of energization, whichever occurs first. Occasionally projects require warranty terms that are longer than our standard terms due to the nature of the project. Extended warranty terms may be negotiated and included in our contracts. We use past experience and historical claims to determine the estimated liability. Actual results could differ from our estimate.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$6.3 million, $6.7 million and $6.9 million in Fiscal 2019, 2018 and 2017,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share-based compensation expense is recognized as income tax expense or benefit in the Consolidated Statement of Operations. Cash paid when directly withholding shares on an employee's behalf for tax withholding purposes is classified as a financing activity. We account for forfeitures as they occur, rather than estimate expected forfeitures.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Effective October 1, 2018, we adopted this standard using a modified retrospective basis. After evaluating the impact of this new standard on contracts outstanding as of October 1, 2018, we determined that no adjustment to retained earnings was necessary. See Note E for further discussion of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61" w:right="2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 new topic on leases that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which will be our fiscal year ending September 30, 2020. In Fiscal 2018, we acquired new lease software designed to assist in our compliance with this new topic. We anticipate recording right-of-use assets and lease liabilities in similar amounts of less than $10 million on our Consolidated Balance Sheets as of October 1, 2019, and do not anticipate a material adjustment to retained earnings will be necessary. We do not expect this topic to have a significant effect on our Consolidated Statements of Operations or Statements of Cash Flows.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 new topic on the statement of cash flows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We adopted this topic in Fiscal 2019, and our Consolidated Cash Flow Statements for all periods reflect this presentation.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2017, the FASB issued a new topic on modification accounting with regards to stock-based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We adopted this topic in Fiscal 2019, and it has not had a material impact on our Consolidated Balance Sheets or Statements of Operations.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11,453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 diluted shares with assumed conversions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11,507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11,453</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Earnings (loss)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September 30, 2018 and 2017, we incurred net losses; therefore, all potential common shares were deemed to be anti-dilutive.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5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 Detail of Selected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allowance for doubtful accounts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Uncollectible accounts written off, net of recoveries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24,563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Work-in-progress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29,202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21,352</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21,963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122,404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3 - 39 Years</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106,137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9"/>
              </w:rPr>
              <w:t>3 - 15 Years</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3 - 10 Years</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256,233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254,225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120,812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128,764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assets under capital lease as of September 30, 2019 or September 30, 2018. Depreciation expense was $11.9 million, $12.7 million and $12.4 million for fiscal years 2019, 2018, and 2017,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2,604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49" w:right="2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2018, we adopted the new revenue recognition standard using the modified retrospective transition method. We applied the guidance in the standard to customer contracts that were not substantially complete at that time and we determined that no adjustment to retained earnings was necessary. Financial results for reporting periods after October 1, 2018 are reported under the new standard; however, financial results for prior periods were not adjusted and will continue to be presented in accordance with the previous standard.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3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94% of revenues for the year ended September 30, 2019.</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of revenues for the year ended September 30, 2019.</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generally include a standard assurance warranty that typically ends 18 months after shipment.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38" w:right="239" w:bottom="1440" w:gutter="0" w:footer="0" w:header="0"/>
        </w:sectPr>
      </w:pPr>
    </w:p>
    <w:bookmarkStart w:id="40" w:name="page41"/>
    <w:bookmarkEnd w:id="40"/>
    <w:p>
      <w:pPr>
        <w:jc w:val="both"/>
        <w:spacing w:after="0" w:line="274"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September 30, 2019, we had backlog of $419.0 million, of which approximately $345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September 30, 2019 and 2018, our operating results were positively impacted by $5.1 million and $3.9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other changes in facts and circumstances during these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Modifications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costs and estimated earnings in excess of billings on uncompleted contracts (contract assets) and billings in excess of costs and estimated earnings on uncompleted contracts (contract liabilities) in our Consolidated Balance Sheet.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previously referred to as costs and estimated earnings in excess of billings on uncompleted contracts,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liabilities, previously referred to as billings in excess of costs and estimated earnings on uncompleted contracts,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75"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Contract assets and liabilities as of September 30, 2019 and September 30, 2018 are summarized below (in thousands):</w:t>
      </w:r>
    </w:p>
    <w:p>
      <w:pPr>
        <w:spacing w:after="0" w:line="367"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4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6"/>
                <w:szCs w:val="16"/>
                <w:color w:val="auto"/>
              </w:rPr>
            </w:pPr>
          </w:p>
        </w:tc>
      </w:tr>
      <w:tr>
        <w:trPr>
          <w:trHeight w:val="264"/>
        </w:trPr>
        <w:tc>
          <w:tcPr>
            <w:tcW w:w="74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55,374</w:t>
            </w:r>
          </w:p>
        </w:tc>
        <w:tc>
          <w:tcPr>
            <w:tcW w:w="200" w:type="dxa"/>
            <w:vAlign w:val="bottom"/>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82,545</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(71,464)</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(43,174)</w:t>
            </w:r>
          </w:p>
        </w:tc>
      </w:tr>
      <w:tr>
        <w:trPr>
          <w:trHeight w:val="27"/>
        </w:trPr>
        <w:tc>
          <w:tcPr>
            <w:tcW w:w="7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7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contract asset (liability)</w:t>
            </w:r>
          </w:p>
        </w:tc>
        <w:tc>
          <w:tcPr>
            <w:tcW w:w="98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(16,090)</w:t>
            </w:r>
          </w:p>
        </w:tc>
        <w:tc>
          <w:tcPr>
            <w:tcW w:w="200" w:type="dxa"/>
            <w:vAlign w:val="bottom"/>
          </w:tcPr>
          <w:p>
            <w:pPr>
              <w:spacing w:after="0"/>
              <w:rPr>
                <w:sz w:val="22"/>
                <w:szCs w:val="22"/>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39,371</w:t>
            </w:r>
          </w:p>
        </w:tc>
      </w:tr>
      <w:tr>
        <w:trPr>
          <w:trHeight w:val="20"/>
        </w:trPr>
        <w:tc>
          <w:tcPr>
            <w:tcW w:w="7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net contract asset to a contract liability at September 30, 2019 from September 30, 2018 was primarily due to our progress towards completion on our projects and the timing of contract billing milestones and new orders. To determine the amount of revenue recognized during the period from contract liabilities, we first allocate revenue to the individual contract liability balance outstanding at the beginning of the period until the revenue exceeds that balance. During the year ended September 30, 2019, we recognized revenue of approximately $39.5 million related to contract liabilities outstanding at September 30, 2018.</w:t>
      </w:r>
    </w:p>
    <w:p>
      <w:pPr>
        <w:spacing w:after="0" w:line="1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Consolidated Balance Sheets. Certain contracts contain retention provisions that become due upon completion of contractual requirements. As of September 30, 2019 and September 30, 2018, accounts receivable included retention amounts of $5.6 million and $4.2 million, respectively. Of the retained amount at September 30, 2019, $4.9 million is expected to be collected in the next twelve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year ended September 30, 2019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406,609</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64,326</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32,166</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11,405</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2,674</w:t>
            </w:r>
          </w:p>
        </w:tc>
      </w:tr>
      <w:tr>
        <w:trPr>
          <w:trHeight w:val="257"/>
        </w:trPr>
        <w:tc>
          <w:tcPr>
            <w:tcW w:w="9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517,180</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87"/>
        </w:trPr>
        <w:tc>
          <w:tcPr>
            <w:tcW w:w="96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gas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242,291</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Petrochemical</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93,391</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Electric utility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84,993</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Traction power</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26,781</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69,724</w:t>
            </w:r>
          </w:p>
        </w:tc>
      </w:tr>
      <w:tr>
        <w:trPr>
          <w:trHeight w:val="257"/>
        </w:trPr>
        <w:tc>
          <w:tcPr>
            <w:tcW w:w="9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517,180</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 and Intangible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intangible assets consist of goodwill of $1.0 million, which is not being amortized, and purchased technology of $0.3 million, which is amortized over its estimated useful life. No impairment expense has been recorded for the last three fiscal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6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Intangible assets balances, subject to amortization, at September 30, 2019 and 2018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02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2"/>
        </w:trPr>
        <w:tc>
          <w:tcPr>
            <w:tcW w:w="3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Purchased technology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recorded for the years ended September 30, 2019, 2018 and 2017 was $0.2 million, $0.2 million and $0.4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each of the five subsequent fiscal years is expected to be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9940" w:type="dxa"/>
            <w:vAlign w:val="bottom"/>
            <w:tcBorders>
              <w:bottom w:val="single" w:sz="8" w:color="CCEEFF"/>
            </w:tcBorders>
            <w:shd w:val="clear" w:color="auto" w:fill="CCEEFF"/>
          </w:tcPr>
          <w:p>
            <w:pPr>
              <w:jc w:val="right"/>
              <w:ind w:right="9453"/>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9940" w:type="dxa"/>
            <w:vAlign w:val="bottom"/>
          </w:tcPr>
          <w:p>
            <w:pPr>
              <w:jc w:val="right"/>
              <w:ind w:right="9453"/>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3"/>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940" w:type="dxa"/>
            <w:vAlign w:val="bottom"/>
          </w:tcPr>
          <w:p>
            <w:pPr>
              <w:jc w:val="right"/>
              <w:ind w:right="9453"/>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9940" w:type="dxa"/>
            <w:vAlign w:val="bottom"/>
            <w:shd w:val="clear" w:color="auto" w:fill="CCEEFF"/>
          </w:tcPr>
          <w:p>
            <w:pPr>
              <w:jc w:val="right"/>
              <w:ind w:right="9453"/>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7, 2006, we purchased certain assets related to the manufacturing of ANSI medium-voltage switchgear and circuit breaker business from General Electric Company (GE). In connection with the acquisition, we entered into a 15-year supply agreement with GE pursuant to which GE would purchase from us all of its requirements for ANSI medium-voltage switchgear and circuit breakers and other related equipment and components (the Products). We recorded an intangible asset related to this supply agreement. On December 30, 2013, we and GE amended the supply agreement to allow GE to manufacture similar Products for sale immediately and allow them to begin purchasing Products from other suppliers beginning December 31, 2014. In return, GE paid us $10 million upon execution of the amended supply agreement and agreed to pay an additional $7 million over three years, beginning March 2015. The final balance of $2.3 million was received in April 2017. We wrote off the intangible asset related to the original supply agreement and recorded a deferred credit in the amount of $8.1 million at December 31, 2013, the amount by which the total proceeds from GE exceeded the unamortized balance of our intangible asset. We amortized this deferred credit over the four-year life of the agreement and recorded $0.5 million in other income in Fiscal 2018, and $2.0 million in both Fiscal 2017 and 2016.</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Long-Term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8"/>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long-term debt</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1,200</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maturities of long-term debt as of September 30, 2019,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6"/>
              <w:spacing w:after="0" w:line="161" w:lineRule="exact"/>
              <w:rPr>
                <w:sz w:val="20"/>
                <w:szCs w:val="20"/>
                <w:color w:val="auto"/>
              </w:rPr>
            </w:pPr>
            <w:r>
              <w:rPr>
                <w:rFonts w:ascii="Times New Roman" w:cs="Times New Roman" w:eastAsia="Times New Roman" w:hAnsi="Times New Roman"/>
                <w:sz w:val="14"/>
                <w:szCs w:val="14"/>
                <w:b w:val="1"/>
                <w:bCs w:val="1"/>
                <w:color w:val="auto"/>
              </w:rPr>
              <w:t>Long</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5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5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debt maturities</w:t>
            </w:r>
          </w:p>
        </w:tc>
        <w:tc>
          <w:tcPr>
            <w:tcW w:w="59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940" w:type="dxa"/>
            <w:vAlign w:val="bottom"/>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9"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27, 2019, we entered into an Amended and Restated Credit Agreement with Bank of America, N.A. (the "U.S. Revolver"), which replaced our prior credit agreement. The U.S. Revolver is a $75.0 million revolving credit facility, which is available for both borrowings and letters of credit and expires September 2024. As of September 30, 2019, there were no amounts borrowed under this facility and letters of credit outstanding were $13.4 million. As of September 30, 2019, $61.6 million was available for the issuance of letters of credit and borrowing under the U.S. Revolver. In addition, the U.S. Revolver includes a right of the Company to request from time to time an increase in the revolving line of credit of up to $50.0 million, provided that (i) no default exists, (ii) each request must be in a minimum amount of $15.0 million (or, if less, the remaining portion of the increase), (iii) the Company may make a maximum of four such requests and (iv) each lender may agree whether or not to increase its revolving commitment.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maintain certain financial covenants, the most significant of which are a consolidated leverage ratio greater than 3.0 to 1.0 and a consolidated interest coverage ratio of less than 3.0 to 1.0. Additionally, we must maintain a consolidated cash balance of $30 million at all times. The U.S. Revolver also contains a "material adverse effect" clause which is a material change in our operations, business, properties, liabilities or condition (financial or otherwise) or a material impairment of our ability to perform our obligations under our credit agreements. As of September 30, 2019, we were in compliance with all of the financial covenants of the U.S. Revolver.</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2018, the balance in the cash collateral account was $25.1 million and was recorded as restricted cash in our Consolidated Balance Sheets, which was required by our prior credit agreement. The portion of the cash collateral account associated with the outstanding letters of credit that were due to expire beyond twelve months was classified as non-current restricted cash. Our U.S. Revolver removes the previous requirement for all letters of credit and borrowings to be collateralized at 102%.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 an interest rate based on either the base rate or the eurocurrency rate, in each case, plus the applicable rate. The base rate is generally the highest of (a) the federal funds rate plus 0.50%, (b) the Bank of America prime rate and (c) the London Interbank Offered Rate (“LIBOR”) plus 1.00%, subject to certain interest rate floors set forth in the U.S. Revolver. The eurocurrency rate is generally (i) LIBOR for credit extensions denominated in U.S. dollars, euros or pound sterling, (ii) the Canadian dollar offered rate for credit extensions denominated in Canadian dollars and (iii) the rate designated by Bank of America for credit extensions denominated in other currencies. The applicable rate is generally a range from (0.25)% to 0.25% for base rate loans and 1.25% to 1.75% for eurocurrency rate loans, in each case based on the Company's consolidated leverage ratio, provided that the applicable rate is initially (0.25)% for base rate loans and 1.25% for eurocurrency rate loans until January 1, 2020.</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While the Bonds mature in 2021, the reimbursement agreement requires annual redemptions of $0.4 million that commenced on October 25, 2002. A sinking fund is used for the annual principal payment. The Bonds bear interest at a floating rate determined weekly by the Bonds’ remarketing agent, which was the underwriter for the Bonds and is an affiliate of the bank. This interest rate was 1.69% as of September 30, 2019. As of September 30, 2019, we were in compliance with all of the covenants of the Bonds.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874"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H.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certain offices, facilities and equipment under operating leases expiring at various dates through 2023. We also sublease certain facilities that we are no longer occupying. Our sublease terms do not fully cover the existing rental commitments on certain facilities.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2019, the future minimum annual rental commitments and expected receipts under non-cancelable operating leases having terms in excess of one year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60"/>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jc w:val="right"/>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Sublease Income</w:t>
            </w:r>
          </w:p>
        </w:tc>
        <w:tc>
          <w:tcPr>
            <w:tcW w:w="0" w:type="dxa"/>
            <w:vAlign w:val="bottom"/>
          </w:tcPr>
          <w:p>
            <w:pPr>
              <w:spacing w:after="0"/>
              <w:rPr>
                <w:sz w:val="1"/>
                <w:szCs w:val="1"/>
                <w:color w:val="auto"/>
              </w:rPr>
            </w:pP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3,040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2,859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2,612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lease commitments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10,104</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 expense and sublease income from third parties was as follows (in thousands):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expense</w:t>
            </w:r>
          </w:p>
        </w:tc>
        <w:tc>
          <w:tcPr>
            <w:tcW w:w="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3,493</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Sublease income from third parties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2019, we recorded additional lease expense of $0.7 million related to certain facility leases in Canada that are no longer utilized in our operations. In Fiscal 2018, we incurred approximately $0.8 million due to anticipated losses on the sublet of a Canadian facility we exited in a prior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expenses related to security instruments for the periods reported. We were contingently liable for letters of credit of $13.4 million as of September 30, 2019. We also had outstanding surety bonds totaling $170.5 million, with additional bonding capacity of $579.5 million available, at September 30, 2019.</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$11.1 million facility agreement (Facility Agreement) between Powell (UK) Limited and a large international bank that provides Powell (UK) Limited the ability to enter into bank guarantees as well as forward exchange contracts and currency options. At September 30, 2019, we had outstanding guarantees totaling $5.7 million and amounts available under this Facility Agreement were $5.4 million. The Facility Agreement expires in May 2020 and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may become or be declared immediately due and payable. As of September 30, 2019, we were in compliance with all of the financial covenants of the Facility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49"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September 30, 2019, our exposure to possible liquidated damages was $2.0 million, of which approximately $0.9 million was probable. Based on our actual or projected failure to meet these various contractual commitments, $0.8 million has been recorded as a reduction to revenue. We will attempt to obtain change orders, contract extensions or accelerate project completion, which may resolve the potential for any unrecorded liquidated damage. Should we fail to achieve relief on some or all of these contractual obligations, we could be required to pay additional liquidated damages, which could negatively impact our future operating results.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(benefit)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9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1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 was as follows (in thousands):</w:t>
            </w:r>
          </w:p>
        </w:tc>
        <w:tc>
          <w:tcPr>
            <w:tcW w:w="1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16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than U.S.</w:t>
            </w: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income tax rate and the effective income tax rate, as computed on earnings before income tax provision in each of the three years presented in the Consolidated Statements of Operations, was as follows:</w:t>
      </w:r>
    </w:p>
    <w:p>
      <w:pPr>
        <w:spacing w:after="0" w:line="10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gridSpan w:val="2"/>
          </w:tcPr>
          <w:p>
            <w:pPr>
              <w:ind w:left="7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withholding</w:t>
            </w:r>
          </w:p>
        </w:tc>
        <w:tc>
          <w:tcPr>
            <w:tcW w:w="5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valuation allowance</w:t>
            </w: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NOL carryback impact on deductions</w:t>
            </w:r>
          </w:p>
        </w:tc>
        <w:tc>
          <w:tcPr>
            <w:tcW w:w="1520" w:type="dxa"/>
            <w:vAlign w:val="bottom"/>
            <w:tcBorders>
              <w:bottom w:val="single" w:sz="8" w:color="CCEEFF"/>
            </w:tcBorders>
            <w:gridSpan w:val="3"/>
            <w:shd w:val="clear" w:color="auto" w:fill="CCEEFF"/>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rate differential</w:t>
            </w:r>
          </w:p>
        </w:tc>
        <w:tc>
          <w:tcPr>
            <w:tcW w:w="152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rate</w:t>
            </w:r>
          </w:p>
        </w:tc>
        <w:tc>
          <w:tcPr>
            <w:tcW w:w="9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
        </w:trPr>
        <w:tc>
          <w:tcPr>
            <w:tcW w:w="6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2017, the new tax law lowered the corporate tax rate from 35% to 21% effective January 1, 2018. As a result, the U.S. federal statutory rate for Fiscal 2019 is 21%, compared to the blended statutory rate of 24.5% effective for Fiscal 2018.</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income tax provision (benefit) reflects an effective tax rate on pre-tax results of 20% in Fiscal 2019 compared to 7% and 44% in Fiscal 2018 and 2017, respectively. The effective rate for Fiscal 2019 approximated the U.S. federal statutory rate as favorable adjustments related to the utilization of net operating loss carryforwards in Canada that were fully reserved with a valuation allowance and the Research and Development Tax Credit (R&amp;D Tax Credit) were largely offset by unfavorable adjustments primarily related to state income taxes and other permanent items. Due to the loss position in Fiscal 2018, the effective tax rate was negatively impacted by foreign losses reserved for with a valuation allowance as well as $0.5 million of tax expense related to the re-measurement of U.S. deferred tax assets as a result of tax reform. Likewise, due to the loss in Fiscal 2017, the effective tax rate was favorably impacted by the relative amounts of income/loss recognized in the various tax jurisdictions, the utilization of net operating loss carryforwards in Canada that have been fully reserved with a valuation allowance, the lower tax rate in the U.K., as well as $0.9 million of discrete items recognized during the year, primarily related to the R&amp;D Tax Credit.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recorded deferred income taxes on $19.4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income tax in the U.S., multiple state jurisdictions and certain international jurisdictions, primarily the U.K. and Canada. We do not consider any state in which we do business to be a major tax jurisdiction. We remain open to examination in the other jurisdictions as follows: Canada 2012 – 2018, United Kingdom 2017 – 2018 and the United States 2013 – 2018. As of September 30, 2019, we did not have any state audits underway that would have a material impact on our financial position or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deferred income tax asset was comprised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tcPr>
          <w:p>
            <w:pPr>
              <w:spacing w:after="0"/>
              <w:rPr>
                <w:sz w:val="22"/>
                <w:szCs w:val="22"/>
                <w:color w:val="auto"/>
              </w:rPr>
            </w:pPr>
          </w:p>
        </w:tc>
        <w:tc>
          <w:tcPr>
            <w:tcW w:w="4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assets</w:t>
            </w:r>
          </w:p>
        </w:tc>
        <w:tc>
          <w:tcPr>
            <w:tcW w:w="4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18,486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22,480</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liabilities and valuation allowance</w:t>
            </w:r>
          </w:p>
        </w:tc>
        <w:tc>
          <w:tcPr>
            <w:tcW w:w="4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(16,543)</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4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5,117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5,937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3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9" w:right="2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between U.S. GAAP accounting and federal income tax accounting creating deferred income tax assets and liabilities was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10,636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13,444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Uniform capitalization and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accrued employee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accrual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legal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Postretirement benefits liability</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22,480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57"/>
        </w:trPr>
        <w:tc>
          <w:tcPr>
            <w:tcW w:w="85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5,117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5,937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we had tax credit carryforwards of $2.0 million not reserved with a valuation allowance that are available to reduce future U.S. federal tax liabilities. The majority of these tax credit carryforwards expire beginning in 2037. In addition, we had international net operating loss carryforwards of $2.9 million that were not reserved with a valuation allowance available to offset future taxable income in the respective jurisdictions, with less than 10% expiring in 2029 and the remainder having an indefinite carryforward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 valuation allowance in the amount of $8.2 million primarily related to the Canadian net deferred tax assets. In assessing the realizability of net deferred tax assets,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valuation allowance for the past three years is summarized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6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8,439</w:t>
            </w: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Charged to cost and expenses</w:t>
            </w:r>
          </w:p>
        </w:tc>
        <w:tc>
          <w:tcPr>
            <w:tcW w:w="6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6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604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Charged to cost and expenses</w:t>
            </w:r>
          </w:p>
        </w:tc>
        <w:tc>
          <w:tcPr>
            <w:tcW w:w="6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6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65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9,597</w:t>
            </w: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Charged to cost and expenses</w:t>
            </w:r>
          </w:p>
        </w:tc>
        <w:tc>
          <w:tcPr>
            <w:tcW w:w="6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6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604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8,231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40" w:type="dxa"/>
            <w:vAlign w:val="bottom"/>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2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0" w:right="23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the unrecognized tax benefits that if recognized would affect the effective tax rate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1,854</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period</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period</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related to expiration of statute of limitations</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Decreases related to settlement with taxing authorities</w:t>
            </w:r>
          </w:p>
        </w:tc>
        <w:tc>
          <w:tcPr>
            <w:tcW w:w="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2,703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1,219</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as tax expense. The amount of interest and penalty expense recorded for the year ended September 30, 2019 was not material.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expiration of certain federal statutes of limitations and voluntary filings, management believes that, within the next 12 months, it is reasonably possible that the unrecognized tax benefits will decrease by approximately $0.9 million and would positively impact our effective tax rate. We are unable to make reasonably reliable estimates regarding the timing of future cash outflows, if any, associated with the remaining unrecognized tax benefits.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2018, we received a refund of $6.6 million related to the U.S. federal carryback claim filed for the Fiscal 2017 net operating loss. Subsequently, we were notified that the IRS would conduct a review of the carryback claim. 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$3.2 million, $2.8 million and $2.8 million in Fiscal 2019, 2018 and 2017,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a non-qualified deferred compensation plan to a select group of management and highly compensated individuals. The plan permits the deferral of up to 50% of a participant’s base salary and/or 100% of a participant’s annual incentive bonus. The deferrals are held in a separate trust, an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this Rabbi Trust to fund the expected obligations arising under this plan. The assets and liabilities of the plan are recorded in other assets and deferred compensation, respectively, in the accompanying Consolidated Balance Sheets. Changes in the deferred compensation balance are recorded to compensation expense and reflected within the selling, general and administrative line in the Consolidated Statements of Operations. The plan is not qualified under Section 401 of the Internal Revenue code. We recorded net compensation expense adjustments of $0.2 million related to this plan in Fiscal 2019. At September 30, 2019, total assets held by the trustee were $6.8 million and recorded in other assets and the liability was $6.2 million and recorded in other long-term liabilities in our Consolidated Balance Sheets. Of the $6.8 million of assets held by the trustee, $6.7 million is invested in company-owned life insurance policies and the remainder in mutual funds.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former executives were provided an executive benefit plan that provides for fixed payments upon normal retirement on or after age 65 and the completion of at least 10 years of continuous employment. The estimated present value of these payments was accrued over the service life of these individuals, and $0.2 million is recorded in deferred compensation related to this executive benefit plan. To assist in funding the deferred compensation liability, we invested in company-owned life insurance policies. The cash surrender value of these policies is presented in other assets and was $3.2 million at September 30, 2019.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6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plan that extends health benefits to retirees that are also available to active employees under our existing health plans. This plan is unfunded. The plan provides coverage for employees with at least 10 years of service who are age 55 or older but less than 65. The retiree is required to pay the COBRA rate less a subsidy provided by us based on years of service at the time of retirement. The unfunded liability is recorded in other long-term liabilities and was $0.9 million as of both September 30, 2019 and 2018. Our net periodic postretirement benefit expenses have been less than $0.1 million for the last three fiscal years. Due to the immateriality of the costs and liabilities of this plan, no further disclosure is being presented.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stock-based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and performance-based awards, as well as certain other awards.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2014 Plan, the compensation committee has authorized grants of restricted stock units (RSUs) to certain officers and key employees of the company. The fair value of the RSUs is based on the closing price of our common stock as reported on the NASDAQ Global Market on the grant dates. Typically, these grants vest over a three-year period from their date of issuance. Fifty to sixty percent of the grant is time-based and vests over a three-year period on each anniversary of the grant date, based on continued employment. The remaining forty to fifty percent of the grant is earned based on the three-year earnings performance of the Company following the grant date. At September 30, 2019, there were 131,850 RSUs outstanding. The RSUs do not have voting rights but receive dividend equivalents upon vesting.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past fiscal year is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85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9"/>
        </w:trPr>
        <w:tc>
          <w:tcPr>
            <w:tcW w:w="85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5"/>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2018</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190,500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33.73</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77,150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34.89</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33.57</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Forfeited/cancelled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33.75</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131,850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33.76</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reserved 750,000 shares of common stock for issuance under the 2014 Plan. As of September 30, 2019, there were 554,801 shares of common stock available for future grants.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Non-Employee Director Equity Incentive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2014, our stockholders approved the 2014 Non-Employee Director Equity Incentive Plan (the 2014 Director Plan). The total number of shares of common stock reserved under the plan is 150,000 shares. The plan is administered by the compensation committee. Eligibility to participate in the plan is limited to those individuals who are members of the Board of Directors of the Company and who are not employees of the Company or any affiliate of the Company.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SARs) is 4,000 shares. The Compensation Committee has determined that each non-employee director will receive 2,000 restricted shares of the Company’s common stock annually. Fifty percent of the restricted stock granted to each of our non-employee directors vests immediately, while the remaining fifty percent vests on the anniversary of the grant date. Compensation expense is based on the closing share price on the grant date and recognized immediately for the first fifty percent of the restricted stock granted, while compensation expense for the remaining fifty percent will be recognized over the remaining vesting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873" w:right="2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Under this 2014 Director Plan, in February 2019, 7,000 shares of common stock and 7,000 shares of restricted stock were issued to our non-employee directors at a price of $34.02 per share. In February 2018, we issued 6,000 shares of restricted stock to our non-employee directors at a price of $27.88 per share, and in April 2018, we issued 1,000 shares of restricted stock to a single non-employee director at a price of $27.15. The total number of shares of common stock available for future awards under the 2014 Director plan was 56,600 shares as of September 30, 2019.</w:t>
      </w:r>
    </w:p>
    <w:p>
      <w:pPr>
        <w:spacing w:after="0" w:line="20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At both September 30, 2019 and 2018, there were 7,000 shares of unvested restricted stock outstanding. Total compensation expense related to restricted stock grants under all plans was $0.5 million, $0.5 million and $0.7 million for the years ended September 30, 2019, 2018 and 2017, respectively. Total compensation expense related to RSUs under all plans was $3.3 million, $2.7 million and $2.0 million for the years ended September 30, 2019, 2018 and 2017, respectively.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the amortization of non-vested restricted stock and restricted stock units as an increase to additional paid-in capital. As of September 30, 2019 and 2018, amounts of deferred compensation expense not yet recognized related to non-vested stock and RSUs totaled $1.0 million and $1.2 million, respectively. As of September 30, 2019, the total weighted average remaining contractual life of our non-vested restricted stock and RSUs is approximately six months and 1.4 years,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117"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52"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2019 (in thousands):</w:t>
      </w:r>
    </w:p>
    <w:p>
      <w:pPr>
        <w:spacing w:after="0" w:line="13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6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5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6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6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6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118,639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118,639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6,042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51" w:name="page52"/>
    <w:bookmarkEnd w:id="51"/>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2018 (in thousands):</w:t>
      </w:r>
    </w:p>
    <w:p>
      <w:pPr>
        <w:spacing w:after="0" w:line="13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6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5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6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6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6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36,584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36,584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13,170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25,141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25,141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Restricted cash represented a pledged cash collateral balance, which was required under our prior credit agreement and was held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interest-bearing savings account. See Note G for further discussion on restricted cash.</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company-owned life insurance policies and are included in other assets in the accompanying Consolidated Balance Sheets. Because the mutual funds and company-owned life insurance policies are combined in the plan, they are therefore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therefore also categorized as Level 2 in the fair value measurement hierarchy.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Geographic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14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14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406,609</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279,352</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42,235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45,540</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Middle East and Africa</w:t>
            </w:r>
          </w:p>
        </w:tc>
        <w:tc>
          <w:tcPr>
            <w:tcW w:w="2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26,639</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Far East</w:t>
            </w:r>
          </w:p>
        </w:tc>
        <w:tc>
          <w:tcPr>
            <w:tcW w:w="2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21,194</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19,309</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517,180</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448,716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395,911</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71,325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76,016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48,126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4,622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120,812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128,764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Long-lived assets by country consist of property, plant and equipment, net of accumulated depreciation and are determined based on the location of the tangible assets.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Quarterly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unaudited consolidated operating results by fiscal quarter for the years ended September 30, 2019 and 2018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2019 Quarters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2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135,588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517,180</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28,555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86,976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9,890</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0.85</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0.85</w:t>
            </w:r>
          </w:p>
        </w:tc>
      </w:tr>
      <w:tr>
        <w:trPr>
          <w:trHeight w:val="427"/>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2018 Quarters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2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122,130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448,716</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65,355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Subsequent Events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2019, our Board of Directors declared a quarterly cash dividend on our common stock in the amount of $0.26 per share. The dividend is payable on December 18, 2019 to shareholders of record at the close of business on November 20, 2019.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709" w:right="239" w:bottom="1440" w:gutter="0" w:footer="0" w:header="0"/>
        </w:sectPr>
      </w:pPr>
    </w:p>
    <w:bookmarkStart w:id="53" w:name="page54"/>
    <w:bookmarkEnd w:id="53"/>
    <w:p>
      <w:pPr>
        <w:ind w:right="41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Annual Report on Form 10-K. Based on such evaluation, our CEO and CFO have each concluded that, as of September 30, 2019, the end of the period covered by this Annual Report on Form 10-K,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generally accepted accounting principles.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the Company has assessed the effectiveness of our internal control over financial reporting as of September 30, 2019.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2019, based on criteria in Internal Control – Integrated Framework (2013) issued by the COSO.</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and issued their report on the effectiveness of our internal control over financial reporting as of September 30, 2019, which appears in their report on the financial statements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49"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2019.</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Times New Roman" w:cs="Times New Roman" w:eastAsia="Times New Roman" w:hAnsi="Times New Roman"/>
          <w:sz w:val="18"/>
          <w:szCs w:val="18"/>
          <w:u w:val="single" w:color="auto"/>
          <w:color w:val="auto"/>
        </w:rPr>
        <w:t>www.powellind.com</w:t>
      </w:r>
      <w:r>
        <w:rPr>
          <w:rFonts w:ascii="Times New Roman" w:cs="Times New Roman" w:eastAsia="Times New Roman" w:hAnsi="Times New Roman"/>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49" w:right="2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19"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Reference is made to the Index to Consolidated Financial Statements at Item 8 of this Annual Report.</w:t>
      </w:r>
    </w:p>
    <w:p>
      <w:pPr>
        <w:spacing w:after="0" w:line="225" w:lineRule="exact"/>
        <w:rPr>
          <w:rFonts w:ascii="Times New Roman" w:cs="Times New Roman" w:eastAsia="Times New Roman" w:hAnsi="Times New Roman"/>
          <w:sz w:val="18"/>
          <w:szCs w:val="18"/>
          <w:color w:val="auto"/>
        </w:rPr>
      </w:pPr>
    </w:p>
    <w:p>
      <w:pPr>
        <w:ind w:firstLine="8"/>
        <w:spacing w:after="0" w:line="284"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All financial statement schedules are omitted because they are not applicable, or the required information is shown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the Notes to the Consolidated Financial Statements included elsewhere in this Annual Report.</w:t>
      </w:r>
    </w:p>
    <w:p>
      <w:pPr>
        <w:spacing w:after="0" w:line="1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bottom w:val="single" w:sz="8" w:color="auto"/>
            </w:tcBorders>
          </w:tcPr>
          <w:p>
            <w:pPr>
              <w:spacing w:after="0"/>
              <w:rPr>
                <w:sz w:val="16"/>
                <w:szCs w:val="16"/>
                <w:color w:val="auto"/>
              </w:rPr>
            </w:pPr>
          </w:p>
        </w:tc>
        <w:tc>
          <w:tcPr>
            <w:tcW w:w="980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23"/>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Certificate of Incorporation of Powell Industries, Inc. filed with the Secretary of State of the State of Delaware on February 11, 2004</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(filed as Exhibit 3.1 to our Form 8-A/A filed November 1, 2004, and incorporated herein by reference).</w:t>
            </w:r>
          </w:p>
        </w:tc>
        <w:tc>
          <w:tcPr>
            <w:tcW w:w="0" w:type="dxa"/>
            <w:vAlign w:val="bottom"/>
          </w:tcPr>
          <w:p>
            <w:pPr>
              <w:spacing w:after="0"/>
              <w:rPr>
                <w:sz w:val="1"/>
                <w:szCs w:val="1"/>
                <w:color w:val="auto"/>
              </w:rPr>
            </w:pPr>
          </w:p>
        </w:tc>
      </w:tr>
      <w:tr>
        <w:trPr>
          <w:trHeight w:val="44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Amended and Restated By-laws of Powell Industries, Inc. (filed as Exhibit 3.1 to our Form 8-K filed October 12, 2012, and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incorporated herein by reference).</w:t>
              </w:r>
            </w:hyperlink>
          </w:p>
        </w:tc>
        <w:tc>
          <w:tcPr>
            <w:tcW w:w="730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Description of Supplemental Executive Benefit Plan (filed as Exhibit 10 to our Form 10-K for the fiscal year ended October 31, 1984,</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468"/>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Powell Industries, Inc. Directors’ Fees Program (filed as Exhibit 10.7 to our Form 10-K for the fiscal year ended October 31, 1992, and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44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Powell Industries, Inc. Executive Severance Protection Plan (filed as Exhibit 10.7 to our Form 10-K for the fiscal year ended October</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31, 2002,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vMerge w:val="continue"/>
          </w:tcPr>
          <w:p>
            <w:pPr>
              <w:spacing w:after="0"/>
              <w:rPr>
                <w:sz w:val="24"/>
                <w:szCs w:val="24"/>
                <w:color w:val="auto"/>
              </w:rPr>
            </w:pPr>
          </w:p>
        </w:tc>
        <w:tc>
          <w:tcPr>
            <w:tcW w:w="97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Powell Industries, Inc. Deferred Compensation Plan (filed as Exhibit 10.9 to our Form 10-K for the fiscal year ended October 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2002, and incorporated herein by reference).</w:t>
              </w:r>
            </w:hyperlink>
          </w:p>
        </w:tc>
        <w:tc>
          <w:tcPr>
            <w:tcW w:w="65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Banking facilities between HSBC Bank plc and Switchgear &amp; Instrumentation Limited and Switchgear &amp; Instrumentation Properties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13"/>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Limited dated September 12, 2005 (filed as Exhibit 10.16 to our Form 10-K for the fiscal year ended October 31, 2005, and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incorporated herein by reference).</w:t>
              </w:r>
            </w:hyperlink>
          </w:p>
        </w:tc>
        <w:tc>
          <w:tcPr>
            <w:tcW w:w="730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Lease Agreement between the Company and C&amp;L Partnership, Ltd. dated April 19, 2006 (filed as Exhibit 10.2 to our Form 8-K filed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6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August 9, 2006, and incorporated herein by reference).</w:t>
              </w:r>
            </w:hyperlink>
          </w:p>
        </w:tc>
        <w:tc>
          <w:tcPr>
            <w:tcW w:w="580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Employment Agreement dated as of May 8, 2012 between the Company and Milburn E. Honeycutt (filed as Exhibit 10.2 to our Form</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10-Q for the quarter ended March 31, 2012, and incorporated herein by reference).</w:t>
              </w:r>
            </w:hyperlink>
          </w:p>
        </w:tc>
        <w:tc>
          <w:tcPr>
            <w:tcW w:w="380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Amended and Restated Credit Agreement dated as of April 26, 2012, between Powell PowerComm Inc., as Borrower, Powell</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Industries, Inc., Nextron Limited, PPC Technical Services Inc., as Guarantors, and HSBC Bank Canada, as Lender (filed as Exhibit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13"/>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our Form 10-Q for the quarter ended March 31, 2012,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vMerge w:val="continue"/>
          </w:tcPr>
          <w:p>
            <w:pPr>
              <w:spacing w:after="0"/>
              <w:rPr>
                <w:sz w:val="24"/>
                <w:szCs w:val="24"/>
                <w:color w:val="auto"/>
              </w:rPr>
            </w:pPr>
          </w:p>
        </w:tc>
        <w:tc>
          <w:tcPr>
            <w:tcW w:w="97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Stock Purchase Agreement dated as of January 15, 2014, between the Company and Kapsch TrafficCom IVHS, Inc. (filed as Exhibit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Form 8-K filed January 17, 2014, and incorporated herein by reference).</w:t>
              </w:r>
            </w:hyperlink>
          </w:p>
        </w:tc>
        <w:tc>
          <w:tcPr>
            <w:tcW w:w="37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*10.10</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13"/>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Amended and Restated Powell Supply Agreement dated as of December 30, 2013, between the Company and General Electric</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Company (filed as Exhibit 10.2 to our Form 10-Q filed February 5, 2014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10.11</w:t>
            </w:r>
          </w:p>
        </w:tc>
        <w:tc>
          <w:tcPr>
            <w:tcW w:w="540" w:type="dxa"/>
            <w:vAlign w:val="bottom"/>
            <w:vMerge w:val="continue"/>
          </w:tcPr>
          <w:p>
            <w:pPr>
              <w:spacing w:after="0"/>
              <w:rPr>
                <w:sz w:val="24"/>
                <w:szCs w:val="24"/>
                <w:color w:val="auto"/>
              </w:rPr>
            </w:pPr>
          </w:p>
        </w:tc>
        <w:tc>
          <w:tcPr>
            <w:tcW w:w="9800" w:type="dxa"/>
            <w:vAlign w:val="bottom"/>
            <w:gridSpan w:val="1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2014 Equity Incentive Plan (filed as Exhibit 10.2 to our Form 10-Q filed May 7, 2014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shd w:val="clear" w:color="auto" w:fill="0000FF"/>
          </w:tcPr>
          <w:p>
            <w:pPr>
              <w:spacing w:after="0" w:line="20" w:lineRule="exact"/>
              <w:rPr>
                <w:sz w:val="1"/>
                <w:szCs w:val="1"/>
                <w:color w:val="auto"/>
              </w:rPr>
            </w:pPr>
          </w:p>
        </w:tc>
        <w:tc>
          <w:tcPr>
            <w:tcW w:w="5820" w:type="dxa"/>
            <w:vAlign w:val="bottom"/>
            <w:gridSpan w:val="8"/>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10.12</w:t>
            </w:r>
          </w:p>
        </w:tc>
        <w:tc>
          <w:tcPr>
            <w:tcW w:w="540" w:type="dxa"/>
            <w:vAlign w:val="bottom"/>
            <w:vMerge w:val="continue"/>
          </w:tcPr>
          <w:p>
            <w:pPr>
              <w:spacing w:after="0"/>
              <w:rPr>
                <w:sz w:val="24"/>
                <w:szCs w:val="24"/>
                <w:color w:val="auto"/>
              </w:rPr>
            </w:pPr>
          </w:p>
        </w:tc>
        <w:tc>
          <w:tcPr>
            <w:tcW w:w="9800" w:type="dxa"/>
            <w:vAlign w:val="bottom"/>
            <w:gridSpan w:val="1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Form of Restricted Stock Award Agreement under 2014 Equity Incentive Plan (filed as Exhibit 10.3 to our Form 10-Q filed May 7,</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2014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49"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bottom w:val="single" w:sz="8" w:color="auto"/>
            </w:tcBorders>
          </w:tcPr>
          <w:p>
            <w:pPr>
              <w:spacing w:after="0"/>
              <w:rPr>
                <w:sz w:val="16"/>
                <w:szCs w:val="16"/>
                <w:color w:val="auto"/>
              </w:rPr>
            </w:pPr>
          </w:p>
        </w:tc>
        <w:tc>
          <w:tcPr>
            <w:tcW w:w="980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01"/>
        </w:trPr>
        <w:tc>
          <w:tcPr>
            <w:tcW w:w="960" w:type="dxa"/>
            <w:vAlign w:val="bottom"/>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10.13</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tcBorders>
              <w:bottom w:val="single" w:sz="8" w:color="0000FF"/>
            </w:tcBorders>
            <w:gridSpan w:val="20"/>
          </w:tcPr>
          <w:p>
            <w:pPr>
              <w:spacing w:after="0" w:line="201"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Form of Restricted Stock Unit Award Agreement under 2014 Equity Incentive Plan (filed as Exhibit 10.4 to our Form 10-Q filed May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20"/>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7, 2014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10.14</w:t>
            </w:r>
          </w:p>
        </w:tc>
        <w:tc>
          <w:tcPr>
            <w:tcW w:w="540" w:type="dxa"/>
            <w:vAlign w:val="bottom"/>
            <w:vMerge w:val="continue"/>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Form of Performance Unit Award Agreement under 2014 Equity Incentive Plan (filed as Exhibit 10.5 to our Form 10-Q filed May 7,</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2014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10.15</w:t>
            </w:r>
          </w:p>
        </w:tc>
        <w:tc>
          <w:tcPr>
            <w:tcW w:w="540" w:type="dxa"/>
            <w:vAlign w:val="bottom"/>
            <w:vMerge w:val="continue"/>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Form of Stock Option Award Agreement under 2014 Equity Incentive Plan (filed as Exhibit 10.6 to our Form 10-Q filed May 7, 2014</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10.16</w:t>
            </w:r>
          </w:p>
        </w:tc>
        <w:tc>
          <w:tcPr>
            <w:tcW w:w="540" w:type="dxa"/>
            <w:vAlign w:val="bottom"/>
            <w:vMerge w:val="continue"/>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of Stock Appreciation Right Award Agreement under 2014 Equity Incentive Plan (filed as Exhibit 10.7 to our Form 10-Q filed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May 7, 2014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10.17</w:t>
            </w:r>
          </w:p>
        </w:tc>
        <w:tc>
          <w:tcPr>
            <w:tcW w:w="540" w:type="dxa"/>
            <w:vAlign w:val="bottom"/>
            <w:vMerge w:val="continue"/>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2014 Non-Employee Director Equity Incentive Plan (filed as Exhibit 10.8 to our Form 10-Q filed May 7, 2014 and incorporated herein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10.18</w:t>
            </w:r>
          </w:p>
        </w:tc>
        <w:tc>
          <w:tcPr>
            <w:tcW w:w="540" w:type="dxa"/>
            <w:vAlign w:val="bottom"/>
            <w:vMerge w:val="continue"/>
          </w:tcPr>
          <w:p>
            <w:pPr>
              <w:spacing w:after="0"/>
              <w:rPr>
                <w:sz w:val="24"/>
                <w:szCs w:val="24"/>
                <w:color w:val="auto"/>
              </w:rPr>
            </w:pPr>
          </w:p>
        </w:tc>
        <w:tc>
          <w:tcPr>
            <w:tcW w:w="9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Form of Restricted Stock Award Agreement under 2014 Non-Employee Director Equity Incentive Plan (filed as Exhibit 10.9 to our</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20"/>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Form 10-Q filed May 7, 2014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10.19</w:t>
            </w:r>
          </w:p>
        </w:tc>
        <w:tc>
          <w:tcPr>
            <w:tcW w:w="540" w:type="dxa"/>
            <w:vAlign w:val="bottom"/>
            <w:vMerge w:val="continue"/>
          </w:tcPr>
          <w:p>
            <w:pPr>
              <w:spacing w:after="0"/>
              <w:rPr>
                <w:sz w:val="24"/>
                <w:szCs w:val="24"/>
                <w:color w:val="auto"/>
              </w:rPr>
            </w:pPr>
          </w:p>
        </w:tc>
        <w:tc>
          <w:tcPr>
            <w:tcW w:w="97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Renewed banking facilities between HSBC Bank plc and Powell (UK) Limited dated October 20, 2014 (filed as Exhibit 10.48 to our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Form 10-K filed December 3, 2014, and incorporated herein by reference).</w:t>
              </w:r>
            </w:hyperlink>
          </w:p>
        </w:tc>
        <w:tc>
          <w:tcPr>
            <w:tcW w:w="4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10.20</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0"/>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Amending Agreement to Amended and Restated Credit Agreement, effective as of March 31, 2015, between Powell Canada Inc.,</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Powell Industries, Inc., Nextron Limited, PCG Northern Services Inc. and HSBC Bank Canada (filed as Exhibit 10.1 to our Form 10-Q</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filed May 6, 2015 and incorporated herein by reference).</w:t>
              </w:r>
            </w:hyperlink>
          </w:p>
        </w:tc>
        <w:tc>
          <w:tcPr>
            <w:tcW w:w="5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0"/>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Employment Agreement dated September 29, 2016, between the Company and Brett A. Cope (filed as Exhibit 10.1 to our 8-K filed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September 30, 2016 and incorporated herein by reference).</w:t>
              </w:r>
            </w:hyperlink>
          </w:p>
        </w:tc>
        <w:tc>
          <w:tcPr>
            <w:tcW w:w="550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10.22</w:t>
            </w:r>
          </w:p>
        </w:tc>
        <w:tc>
          <w:tcPr>
            <w:tcW w:w="540" w:type="dxa"/>
            <w:vAlign w:val="bottom"/>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Employment Agreement effective November 5, 2018 by and between the Company and Michael W. Metcalf (filed as Exhibit 10.1 to</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our Form 8-K filed November 1, 2018 and incorporated herein by reference)</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10.23</w:t>
            </w:r>
          </w:p>
        </w:tc>
        <w:tc>
          <w:tcPr>
            <w:tcW w:w="540" w:type="dxa"/>
            <w:vAlign w:val="bottom"/>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Consulting and Advisory Services Agreement effective January 5, 2019 by and between the Company and Don R. Madison (filed as</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6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Exhibit 10.1 to our Form 8-K filed December 21, 2018 and incorporated herein by reference).</w:t>
              </w:r>
            </w:hyperlink>
          </w:p>
        </w:tc>
        <w:tc>
          <w:tcPr>
            <w:tcW w:w="30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10.24</w:t>
            </w:r>
          </w:p>
        </w:tc>
        <w:tc>
          <w:tcPr>
            <w:tcW w:w="540" w:type="dxa"/>
            <w:vAlign w:val="bottom"/>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First Amendment to Consulting and Advisory Services Agreement effective May 6, 2019 by and between the Company and Don R.</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Madison (filed as Exhibit 10.1 to our Form 8-K filed May 8, 2019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**10.25</w:t>
            </w:r>
          </w:p>
        </w:tc>
        <w:tc>
          <w:tcPr>
            <w:tcW w:w="540" w:type="dxa"/>
            <w:vAlign w:val="bottom"/>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Amended and Restated Credit Agreement, dated September 27, 2019, by and between the Company, as Borrower, certain subsidiaries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20"/>
          </w:tcPr>
          <w:p>
            <w:pPr>
              <w:spacing w:after="0" w:line="196"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of the Company identified therein, as Guarantors, Bank of America, N.A., as Administrative Agent, Swingline Lender and L/C Issuer,</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the Lenders party thereto and BofA Securities, Inc., as Sole Lead Arranger and Sole Bookrunner.</w:t>
              </w:r>
            </w:hyperlink>
          </w:p>
        </w:tc>
        <w:tc>
          <w:tcPr>
            <w:tcW w:w="276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0"/>
          </w:tcPr>
          <w:p>
            <w:pPr>
              <w:spacing w:after="0"/>
              <w:rPr>
                <w:rFonts w:ascii="Times New Roman" w:cs="Times New Roman" w:eastAsia="Times New Roman" w:hAnsi="Times New Roman"/>
                <w:sz w:val="18"/>
                <w:szCs w:val="18"/>
                <w:color w:val="0000FF"/>
              </w:rPr>
            </w:pPr>
            <w:hyperlink w:anchor="page200">
              <w:r>
                <w:rPr>
                  <w:rFonts w:ascii="Times New Roman" w:cs="Times New Roman" w:eastAsia="Times New Roman" w:hAnsi="Times New Roman"/>
                  <w:sz w:val="18"/>
                  <w:szCs w:val="18"/>
                  <w:color w:val="0000FF"/>
                </w:rPr>
                <w:t>Subsidiaries of Powell Industries, Inc.</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vMerge w:val="continue"/>
          </w:tcPr>
          <w:p>
            <w:pPr>
              <w:spacing w:after="0"/>
              <w:rPr>
                <w:sz w:val="24"/>
                <w:szCs w:val="24"/>
                <w:color w:val="auto"/>
              </w:rPr>
            </w:pPr>
          </w:p>
        </w:tc>
        <w:tc>
          <w:tcPr>
            <w:tcW w:w="30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201">
              <w:r>
                <w:rPr>
                  <w:rFonts w:ascii="Times New Roman" w:cs="Times New Roman" w:eastAsia="Times New Roman" w:hAnsi="Times New Roman"/>
                  <w:sz w:val="18"/>
                  <w:szCs w:val="18"/>
                  <w:color w:val="0000FF"/>
                  <w:w w:val="99"/>
                </w:rPr>
                <w:t>Consent of PricewaterhouseCoopers LLP.</w:t>
              </w:r>
            </w:hyperlink>
          </w:p>
        </w:tc>
        <w:tc>
          <w:tcPr>
            <w:tcW w:w="67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0"/>
          </w:tcPr>
          <w:p>
            <w:pPr>
              <w:spacing w:after="0"/>
              <w:rPr>
                <w:rFonts w:ascii="Times New Roman" w:cs="Times New Roman" w:eastAsia="Times New Roman" w:hAnsi="Times New Roman"/>
                <w:sz w:val="18"/>
                <w:szCs w:val="18"/>
                <w:color w:val="0000FF"/>
              </w:rPr>
            </w:pPr>
            <w:hyperlink w:anchor="page202">
              <w:r>
                <w:rPr>
                  <w:rFonts w:ascii="Times New Roman" w:cs="Times New Roman" w:eastAsia="Times New Roman" w:hAnsi="Times New Roman"/>
                  <w:sz w:val="18"/>
                  <w:szCs w:val="18"/>
                  <w:color w:val="0000FF"/>
                </w:rPr>
                <w:t>Certification of Chief Executive Officer pursuant to Rule 13a-14(a)/15d-14(a).</w:t>
              </w:r>
            </w:hyperlink>
          </w:p>
        </w:tc>
        <w:tc>
          <w:tcPr>
            <w:tcW w:w="0" w:type="dxa"/>
            <w:vAlign w:val="bottom"/>
          </w:tcPr>
          <w:p>
            <w:pPr>
              <w:spacing w:after="0"/>
              <w:rPr>
                <w:sz w:val="1"/>
                <w:szCs w:val="1"/>
                <w:color w:val="auto"/>
              </w:rPr>
            </w:pPr>
          </w:p>
        </w:tc>
      </w:tr>
      <w:tr>
        <w:trPr>
          <w:trHeight w:val="466"/>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62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203">
              <w:r>
                <w:rPr>
                  <w:rFonts w:ascii="Times New Roman" w:cs="Times New Roman" w:eastAsia="Times New Roman" w:hAnsi="Times New Roman"/>
                  <w:sz w:val="18"/>
                  <w:szCs w:val="18"/>
                  <w:color w:val="0000FF"/>
                  <w:w w:val="99"/>
                </w:rPr>
                <w:t>Certification of Chief Financial Officer pursuant to Rule 13a-14(a)/15d-14(a).</w:t>
              </w:r>
            </w:hyperlink>
          </w:p>
        </w:tc>
        <w:tc>
          <w:tcPr>
            <w:tcW w:w="40" w:type="dxa"/>
            <w:vAlign w:val="bottom"/>
            <w:tcBorders>
              <w:top w:val="single" w:sz="8" w:color="0000FF"/>
            </w:tcBorders>
          </w:tcPr>
          <w:p>
            <w:pPr>
              <w:spacing w:after="0"/>
              <w:rPr>
                <w:sz w:val="24"/>
                <w:szCs w:val="24"/>
                <w:color w:val="auto"/>
              </w:rPr>
            </w:pPr>
          </w:p>
        </w:tc>
        <w:tc>
          <w:tcPr>
            <w:tcW w:w="4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0"/>
          </w:tcPr>
          <w:p>
            <w:pPr>
              <w:spacing w:after="0"/>
              <w:rPr>
                <w:rFonts w:ascii="Times New Roman" w:cs="Times New Roman" w:eastAsia="Times New Roman" w:hAnsi="Times New Roman"/>
                <w:sz w:val="18"/>
                <w:szCs w:val="18"/>
                <w:color w:val="0000FF"/>
              </w:rPr>
            </w:pPr>
            <w:hyperlink w:anchor="page204">
              <w:r>
                <w:rPr>
                  <w:rFonts w:ascii="Times New Roman" w:cs="Times New Roman" w:eastAsia="Times New Roman" w:hAnsi="Times New Roman"/>
                  <w:sz w:val="18"/>
                  <w:szCs w:val="18"/>
                  <w:color w:val="0000FF"/>
                </w:rPr>
                <w:t>Certification of Chief Executive Officer Pursuant to Section 18 U.S.C. Section 1350, as Adopted Pursuant to Section 906 of the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w:anchor="page204">
              <w:r>
                <w:rPr>
                  <w:rFonts w:ascii="Times New Roman" w:cs="Times New Roman" w:eastAsia="Times New Roman" w:hAnsi="Times New Roman"/>
                  <w:sz w:val="18"/>
                  <w:szCs w:val="18"/>
                  <w:color w:val="0000FF"/>
                </w:rPr>
                <w:t>Sarbanes-Oxley Act of 2002.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Borders>
              <w:top w:val="single" w:sz="8" w:color="0000FF"/>
            </w:tcBorders>
            <w:gridSpan w:val="2"/>
          </w:tcPr>
          <w:p>
            <w:pPr>
              <w:spacing w:after="0"/>
              <w:rPr>
                <w:sz w:val="24"/>
                <w:szCs w:val="24"/>
                <w:color w:val="auto"/>
              </w:rPr>
            </w:pPr>
          </w:p>
        </w:tc>
        <w:tc>
          <w:tcPr>
            <w:tcW w:w="284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709" w:right="359" w:bottom="1440" w:gutter="0" w:footer="0" w:header="0"/>
        </w:sectPr>
      </w:pPr>
    </w:p>
    <w:bookmarkStart w:id="57" w:name="page58"/>
    <w:bookmarkEnd w:id="57"/>
    <w:p>
      <w:pPr>
        <w:ind w:left="40"/>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69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7" w:lineRule="exact"/>
        <w:rPr>
          <w:sz w:val="20"/>
          <w:szCs w:val="20"/>
          <w:color w:val="auto"/>
        </w:rPr>
      </w:pPr>
    </w:p>
    <w:p>
      <w:pPr>
        <w:ind w:left="1140" w:hanging="1205"/>
        <w:spacing w:after="0" w:line="210"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28"/>
          <w:szCs w:val="28"/>
          <w:color w:val="auto"/>
          <w:vertAlign w:val="superscript"/>
        </w:rPr>
        <w:t xml:space="preserve">— </w:t>
      </w:r>
      <w:hyperlink w:anchor="page205">
        <w:r>
          <w:rPr>
            <w:rFonts w:ascii="Times New Roman" w:cs="Times New Roman" w:eastAsia="Times New Roman" w:hAnsi="Times New Roman"/>
            <w:sz w:val="17"/>
            <w:szCs w:val="17"/>
            <w:u w:val="single" w:color="auto"/>
            <w:color w:val="0000FF"/>
          </w:rPr>
          <w:t>Certification of Chief Financial Officer Pursuant to Section 18 U.S.C. Section 1350, as Adopted Pursuant to Section 906 of the</w:t>
        </w:r>
      </w:hyperlink>
      <w:r>
        <w:rPr>
          <w:rFonts w:ascii="Times New Roman" w:cs="Times New Roman" w:eastAsia="Times New Roman" w:hAnsi="Times New Roman"/>
          <w:sz w:val="28"/>
          <w:szCs w:val="28"/>
          <w:color w:val="auto"/>
        </w:rPr>
        <w:t xml:space="preserve"> </w:t>
      </w:r>
      <w:hyperlink w:anchor="page205">
        <w:r>
          <w:rPr>
            <w:rFonts w:ascii="Times New Roman" w:cs="Times New Roman" w:eastAsia="Times New Roman" w:hAnsi="Times New Roman"/>
            <w:sz w:val="17"/>
            <w:szCs w:val="17"/>
            <w:u w:val="single" w:color="auto"/>
            <w:color w:val="0000FF"/>
          </w:rPr>
          <w:t>Sarbanes-Oxley Act of 2002.</w:t>
        </w:r>
      </w:hyperlink>
    </w:p>
    <w:p>
      <w:pPr>
        <w:spacing w:after="0" w:line="209" w:lineRule="exact"/>
        <w:rPr>
          <w:sz w:val="20"/>
          <w:szCs w:val="20"/>
          <w:color w:val="auto"/>
        </w:rPr>
      </w:pPr>
    </w:p>
    <w:p>
      <w:pPr>
        <w:ind w:left="280"/>
        <w:spacing w:after="0"/>
        <w:tabs>
          <w:tab w:leader="none" w:pos="1120" w:val="left"/>
          <w:tab w:leader="none" w:pos="148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12" w:lineRule="exact"/>
        <w:rPr>
          <w:sz w:val="20"/>
          <w:szCs w:val="20"/>
          <w:color w:val="auto"/>
        </w:rPr>
      </w:pPr>
    </w:p>
    <w:p>
      <w:pPr>
        <w:ind w:left="220"/>
        <w:spacing w:after="0"/>
        <w:tabs>
          <w:tab w:leader="none" w:pos="1120" w:val="left"/>
          <w:tab w:leader="none" w:pos="148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112" w:lineRule="exact"/>
        <w:rPr>
          <w:sz w:val="20"/>
          <w:szCs w:val="20"/>
          <w:color w:val="auto"/>
        </w:rPr>
      </w:pPr>
    </w:p>
    <w:p>
      <w:pPr>
        <w:ind w:left="220"/>
        <w:spacing w:after="0"/>
        <w:tabs>
          <w:tab w:leader="none" w:pos="1120" w:val="left"/>
          <w:tab w:leader="none" w:pos="148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112" w:lineRule="exact"/>
        <w:rPr>
          <w:sz w:val="20"/>
          <w:szCs w:val="20"/>
          <w:color w:val="auto"/>
        </w:rPr>
      </w:pPr>
    </w:p>
    <w:p>
      <w:pPr>
        <w:ind w:left="240"/>
        <w:spacing w:after="0"/>
        <w:tabs>
          <w:tab w:leader="none" w:pos="1120" w:val="left"/>
          <w:tab w:leader="none" w:pos="148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112" w:lineRule="exact"/>
        <w:rPr>
          <w:sz w:val="20"/>
          <w:szCs w:val="20"/>
          <w:color w:val="auto"/>
        </w:rPr>
      </w:pPr>
    </w:p>
    <w:p>
      <w:pPr>
        <w:ind w:left="220"/>
        <w:spacing w:after="0"/>
        <w:tabs>
          <w:tab w:leader="none" w:pos="1120" w:val="left"/>
          <w:tab w:leader="none" w:pos="148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112" w:lineRule="exact"/>
        <w:rPr>
          <w:sz w:val="20"/>
          <w:szCs w:val="20"/>
          <w:color w:val="auto"/>
        </w:rPr>
      </w:pPr>
    </w:p>
    <w:p>
      <w:pPr>
        <w:ind w:left="240"/>
        <w:spacing w:after="0"/>
        <w:tabs>
          <w:tab w:leader="none" w:pos="1120" w:val="left"/>
          <w:tab w:leader="none" w:pos="148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238" w:lineRule="exact"/>
        <w:rPr>
          <w:sz w:val="20"/>
          <w:szCs w:val="20"/>
          <w:color w:val="auto"/>
        </w:rPr>
      </w:pPr>
    </w:p>
    <w:p>
      <w:pPr>
        <w:ind w:left="720" w:right="100" w:hanging="685"/>
        <w:spacing w:after="0" w:line="28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based on a request for confidential treatment pursuant to Rule 24b-2 of the Securities Exchange Act of 1934. Such omitted portions have been filed separately with the Commission.</w:t>
      </w:r>
    </w:p>
    <w:p>
      <w:pPr>
        <w:spacing w:after="0" w:line="2" w:lineRule="exact"/>
        <w:rPr>
          <w:sz w:val="20"/>
          <w:szCs w:val="20"/>
          <w:color w:val="auto"/>
        </w:rPr>
      </w:pPr>
    </w:p>
    <w:p>
      <w:pPr>
        <w:ind w:left="720" w:hanging="68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rFonts w:ascii="Times New Roman" w:cs="Times New Roman" w:eastAsia="Times New Roman" w:hAnsi="Times New Roman"/>
          <w:sz w:val="18"/>
          <w:szCs w:val="18"/>
          <w:color w:val="auto"/>
        </w:rPr>
      </w:pPr>
    </w:p>
    <w:p>
      <w:pPr>
        <w:ind w:left="720" w:hanging="68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240" w:top="709" w:right="39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63" w:lineRule="exact"/>
        <w:rPr>
          <w:sz w:val="20"/>
          <w:szCs w:val="20"/>
          <w:color w:val="auto"/>
        </w:rPr>
      </w:pPr>
    </w:p>
    <w:p>
      <w:pPr>
        <w:ind w:left="734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34290</wp:posOffset>
            </wp:positionV>
            <wp:extent cx="2169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Brett A. Cope</w:t>
      </w:r>
    </w:p>
    <w:p>
      <w:pPr>
        <w:spacing w:after="0" w:line="63"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firstLine="500"/>
        <w:spacing w:after="0" w:line="34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62" w:lineRule="exact"/>
        <w:rPr>
          <w:sz w:val="20"/>
          <w:szCs w:val="20"/>
          <w:color w:val="auto"/>
        </w:rPr>
      </w:pPr>
    </w:p>
    <w:p>
      <w:pPr>
        <w:ind w:left="2060"/>
        <w:spacing w:after="0"/>
        <w:tabs>
          <w:tab w:leader="none" w:pos="81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p>
      <w:pPr>
        <w:spacing w:after="0" w:line="305"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Brett A. Cope</w:t>
      </w:r>
    </w:p>
    <w:p>
      <w:pPr>
        <w:spacing w:after="0" w:line="38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00" w:lineRule="exact"/>
        <w:rPr>
          <w:sz w:val="20"/>
          <w:szCs w:val="20"/>
          <w:color w:val="auto"/>
        </w:rPr>
      </w:pPr>
    </w:p>
    <w:p>
      <w:pPr>
        <w:spacing w:after="0" w:line="295"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/s/Milburn Honeycutt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Milburn Honeycutt</w:t>
      </w:r>
    </w:p>
    <w:p>
      <w:pPr>
        <w:spacing w:after="0" w:line="200" w:lineRule="exact"/>
        <w:rPr>
          <w:sz w:val="20"/>
          <w:szCs w:val="20"/>
          <w:color w:val="auto"/>
        </w:rPr>
      </w:pPr>
    </w:p>
    <w:p>
      <w:pPr>
        <w:spacing w:after="0" w:line="228"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/s/Thomas W.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Thomas W. Powell</w:t>
      </w:r>
    </w:p>
    <w:p>
      <w:pPr>
        <w:spacing w:after="0" w:line="29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8"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Christopher E. Cragg</w:t>
      </w:r>
    </w:p>
    <w:p>
      <w:pPr>
        <w:spacing w:after="0" w:line="239"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Perry L. Elders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Perry L. Elders</w:t>
      </w:r>
    </w:p>
    <w:p>
      <w:pPr>
        <w:spacing w:after="0" w:line="36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Bonnie V.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Bonnie V. Hancock</w:t>
      </w:r>
    </w:p>
    <w:p>
      <w:pPr>
        <w:spacing w:after="0" w:line="239"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James W.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James W. McGill</w:t>
      </w:r>
    </w:p>
    <w:p>
      <w:pPr>
        <w:spacing w:after="0" w:line="239"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John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John D. White</w:t>
      </w:r>
    </w:p>
    <w:p>
      <w:pPr>
        <w:spacing w:after="0" w:line="279"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756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7"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Vice President</w:t>
      </w:r>
    </w:p>
    <w:p>
      <w:pPr>
        <w:spacing w:after="0" w:line="27"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Corporate Controller</w:t>
      </w:r>
    </w:p>
    <w:p>
      <w:pPr>
        <w:spacing w:after="0" w:line="9"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Emeritus of the Board Director</w:t>
      </w:r>
    </w:p>
    <w:p>
      <w:pPr>
        <w:spacing w:after="0" w:line="200" w:lineRule="exact"/>
        <w:rPr>
          <w:sz w:val="20"/>
          <w:szCs w:val="20"/>
          <w:color w:val="auto"/>
        </w:rPr>
      </w:pPr>
    </w:p>
    <w:p>
      <w:pPr>
        <w:spacing w:after="0" w:line="37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214630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6060" w:space="720"/>
            <w:col w:w="4620"/>
          </w:cols>
          <w:pgMar w:left="240" w:top="549" w:right="25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5, 2019</w:t>
      </w:r>
    </w:p>
    <w:p>
      <w:pPr>
        <w:sectPr>
          <w:pgSz w:w="11900" w:h="16838" w:orient="portrait"/>
          <w:cols w:equalWidth="0" w:num="1">
            <w:col w:w="11400"/>
          </w:cols>
          <w:pgMar w:left="240" w:top="549" w:right="25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549" w:right="259" w:bottom="1440" w:gutter="0" w:footer="0" w:header="0"/>
          <w:type w:val="continuous"/>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487680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Dated as of September 27, 2019</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among</w:t>
      </w:r>
    </w:p>
    <w:p>
      <w:pPr>
        <w:spacing w:after="0" w:line="2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POWELL INDUSTRIES, INC.,</w:t>
      </w:r>
    </w:p>
    <w:p>
      <w:pPr>
        <w:spacing w:after="0" w:line="2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9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9"/>
          <w:szCs w:val="19"/>
          <w:b w:val="1"/>
          <w:bCs w:val="1"/>
          <w:color w:val="auto"/>
        </w:rPr>
        <w:t>CERTAIN SUBSIDIARIES OF THE BORROWER PARTY HERETO,</w:t>
      </w:r>
    </w:p>
    <w:p>
      <w:pPr>
        <w:spacing w:after="0" w:line="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as the Guarantors,</w:t>
      </w:r>
    </w:p>
    <w:p>
      <w:pPr>
        <w:spacing w:after="0" w:line="19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as Administrative Agent, Swingline Lender and</w:t>
      </w:r>
    </w:p>
    <w:p>
      <w:pPr>
        <w:jc w:val="center"/>
        <w:ind w:right="1200"/>
        <w:spacing w:after="0"/>
        <w:rPr>
          <w:sz w:val="20"/>
          <w:szCs w:val="20"/>
          <w:color w:val="auto"/>
        </w:rPr>
      </w:pPr>
      <w:r>
        <w:rPr>
          <w:rFonts w:ascii="Times New Roman" w:cs="Times New Roman" w:eastAsia="Times New Roman" w:hAnsi="Times New Roman"/>
          <w:sz w:val="20"/>
          <w:szCs w:val="20"/>
          <w:color w:val="auto"/>
        </w:rPr>
        <w:t>L/C Issuer,</w:t>
      </w:r>
    </w:p>
    <w:p>
      <w:pPr>
        <w:spacing w:after="0" w:line="19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750570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63" w:right="239" w:bottom="1440" w:gutter="0" w:footer="0" w:header="0"/>
        </w:sectPr>
      </w:pPr>
    </w:p>
    <w:bookmarkStart w:id="60" w:name="page61"/>
    <w:bookmarkEnd w:id="60"/>
    <w:p>
      <w:pPr>
        <w:ind w:left="37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2020" w:type="dxa"/>
            <w:vAlign w:val="bottom"/>
          </w:tcPr>
          <w:p>
            <w:pPr>
              <w:jc w:val="right"/>
              <w:ind w:right="1510"/>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716"/>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76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1.01</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Defined Terms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1.02</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Other Interpretive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1.03</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Accounting Terms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1.04</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Rounding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1.05</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Times of Day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1.06</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Letter of Credit Amounts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1.07</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UCC Terms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1.08</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Exchange Rates; Currency Equivalents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1.09</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Additional Alternative Currencies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Change of Currency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60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76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COMMITMENTS AND CREDIT EXTENSIONS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2.01</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Borrowings, Conversions and Continuations of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2.03</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Letters of Credit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2.04</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Swingline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2.05</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Prepayments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2.06</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Termination or Reduction of Commitments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2.07</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Repayment of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2.08</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Interest and Default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2.09</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Fees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2.10</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Computation of Interest and Fees; Retroactive Adjustments of Applicable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2.11</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Evidence of Debt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2.12</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Payments Generally; Administrative Agent’s Clawback</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2.13</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Sharing of Payments by Lenders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2.14</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Cash Collateral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2.15</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Defaulting Lenders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2.16</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Increase in Revolving Facility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567"/>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III.</w:t>
            </w:r>
          </w:p>
        </w:tc>
        <w:tc>
          <w:tcPr>
            <w:tcW w:w="76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3.01</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3.02</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Illegality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3.03</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Inability to Determine Rates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3.04</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Increased Costs; Reserves on Eurocurrency Rate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3.05</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Compensation for Losses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3.06</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Mitigation Obligations; Replacement of Lenders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3.07</w:t>
            </w: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Survival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0160"/>
          </w:cols>
          <w:pgMar w:left="1160" w:top="558" w:right="5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IV.</w:t>
            </w:r>
          </w:p>
        </w:tc>
        <w:tc>
          <w:tcPr>
            <w:tcW w:w="738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4.01</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Conditions of Initial Credit Extension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4.02</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Conditions to all Credit Extensions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567"/>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V.</w:t>
            </w:r>
          </w:p>
        </w:tc>
        <w:tc>
          <w:tcPr>
            <w:tcW w:w="738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5.01</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Existence, Qualification and Power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5.02</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Authorization; No Contravention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5.03</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Governmental Authorization; Other Consents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5.04</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Binding Effect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5.05</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Financial Statements; No Material Adverse Effect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5.06</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Litigation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5.07</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No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5.08</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Ownership of Property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5.09</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Environmental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5.10</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Insurance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5.11</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5.12</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ERISA Compliance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5.13</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Margin Regulations; Investment Company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5.14</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Disclosure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5.15</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Compliance with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5.16</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Solvency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5.17</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Casualty,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5.18</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Sanctions Concerns and Anti-Corruption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5.19</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Responsible Officers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5.20</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Subsidiaries; Equity Interests; Loan Parties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5.21</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Collateral Representations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5.22</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EEA Financial Institutions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5.23</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Covered Entities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5.24</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Beneficial Ownership Certification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567"/>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VI.</w:t>
            </w:r>
          </w:p>
        </w:tc>
        <w:tc>
          <w:tcPr>
            <w:tcW w:w="738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AFFIRMATIVE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6.01</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6.02</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Certificates; Other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6.03</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Notices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6.04</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Payment of Obligations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6.05</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Preservation of Existence,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6.06</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Maintenance of Properties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6.07</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Maintenance of Insurance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6.08</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Compliance with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6.09</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Books and Records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6.10</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Inspection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6.11</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Use of Proceeds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6.12</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6.13</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Covenant to Guarantee Obligations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6.14</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Covenant to Give Security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6.15</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Cash Management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6.16</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Anti-Corruption Laws; Sanctions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84"/>
        </w:trPr>
        <w:tc>
          <w:tcPr>
            <w:tcW w:w="50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6.17</w:t>
            </w:r>
          </w:p>
        </w:tc>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Post-Closing Covenant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200" w:lineRule="exact"/>
        <w:rPr>
          <w:sz w:val="20"/>
          <w:szCs w:val="20"/>
          <w:color w:val="auto"/>
        </w:rPr>
      </w:pPr>
    </w:p>
    <w:p>
      <w:pPr>
        <w:sectPr>
          <w:pgSz w:w="11900" w:h="16838" w:orient="portrait"/>
          <w:cols w:equalWidth="0" w:num="1">
            <w:col w:w="10160"/>
          </w:cols>
          <w:pgMar w:left="1160" w:top="829" w:right="579" w:bottom="1162" w:gutter="0" w:footer="0" w:header="0"/>
        </w:sectPr>
      </w:pP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10160"/>
          </w:cols>
          <w:pgMar w:left="1160" w:top="829" w:right="579" w:bottom="1162"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VII.</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NEGATIVE COVENANTS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Liens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Investments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Fundamental Changes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Dispositions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7.06</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Restricted Payments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7.07</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Change in Nature of Business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7.08</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Transactions with Affiliates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7.09</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Burdensome Agreements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7.10</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7.11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Financial Covenants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51"/>
        </w:trPr>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Amendments of Organization Documents; Fiscal Year; Legal Name, State of Formation; Form</w:t>
            </w:r>
          </w:p>
        </w:tc>
        <w:tc>
          <w:tcPr>
            <w:tcW w:w="500" w:type="dxa"/>
            <w:vAlign w:val="bottom"/>
          </w:tcPr>
          <w:p>
            <w:pPr>
              <w:spacing w:after="0"/>
              <w:rPr>
                <w:sz w:val="21"/>
                <w:szCs w:val="21"/>
                <w:color w:val="auto"/>
              </w:rPr>
            </w:pPr>
          </w:p>
        </w:tc>
      </w:tr>
      <w:tr>
        <w:trPr>
          <w:trHeight w:val="262"/>
        </w:trPr>
        <w:tc>
          <w:tcPr>
            <w:tcW w:w="5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7.12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of Entity and Accounting Changes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7.13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Sale and Leaseback Transactions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7.14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Sanctions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7.15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Anti-Corruption Laws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56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VIII.</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8.01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Events of Default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8.02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Remedies upon Event of Default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8.03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Application of Funds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56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IX.</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ADMINISTRATIVE AGENT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Appointment and Authority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Rights as a Lender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Exculpatory Provisions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Reliance by Administrative Agent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Delegation of Duties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9.06</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Resignation of Administrative Agent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9.07</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Non-Reliance on Administrative Agent and Other Lenders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9.08</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No Other Duties, Etc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9.09</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Administrative Agent May File Proofs of Claim; Credit Bidding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9.10</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Collateral and Guaranty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9.11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Secured Cash Management Agreements and Secured Hedge Agreements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9.12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Certain ERISA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56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X.</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CONTINUING GUARANTY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Guaranty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Rights of Lenders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Certain Waivers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Obligations Independent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Subrogation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10.06</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Termination; Reinstatement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10.07</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Stay of Acceleration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10.08</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Condition of Borrower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10.09</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Appointment of Borrower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10.10</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Right of Contribution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84"/>
        </w:trPr>
        <w:tc>
          <w:tcPr>
            <w:tcW w:w="5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Keepwell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00" w:lineRule="exact"/>
        <w:rPr>
          <w:sz w:val="20"/>
          <w:szCs w:val="20"/>
          <w:color w:val="auto"/>
        </w:rPr>
      </w:pPr>
    </w:p>
    <w:p>
      <w:pPr>
        <w:sectPr>
          <w:pgSz w:w="11900" w:h="16838" w:orient="portrait"/>
          <w:cols w:equalWidth="0" w:num="1">
            <w:col w:w="10160"/>
          </w:cols>
          <w:pgMar w:left="1160" w:top="828" w:right="579" w:bottom="1440" w:gutter="0" w:footer="0" w:header="0"/>
        </w:sectPr>
      </w:pPr>
    </w:p>
    <w:p>
      <w:pPr>
        <w:spacing w:after="0" w:line="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10160"/>
          </w:cols>
          <w:pgMar w:left="1160" w:top="828" w:right="57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62"/>
        </w:trPr>
        <w:tc>
          <w:tcPr>
            <w:tcW w:w="138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XI.</w:t>
            </w:r>
          </w:p>
        </w:tc>
        <w:tc>
          <w:tcPr>
            <w:tcW w:w="846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MISCELLANEOUS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111</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11.01</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Amendments, Etc</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111</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11.02</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Notices; Effectiveness; Electronic Communications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114</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11.03</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No Waiver; Cumulative Remedies; Enforcement</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116</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11.04</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Expenses; Indemnity; Damage Waiver</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117</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11.05</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Payments Set Aside</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119</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11.06</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Successors and Assigns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119</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11.07</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Treatment of Certain Information; Confidentiality</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124</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11.08</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Right of Setoff</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125</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11.09</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Interest Rate Limitation</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125</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11.10</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Counterparts; Integration; Effectiveness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126</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11.11</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Survival of Representations and Warranties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126</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11.12</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Severability</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126</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11.13</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Replacement of Lenders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126</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11.14</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Governing Law; Jurisdiction; Etc</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128</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11.15</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Waiver of Jury Trial</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129</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11.16</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Subordination</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129</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11.17</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No Advisory or Fiduciary Responsibility</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129</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11.18</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Electronic Execution; Electronic Records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130</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11.19</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USA Patriot Act Notice</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130</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11.20</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Acknowledgement and Consent to Bail-In of EEA Financial Institutions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131</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11.21</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Acknowledgement Regarding Any Supported QFCs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131</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11.22</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Time of the Essence</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132</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11.23</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Judgment Currency</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132</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11.24</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Amendment and Restatement</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132</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11.25</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Reallocation of Commitments</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132</w:t>
            </w:r>
          </w:p>
        </w:tc>
      </w:tr>
      <w:tr>
        <w:trPr>
          <w:trHeight w:val="284"/>
        </w:trPr>
        <w:tc>
          <w:tcPr>
            <w:tcW w:w="1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11.26</w:t>
            </w:r>
          </w:p>
        </w:tc>
        <w:tc>
          <w:tcPr>
            <w:tcW w:w="7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ENTIRE AGREEMENT</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3"/>
              </w:rPr>
              <w:t>133</w:t>
            </w:r>
          </w:p>
        </w:tc>
      </w:tr>
      <w:tr>
        <w:trPr>
          <w:trHeight w:val="864"/>
        </w:trPr>
        <w:tc>
          <w:tcPr>
            <w:tcW w:w="9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BORROWER PREPARED SCHEDULES</w:t>
            </w:r>
          </w:p>
        </w:tc>
        <w:tc>
          <w:tcPr>
            <w:tcW w:w="1020" w:type="dxa"/>
            <w:vAlign w:val="bottom"/>
          </w:tcPr>
          <w:p>
            <w:pPr>
              <w:spacing w:after="0"/>
              <w:rPr>
                <w:sz w:val="24"/>
                <w:szCs w:val="24"/>
                <w:color w:val="auto"/>
              </w:rPr>
            </w:pPr>
          </w:p>
        </w:tc>
      </w:tr>
      <w:tr>
        <w:trPr>
          <w:trHeight w:val="581"/>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1.01(c)</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Responsible Officers</w:t>
            </w:r>
          </w:p>
        </w:tc>
        <w:tc>
          <w:tcPr>
            <w:tcW w:w="1020" w:type="dxa"/>
            <w:vAlign w:val="bottom"/>
          </w:tcPr>
          <w:p>
            <w:pPr>
              <w:spacing w:after="0"/>
              <w:rPr>
                <w:sz w:val="24"/>
                <w:szCs w:val="24"/>
                <w:color w:val="auto"/>
              </w:rPr>
            </w:pPr>
          </w:p>
        </w:tc>
      </w:tr>
      <w:tr>
        <w:trPr>
          <w:trHeight w:val="284"/>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5.12</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Pension Plans</w:t>
            </w:r>
          </w:p>
        </w:tc>
        <w:tc>
          <w:tcPr>
            <w:tcW w:w="1020" w:type="dxa"/>
            <w:vAlign w:val="bottom"/>
          </w:tcPr>
          <w:p>
            <w:pPr>
              <w:spacing w:after="0"/>
              <w:rPr>
                <w:sz w:val="24"/>
                <w:szCs w:val="24"/>
                <w:color w:val="auto"/>
              </w:rPr>
            </w:pPr>
          </w:p>
        </w:tc>
      </w:tr>
      <w:tr>
        <w:trPr>
          <w:trHeight w:val="284"/>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5.20(a)</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Subsidiaries, Joint Ventures, Partnerships and Other Equity Investments</w:t>
            </w:r>
          </w:p>
        </w:tc>
        <w:tc>
          <w:tcPr>
            <w:tcW w:w="1020" w:type="dxa"/>
            <w:vAlign w:val="bottom"/>
          </w:tcPr>
          <w:p>
            <w:pPr>
              <w:spacing w:after="0"/>
              <w:rPr>
                <w:sz w:val="24"/>
                <w:szCs w:val="24"/>
                <w:color w:val="auto"/>
              </w:rPr>
            </w:pPr>
          </w:p>
        </w:tc>
      </w:tr>
      <w:tr>
        <w:trPr>
          <w:trHeight w:val="284"/>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5.20(b)</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Loan Parties</w:t>
            </w:r>
          </w:p>
        </w:tc>
        <w:tc>
          <w:tcPr>
            <w:tcW w:w="1020" w:type="dxa"/>
            <w:vAlign w:val="bottom"/>
          </w:tcPr>
          <w:p>
            <w:pPr>
              <w:spacing w:after="0"/>
              <w:rPr>
                <w:sz w:val="24"/>
                <w:szCs w:val="24"/>
                <w:color w:val="auto"/>
              </w:rPr>
            </w:pPr>
          </w:p>
        </w:tc>
      </w:tr>
      <w:tr>
        <w:trPr>
          <w:trHeight w:val="284"/>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5.21(b)</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Pledged Equity Interests</w:t>
            </w:r>
          </w:p>
        </w:tc>
        <w:tc>
          <w:tcPr>
            <w:tcW w:w="1020" w:type="dxa"/>
            <w:vAlign w:val="bottom"/>
          </w:tcPr>
          <w:p>
            <w:pPr>
              <w:spacing w:after="0"/>
              <w:rPr>
                <w:sz w:val="24"/>
                <w:szCs w:val="24"/>
                <w:color w:val="auto"/>
              </w:rPr>
            </w:pPr>
          </w:p>
        </w:tc>
      </w:tr>
      <w:tr>
        <w:trPr>
          <w:trHeight w:val="284"/>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6.14</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Excluded Accounts</w:t>
            </w:r>
          </w:p>
        </w:tc>
        <w:tc>
          <w:tcPr>
            <w:tcW w:w="1020" w:type="dxa"/>
            <w:vAlign w:val="bottom"/>
          </w:tcPr>
          <w:p>
            <w:pPr>
              <w:spacing w:after="0"/>
              <w:rPr>
                <w:sz w:val="24"/>
                <w:szCs w:val="24"/>
                <w:color w:val="auto"/>
              </w:rPr>
            </w:pPr>
          </w:p>
        </w:tc>
      </w:tr>
      <w:tr>
        <w:trPr>
          <w:trHeight w:val="284"/>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7.01</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Existing Liens</w:t>
            </w:r>
          </w:p>
        </w:tc>
        <w:tc>
          <w:tcPr>
            <w:tcW w:w="1020" w:type="dxa"/>
            <w:vAlign w:val="bottom"/>
          </w:tcPr>
          <w:p>
            <w:pPr>
              <w:spacing w:after="0"/>
              <w:rPr>
                <w:sz w:val="24"/>
                <w:szCs w:val="24"/>
                <w:color w:val="auto"/>
              </w:rPr>
            </w:pPr>
          </w:p>
        </w:tc>
      </w:tr>
      <w:tr>
        <w:trPr>
          <w:trHeight w:val="284"/>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7.02</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Existing Indebtedness</w:t>
            </w:r>
          </w:p>
        </w:tc>
        <w:tc>
          <w:tcPr>
            <w:tcW w:w="1020" w:type="dxa"/>
            <w:vAlign w:val="bottom"/>
          </w:tcPr>
          <w:p>
            <w:pPr>
              <w:spacing w:after="0"/>
              <w:rPr>
                <w:sz w:val="24"/>
                <w:szCs w:val="24"/>
                <w:color w:val="auto"/>
              </w:rPr>
            </w:pPr>
          </w:p>
        </w:tc>
      </w:tr>
      <w:tr>
        <w:trPr>
          <w:trHeight w:val="284"/>
        </w:trPr>
        <w:tc>
          <w:tcPr>
            <w:tcW w:w="22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7.03</w:t>
            </w:r>
          </w:p>
        </w:tc>
        <w:tc>
          <w:tcPr>
            <w:tcW w:w="764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Existing Investments</w:t>
            </w: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AGENT PREPARED SCHEDULES</w:t>
      </w:r>
    </w:p>
    <w:p>
      <w:pPr>
        <w:spacing w:after="0" w:line="355" w:lineRule="exact"/>
        <w:rPr>
          <w:sz w:val="20"/>
          <w:szCs w:val="20"/>
          <w:color w:val="auto"/>
        </w:rPr>
      </w:pPr>
    </w:p>
    <w:p>
      <w:pPr>
        <w:ind w:left="300"/>
        <w:spacing w:after="0"/>
        <w:tabs>
          <w:tab w:leader="none" w:pos="3400" w:val="left"/>
        </w:tabs>
        <w:rPr>
          <w:sz w:val="20"/>
          <w:szCs w:val="20"/>
          <w:color w:val="auto"/>
        </w:rPr>
      </w:pPr>
      <w:r>
        <w:rPr>
          <w:rFonts w:ascii="Times New Roman" w:cs="Times New Roman" w:eastAsia="Times New Roman" w:hAnsi="Times New Roman"/>
          <w:sz w:val="20"/>
          <w:szCs w:val="20"/>
          <w:color w:val="auto"/>
        </w:rPr>
        <w:t>SCHEDULE 1.01(a)</w:t>
      </w:r>
      <w:r>
        <w:rPr>
          <w:sz w:val="20"/>
          <w:szCs w:val="20"/>
          <w:color w:val="auto"/>
        </w:rPr>
        <w:tab/>
      </w:r>
      <w:r>
        <w:rPr>
          <w:rFonts w:ascii="Times New Roman" w:cs="Times New Roman" w:eastAsia="Times New Roman" w:hAnsi="Times New Roman"/>
          <w:sz w:val="19"/>
          <w:szCs w:val="19"/>
          <w:color w:val="auto"/>
        </w:rPr>
        <w:t>Certain Addresses for Notices</w:t>
      </w:r>
    </w:p>
    <w:p>
      <w:pPr>
        <w:spacing w:after="0" w:line="25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iv</w:t>
      </w:r>
    </w:p>
    <w:p>
      <w:pPr>
        <w:sectPr>
          <w:pgSz w:w="11900" w:h="16838" w:orient="portrait"/>
          <w:cols w:equalWidth="0" w:num="1">
            <w:col w:w="10860"/>
          </w:cols>
          <w:pgMar w:left="280" w:top="1112" w:right="759"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9"/>
          <w:szCs w:val="19"/>
          <w:color w:val="auto"/>
        </w:rPr>
        <w:t>SCHEDULE 1.01(b)</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SCHEDULE 1.01(d)</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SCHEDULE 2.01</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SCHEDULE 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Initial Commitments and Applicable Percentages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Swingline Commitments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Commitments</w:t>
      </w:r>
    </w:p>
    <w:p>
      <w:pPr>
        <w:spacing w:after="0" w:line="200" w:lineRule="exact"/>
        <w:rPr>
          <w:sz w:val="20"/>
          <w:szCs w:val="20"/>
          <w:color w:val="auto"/>
        </w:rPr>
      </w:pPr>
    </w:p>
    <w:p>
      <w:pPr>
        <w:sectPr>
          <w:pgSz w:w="11900" w:h="16838" w:orient="portrait"/>
          <w:cols w:equalWidth="0" w:num="2">
            <w:col w:w="2700" w:space="720"/>
            <w:col w:w="6759"/>
          </w:cols>
          <w:pgMar w:left="280" w:top="724" w:right="1440" w:bottom="1440" w:gutter="0" w:footer="0" w:header="0"/>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EXHIBITS</w:t>
      </w:r>
    </w:p>
    <w:p>
      <w:pPr>
        <w:sectPr>
          <w:pgSz w:w="11900" w:h="16838" w:orient="portrait"/>
          <w:cols w:equalWidth="0" w:num="1">
            <w:col w:w="10179"/>
          </w:cols>
          <w:pgMar w:left="280" w:top="724" w:right="1440" w:bottom="1440" w:gutter="0" w:footer="0" w:header="0"/>
          <w:type w:val="continuous"/>
        </w:sectPr>
      </w:pPr>
    </w:p>
    <w:p>
      <w:pPr>
        <w:spacing w:after="0" w:line="3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A</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B</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C</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D</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E</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F</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G</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H</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I</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J</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K</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L</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EXHIBIT M-1</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EXHIBIT M-2</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EXHIBIT M-3</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EXHIBIT M-4</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N</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O</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P</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Q</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EXHIBIT R</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Administrative Questionnaire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Assignment and Assumption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Compliance Certificate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Loan Notice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Permitted Acquisition Certificate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Revolving Note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Secured Party Designation Notice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Solvency Certificate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Swingline Loan Notice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Officer’s Certificate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Tax Compliance Certificates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Tax Compliance Certificates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Tax Compliance Certificates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Tax Compliance Certificates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Funding Indemnity Letter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Financial Condition Certificate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Authorization to Share Insurance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Notice of Loan Prepayment</w:t>
      </w:r>
    </w:p>
    <w:p>
      <w:pPr>
        <w:spacing w:after="0" w:line="200" w:lineRule="exact"/>
        <w:rPr>
          <w:sz w:val="20"/>
          <w:szCs w:val="20"/>
          <w:color w:val="auto"/>
        </w:rPr>
      </w:pPr>
    </w:p>
    <w:p>
      <w:pPr>
        <w:sectPr>
          <w:pgSz w:w="11900" w:h="16838" w:orient="portrait"/>
          <w:cols w:equalWidth="0" w:num="2">
            <w:col w:w="2700" w:space="720"/>
            <w:col w:w="6759"/>
          </w:cols>
          <w:pgMar w:left="280" w:top="7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179"/>
          </w:cols>
          <w:pgMar w:left="280" w:top="724" w:right="1440"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AMENDED AND RESTATED CREDIT AGREEMENT</w:t>
      </w:r>
      <w:r>
        <w:rPr>
          <w:rFonts w:ascii="Times New Roman" w:cs="Times New Roman" w:eastAsia="Times New Roman" w:hAnsi="Times New Roman"/>
          <w:sz w:val="20"/>
          <w:szCs w:val="20"/>
          <w:color w:val="auto"/>
        </w:rPr>
        <w:t xml:space="preserve"> is entered into as of September 27, 2019, among </w:t>
      </w:r>
      <w:r>
        <w:rPr>
          <w:rFonts w:ascii="Times New Roman" w:cs="Times New Roman" w:eastAsia="Times New Roman" w:hAnsi="Times New Roman"/>
          <w:sz w:val="20"/>
          <w:szCs w:val="20"/>
          <w:b w:val="1"/>
          <w:bCs w:val="1"/>
          <w:color w:val="auto"/>
        </w:rPr>
        <w:t>POWELL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INDUSTRIES,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the Guarantors (defined herein), the Lenders (defined herein), and</w:t>
      </w:r>
      <w:r>
        <w:rPr>
          <w:rFonts w:ascii="Times New Roman" w:cs="Times New Roman" w:eastAsia="Times New Roman" w:hAnsi="Times New Roman"/>
          <w:sz w:val="20"/>
          <w:szCs w:val="20"/>
          <w:b w:val="1"/>
          <w:bCs w:val="1"/>
          <w:color w:val="auto"/>
        </w:rPr>
        <w:t xml:space="preserve"> BANK OF AMERICA, N.A.</w:t>
      </w:r>
      <w:r>
        <w:rPr>
          <w:rFonts w:ascii="Times New Roman" w:cs="Times New Roman" w:eastAsia="Times New Roman" w:hAnsi="Times New Roman"/>
          <w:sz w:val="20"/>
          <w:szCs w:val="20"/>
          <w:color w:val="auto"/>
        </w:rPr>
        <w:t>, as Administrative Agent, Swingline Lender and L/C Issuer.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STATEMENTS:</w:t>
      </w:r>
    </w:p>
    <w:p>
      <w:pPr>
        <w:spacing w:after="0" w:line="220" w:lineRule="exact"/>
        <w:rPr>
          <w:sz w:val="20"/>
          <w:szCs w:val="20"/>
          <w:color w:val="auto"/>
        </w:rPr>
      </w:pPr>
    </w:p>
    <w:p>
      <w:pPr>
        <w:jc w:val="both"/>
        <w:ind w:firstLine="656"/>
        <w:spacing w:after="0"/>
        <w:tabs>
          <w:tab w:leader="none" w:pos="148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is party to that certain Credit Agreement dated as of December 31, 2013 (as amended through the Third Amendment dated June 27, 2017 the “</w:t>
      </w:r>
      <w:r>
        <w:rPr>
          <w:rFonts w:ascii="Times New Roman" w:cs="Times New Roman" w:eastAsia="Times New Roman" w:hAnsi="Times New Roman"/>
          <w:sz w:val="20"/>
          <w:szCs w:val="20"/>
          <w:b w:val="1"/>
          <w:bCs w:val="1"/>
          <w:i w:val="1"/>
          <w:iCs w:val="1"/>
          <w:color w:val="auto"/>
        </w:rPr>
        <w:t>Existing Credit Agreement</w:t>
      </w:r>
      <w:r>
        <w:rPr>
          <w:rFonts w:ascii="Times New Roman" w:cs="Times New Roman" w:eastAsia="Times New Roman" w:hAnsi="Times New Roman"/>
          <w:sz w:val="20"/>
          <w:szCs w:val="20"/>
          <w:color w:val="auto"/>
        </w:rPr>
        <w:t>”), among Borrower, Bank of America, N.A., as administrative agent, swing line lender, L/C issuer, and the lenders from time to time party thereto.</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01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has requested that the lenders under the Existing Credit Agreement amend and restate the Existing Credit Agreement and extend credit to the Borrowers in the form of a revolving credit facility.</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87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are willing to amend and restate the Existing Credit Agreement and extend such revolving credit facility to the Borrowers on the terms and conditions of this Agreement, including, without limitation loans and other financial accommodations to the Loan Parties and their Subsidiaries in an aggregate amount as of the Closing Date of up to $75,000,000.</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8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the Swingline Lender and the L/C Issuer have agreed to make such loans and other financial accommodations to the Loan Parties on the terms and subject to the conditions set forth herein.</w:t>
      </w:r>
    </w:p>
    <w:p>
      <w:pPr>
        <w:spacing w:after="0" w:line="1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herein contained, the parties hereto covenant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b w:val="1"/>
          <w:bCs w:val="1"/>
          <w:color w:val="auto"/>
        </w:rPr>
        <w:t>DEFINITIONS AND ACCOUNTING TERMS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b w:val="1"/>
          <w:bCs w:val="1"/>
          <w:color w:val="auto"/>
        </w:rPr>
        <w:t>Defined Terms</w:t>
      </w:r>
      <w:r>
        <w:rPr>
          <w:rFonts w:ascii="Times New Roman" w:cs="Times New Roman" w:eastAsia="Times New Roman" w:hAnsi="Times New Roman"/>
          <w:sz w:val="19"/>
          <w:szCs w:val="19"/>
          <w:color w:val="auto"/>
        </w:rPr>
        <w:t>. As used in this Agreement, the following terms shall have the meanings set forth below:</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Acquisition</w:t>
      </w:r>
      <w:r>
        <w:rPr>
          <w:rFonts w:ascii="Times New Roman" w:cs="Times New Roman" w:eastAsia="Times New Roman" w:hAnsi="Times New Roman"/>
          <w:sz w:val="20"/>
          <w:szCs w:val="20"/>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Additional Secured Obligations</w:t>
      </w:r>
      <w:r>
        <w:rPr>
          <w:rFonts w:ascii="Times New Roman" w:cs="Times New Roman" w:eastAsia="Times New Roman" w:hAnsi="Times New Roman"/>
          <w:sz w:val="20"/>
          <w:szCs w:val="20"/>
          <w:color w:val="auto"/>
        </w:rPr>
        <w:t>”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w:t>
      </w:r>
    </w:p>
    <w:p>
      <w:pPr>
        <w:sectPr>
          <w:pgSz w:w="11900" w:h="16838" w:orient="portrait"/>
          <w:cols w:equalWidth="0" w:num="1">
            <w:col w:w="11420"/>
          </w:cols>
          <w:pgMar w:left="240" w:top="558" w:right="239" w:bottom="1440" w:gutter="0" w:footer="0" w:header="0"/>
        </w:sectPr>
      </w:pPr>
    </w:p>
    <w:bookmarkStart w:id="66" w:name="page67"/>
    <w:bookmarkEnd w:id="66"/>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Additional Secured Obligations of a Guarantor shall exclude any Excluded Swap Obligations with respect to such Guarantor.</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b w:val="1"/>
          <w:bCs w:val="1"/>
          <w:i w:val="1"/>
          <w:iCs w:val="1"/>
          <w:color w:val="auto"/>
        </w:rPr>
        <w:t>Schedule 1.01(a)</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the Borrower and the Lenders.</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b w:val="1"/>
          <w:bCs w:val="1"/>
          <w:i w:val="1"/>
          <w:iCs w:val="1"/>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means this Credit Agreement, including all schedules, exhibits and annexes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w:t>
      </w:r>
      <w:r>
        <w:rPr>
          <w:rFonts w:ascii="Times New Roman" w:cs="Times New Roman" w:eastAsia="Times New Roman" w:hAnsi="Times New Roman"/>
          <w:sz w:val="20"/>
          <w:szCs w:val="20"/>
          <w:color w:val="auto"/>
        </w:rPr>
        <w:t xml:space="preserve">” means each of the following currencies: Sterling, Canadian Dollars, and Euros, together with each other currency (other than Dollars) that is approved in accordance with </w:t>
      </w:r>
      <w:r>
        <w:rPr>
          <w:rFonts w:ascii="Times New Roman" w:cs="Times New Roman" w:eastAsia="Times New Roman" w:hAnsi="Times New Roman"/>
          <w:sz w:val="20"/>
          <w:szCs w:val="20"/>
          <w:b w:val="1"/>
          <w:bCs w:val="1"/>
          <w:i w:val="1"/>
          <w:iCs w:val="1"/>
          <w:color w:val="auto"/>
        </w:rPr>
        <w:t>Section 1.09</w:t>
      </w:r>
      <w:r>
        <w:rPr>
          <w:rFonts w:ascii="Times New Roman" w:cs="Times New Roman" w:eastAsia="Times New Roman" w:hAnsi="Times New Roman"/>
          <w:sz w:val="20"/>
          <w:szCs w:val="20"/>
          <w:color w:val="auto"/>
        </w:rPr>
        <w:t>; provided that for each Alternative Currency, such requested currency is an Eligible Currency.</w:t>
      </w:r>
    </w:p>
    <w:p>
      <w:pPr>
        <w:spacing w:after="0" w:line="1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Business Days prior to the date as of which the foreign exchange computation is made; provided, however, that if no such rate is available, the “</w:t>
      </w:r>
      <w:r>
        <w:rPr>
          <w:rFonts w:ascii="Times New Roman" w:cs="Times New Roman" w:eastAsia="Times New Roman" w:hAnsi="Times New Roman"/>
          <w:sz w:val="20"/>
          <w:szCs w:val="20"/>
          <w:i w:val="1"/>
          <w:iCs w:val="1"/>
          <w:color w:val="auto"/>
        </w:rPr>
        <w:t>Alternative Currency Equivalent</w:t>
      </w:r>
      <w:r>
        <w:rPr>
          <w:rFonts w:ascii="Times New Roman" w:cs="Times New Roman" w:eastAsia="Times New Roman" w:hAnsi="Times New Roman"/>
          <w:sz w:val="20"/>
          <w:szCs w:val="20"/>
          <w:color w:val="auto"/>
        </w:rPr>
        <w:t>” shall be determined by the Administrative Agent or the L/C Issuer, as the case may be, using any reasonable method of determination it deems appropriate in its sole discretion (and such determination shall be conclusive absent manifest error).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Percentage</w:t>
      </w:r>
      <w:r>
        <w:rPr>
          <w:rFonts w:ascii="Times New Roman" w:cs="Times New Roman" w:eastAsia="Times New Roman" w:hAnsi="Times New Roman"/>
          <w:sz w:val="20"/>
          <w:szCs w:val="20"/>
          <w:color w:val="auto"/>
        </w:rPr>
        <w:t xml:space="preserve">” means in respect of the Revolving Facility, with respect to any Lender at any time, the percentage (carried out to the ninth decimal place) of the Revolving Facility represented by such Lender’s Revolving Commitment at such time, subject to adjustment as provided in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 xml:space="preserve">. If the Commitment of all of the Lenders to make Revolving Loans and the obligation of the L/C Issuer to make L/C Credit Extensions have been terminated pursuant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or if the Revolving Commitments have expired, then the Applicable Percentage of each Lender in respect of the Revolving Facility shall be determined based on the Applicable Percentage of such Lender in respect of the Revolving Facility most recently in effect, giving effect to any subsequent assignments and to any Lender’s status as a Defaulting Lender at the time of determination. The Applicable Percentage of each Lender in respect of the Revolving</w:t>
      </w:r>
    </w:p>
    <w:p>
      <w:pPr>
        <w:sectPr>
          <w:pgSz w:w="11900" w:h="16838" w:orient="portrait"/>
          <w:cols w:equalWidth="0" w:num="1">
            <w:col w:w="11420"/>
          </w:cols>
          <w:pgMar w:left="240" w:top="558" w:right="239" w:bottom="1440" w:gutter="0" w:footer="0" w:header="0"/>
        </w:sectPr>
      </w:pPr>
    </w:p>
    <w:bookmarkStart w:id="67" w:name="page68"/>
    <w:bookmarkEnd w:id="67"/>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 xml:space="preserve">Facility is set forth opposite the name of such Lender on </w:t>
      </w:r>
      <w:r>
        <w:rPr>
          <w:rFonts w:ascii="Times New Roman" w:cs="Times New Roman" w:eastAsia="Times New Roman" w:hAnsi="Times New Roman"/>
          <w:sz w:val="20"/>
          <w:szCs w:val="20"/>
          <w:b w:val="1"/>
          <w:bCs w:val="1"/>
          <w:i w:val="1"/>
          <w:iCs w:val="1"/>
          <w:color w:val="auto"/>
        </w:rPr>
        <w:t>Schedule 1.01(b)</w:t>
      </w:r>
      <w:r>
        <w:rPr>
          <w:rFonts w:ascii="Times New Roman" w:cs="Times New Roman" w:eastAsia="Times New Roman" w:hAnsi="Times New Roman"/>
          <w:sz w:val="20"/>
          <w:szCs w:val="20"/>
          <w:color w:val="auto"/>
        </w:rPr>
        <w:t xml:space="preserve"> or in the Assignment and Assumption pursuant to which such Lender becomes a party hereto or in any documentation executed by such Lender pursuant to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as applicable.</w:t>
      </w:r>
    </w:p>
    <w:p>
      <w:pPr>
        <w:spacing w:after="0" w:line="152"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Rate</w:t>
      </w:r>
      <w:r>
        <w:rPr>
          <w:rFonts w:ascii="Times New Roman" w:cs="Times New Roman" w:eastAsia="Times New Roman" w:hAnsi="Times New Roman"/>
          <w:sz w:val="20"/>
          <w:szCs w:val="20"/>
          <w:color w:val="auto"/>
        </w:rPr>
        <w:t>” means, for any day, the rate per annum set forth below opposite the applicable Level then in effect (based on the Consolidated Leverage Ratio), it being understood that the Applicable Rate for (a) Revolving Loans that are Base Rate Loans shall be the percentage set forth under the column “Base Rate”, (b) Revolving Loans that are Eurocurrency Rate Loans shall be the percentage set forth under the column “Eurocurrency Rate”, (c) the Letter of Credit Fee shall be the percentage set forth under the column “Letter of Credit Fee”, and (d) the Commitment Fee shall be the percentage set forth under the column “Commitment Fee”:</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Pricing</w:t>
            </w:r>
          </w:p>
        </w:tc>
        <w:tc>
          <w:tcPr>
            <w:tcW w:w="2620" w:type="dxa"/>
            <w:vAlign w:val="bottom"/>
            <w:tcBorders>
              <w:top w:val="single" w:sz="8" w:color="auto"/>
              <w:right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spacing w:after="0"/>
              <w:rPr>
                <w:sz w:val="21"/>
                <w:szCs w:val="21"/>
                <w:color w:val="auto"/>
              </w:rPr>
            </w:pPr>
          </w:p>
        </w:tc>
      </w:tr>
      <w:tr>
        <w:trPr>
          <w:trHeight w:val="262"/>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Consolidated Leverage Ratio</w:t>
            </w:r>
          </w:p>
        </w:tc>
        <w:tc>
          <w:tcPr>
            <w:tcW w:w="2060" w:type="dxa"/>
            <w:vAlign w:val="bottom"/>
            <w:tcBorders>
              <w:right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Eurocurrency Rate</w:t>
            </w:r>
          </w:p>
        </w:tc>
        <w:tc>
          <w:tcPr>
            <w:tcW w:w="19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Base Rate</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Letter of Credit Fee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 Fee</w:t>
            </w:r>
          </w:p>
        </w:tc>
      </w:tr>
      <w:tr>
        <w:trPr>
          <w:trHeight w:val="426"/>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5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Less than 1.00 to 1.00</w:t>
            </w:r>
          </w:p>
        </w:tc>
        <w:tc>
          <w:tcPr>
            <w:tcW w:w="2060" w:type="dxa"/>
            <w:vAlign w:val="bottom"/>
            <w:tcBorders>
              <w:right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+1.25%</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-0.25%</w:t>
            </w:r>
          </w:p>
        </w:tc>
        <w:tc>
          <w:tcPr>
            <w:tcW w:w="1820" w:type="dxa"/>
            <w:vAlign w:val="bottom"/>
            <w:tcBorders>
              <w:right w:val="single" w:sz="8" w:color="auto"/>
            </w:tcBorders>
          </w:tcPr>
          <w:p>
            <w:pPr>
              <w:jc w:val="right"/>
              <w:ind w:right="1201"/>
              <w:spacing w:after="0"/>
              <w:rPr>
                <w:sz w:val="20"/>
                <w:szCs w:val="20"/>
                <w:color w:val="auto"/>
              </w:rPr>
            </w:pPr>
            <w:r>
              <w:rPr>
                <w:rFonts w:ascii="Times New Roman" w:cs="Times New Roman" w:eastAsia="Times New Roman" w:hAnsi="Times New Roman"/>
                <w:sz w:val="20"/>
                <w:szCs w:val="20"/>
                <w:color w:val="auto"/>
                <w:w w:val="96"/>
              </w:rPr>
              <w:t>0.95%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0.20%</w:t>
            </w:r>
          </w:p>
        </w:tc>
      </w:tr>
      <w:tr>
        <w:trPr>
          <w:trHeight w:val="426"/>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27"/>
        </w:trPr>
        <w:tc>
          <w:tcPr>
            <w:tcW w:w="1180" w:type="dxa"/>
            <w:vAlign w:val="bottom"/>
            <w:tcBorders>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2</w:t>
            </w:r>
          </w:p>
        </w:tc>
        <w:tc>
          <w:tcPr>
            <w:tcW w:w="26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Greater than or equal to 1.00 to</w:t>
            </w:r>
          </w:p>
        </w:tc>
        <w:tc>
          <w:tcPr>
            <w:tcW w:w="2060" w:type="dxa"/>
            <w:vAlign w:val="bottom"/>
            <w:tcBorders>
              <w:right w:val="single" w:sz="8" w:color="auto"/>
            </w:tcBorders>
          </w:tcPr>
          <w:p>
            <w:pPr>
              <w:jc w:val="right"/>
              <w:ind w:right="1301"/>
              <w:spacing w:after="0" w:line="228" w:lineRule="exact"/>
              <w:rPr>
                <w:sz w:val="20"/>
                <w:szCs w:val="20"/>
                <w:color w:val="auto"/>
              </w:rPr>
            </w:pPr>
            <w:r>
              <w:rPr>
                <w:rFonts w:ascii="Times New Roman" w:cs="Times New Roman" w:eastAsia="Times New Roman" w:hAnsi="Times New Roman"/>
                <w:sz w:val="20"/>
                <w:szCs w:val="20"/>
                <w:color w:val="auto"/>
              </w:rPr>
              <w:t>+1.50%</w:t>
            </w:r>
          </w:p>
        </w:tc>
        <w:tc>
          <w:tcPr>
            <w:tcW w:w="194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0.00%</w:t>
            </w:r>
          </w:p>
        </w:tc>
        <w:tc>
          <w:tcPr>
            <w:tcW w:w="1820" w:type="dxa"/>
            <w:vAlign w:val="bottom"/>
            <w:tcBorders>
              <w:right w:val="single" w:sz="8" w:color="auto"/>
            </w:tcBorders>
          </w:tcPr>
          <w:p>
            <w:pPr>
              <w:jc w:val="right"/>
              <w:ind w:right="1201"/>
              <w:spacing w:after="0" w:line="228" w:lineRule="exact"/>
              <w:rPr>
                <w:sz w:val="20"/>
                <w:szCs w:val="20"/>
                <w:color w:val="auto"/>
              </w:rPr>
            </w:pPr>
            <w:r>
              <w:rPr>
                <w:rFonts w:ascii="Times New Roman" w:cs="Times New Roman" w:eastAsia="Times New Roman" w:hAnsi="Times New Roman"/>
                <w:sz w:val="20"/>
                <w:szCs w:val="20"/>
                <w:color w:val="auto"/>
                <w:w w:val="96"/>
              </w:rPr>
              <w:t>0.95%</w:t>
            </w:r>
          </w:p>
        </w:tc>
        <w:tc>
          <w:tcPr>
            <w:tcW w:w="18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0.25%</w:t>
            </w:r>
          </w:p>
        </w:tc>
      </w:tr>
      <w:tr>
        <w:trPr>
          <w:trHeight w:val="258"/>
        </w:trPr>
        <w:tc>
          <w:tcPr>
            <w:tcW w:w="11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 but less than 2.00 to 1.00</w:t>
            </w:r>
          </w:p>
        </w:tc>
        <w:tc>
          <w:tcPr>
            <w:tcW w:w="206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227"/>
        </w:trPr>
        <w:tc>
          <w:tcPr>
            <w:tcW w:w="1180" w:type="dxa"/>
            <w:vAlign w:val="bottom"/>
            <w:tcBorders>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3</w:t>
            </w:r>
          </w:p>
        </w:tc>
        <w:tc>
          <w:tcPr>
            <w:tcW w:w="26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Greater than or equal to 2.00 to</w:t>
            </w:r>
          </w:p>
        </w:tc>
        <w:tc>
          <w:tcPr>
            <w:tcW w:w="2060" w:type="dxa"/>
            <w:vAlign w:val="bottom"/>
            <w:tcBorders>
              <w:right w:val="single" w:sz="8" w:color="auto"/>
            </w:tcBorders>
          </w:tcPr>
          <w:p>
            <w:pPr>
              <w:jc w:val="right"/>
              <w:ind w:right="1301"/>
              <w:spacing w:after="0" w:line="228" w:lineRule="exact"/>
              <w:rPr>
                <w:sz w:val="20"/>
                <w:szCs w:val="20"/>
                <w:color w:val="auto"/>
              </w:rPr>
            </w:pPr>
            <w:r>
              <w:rPr>
                <w:rFonts w:ascii="Times New Roman" w:cs="Times New Roman" w:eastAsia="Times New Roman" w:hAnsi="Times New Roman"/>
                <w:sz w:val="20"/>
                <w:szCs w:val="20"/>
                <w:color w:val="auto"/>
              </w:rPr>
              <w:t>+1.75%</w:t>
            </w:r>
          </w:p>
        </w:tc>
        <w:tc>
          <w:tcPr>
            <w:tcW w:w="194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+0.25%</w:t>
            </w:r>
          </w:p>
        </w:tc>
        <w:tc>
          <w:tcPr>
            <w:tcW w:w="1820" w:type="dxa"/>
            <w:vAlign w:val="bottom"/>
            <w:tcBorders>
              <w:right w:val="single" w:sz="8" w:color="auto"/>
            </w:tcBorders>
          </w:tcPr>
          <w:p>
            <w:pPr>
              <w:jc w:val="right"/>
              <w:ind w:right="1201"/>
              <w:spacing w:after="0" w:line="228" w:lineRule="exact"/>
              <w:rPr>
                <w:sz w:val="20"/>
                <w:szCs w:val="20"/>
                <w:color w:val="auto"/>
              </w:rPr>
            </w:pPr>
            <w:r>
              <w:rPr>
                <w:rFonts w:ascii="Times New Roman" w:cs="Times New Roman" w:eastAsia="Times New Roman" w:hAnsi="Times New Roman"/>
                <w:sz w:val="20"/>
                <w:szCs w:val="20"/>
                <w:color w:val="auto"/>
                <w:w w:val="96"/>
              </w:rPr>
              <w:t>0.95%</w:t>
            </w:r>
          </w:p>
        </w:tc>
        <w:tc>
          <w:tcPr>
            <w:tcW w:w="18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0.30%</w:t>
            </w:r>
          </w:p>
        </w:tc>
      </w:tr>
      <w:tr>
        <w:trPr>
          <w:trHeight w:val="258"/>
        </w:trPr>
        <w:tc>
          <w:tcPr>
            <w:tcW w:w="11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206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r>
      <w:tr>
        <w:trPr>
          <w:trHeight w:val="426"/>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bl>
    <w:p>
      <w:pPr>
        <w:spacing w:after="0" w:line="8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b w:val="1"/>
          <w:bCs w:val="1"/>
          <w:i w:val="1"/>
          <w:iCs w:val="1"/>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a Compliance Certificate is not delivered when due in accordance with </w:t>
      </w:r>
      <w:r>
        <w:rPr>
          <w:rFonts w:ascii="Times New Roman" w:cs="Times New Roman" w:eastAsia="Times New Roman" w:hAnsi="Times New Roman"/>
          <w:sz w:val="20"/>
          <w:szCs w:val="20"/>
          <w:b w:val="1"/>
          <w:bCs w:val="1"/>
          <w:i w:val="1"/>
          <w:iCs w:val="1"/>
          <w:color w:val="auto"/>
        </w:rPr>
        <w:t>Section 6.02(a)</w:t>
      </w:r>
      <w:r>
        <w:rPr>
          <w:rFonts w:ascii="Times New Roman" w:cs="Times New Roman" w:eastAsia="Times New Roman" w:hAnsi="Times New Roman"/>
          <w:sz w:val="20"/>
          <w:szCs w:val="20"/>
          <w:color w:val="auto"/>
        </w:rPr>
        <w:t>, then, upon the request of the Required Lenders, Pricing Level 3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In addition, at all times while the Default Rate is in effect, the highest rate set forth in each column of the Applicable Rate shall apply.</w:t>
      </w:r>
    </w:p>
    <w:p>
      <w:pPr>
        <w:spacing w:after="0" w:line="187"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(i) the determination of the Applicable Rate for any period shall be subject to the provisions of </w:t>
      </w:r>
      <w:r>
        <w:rPr>
          <w:rFonts w:ascii="Times New Roman" w:cs="Times New Roman" w:eastAsia="Times New Roman" w:hAnsi="Times New Roman"/>
          <w:sz w:val="20"/>
          <w:szCs w:val="20"/>
          <w:b w:val="1"/>
          <w:bCs w:val="1"/>
          <w:i w:val="1"/>
          <w:iCs w:val="1"/>
          <w:color w:val="auto"/>
        </w:rPr>
        <w:t>Section 2.10(b)</w:t>
      </w:r>
      <w:r>
        <w:rPr>
          <w:rFonts w:ascii="Times New Roman" w:cs="Times New Roman" w:eastAsia="Times New Roman" w:hAnsi="Times New Roman"/>
          <w:sz w:val="20"/>
          <w:szCs w:val="20"/>
          <w:color w:val="auto"/>
        </w:rPr>
        <w:t xml:space="preserve"> and (ii) the initial Applicable Rate shall be set at Pricing Level 1 until the first Business Day immediately following the date a Compliance Certificate is delivered to the Administrative Agent pursuant to </w:t>
      </w:r>
      <w:r>
        <w:rPr>
          <w:rFonts w:ascii="Times New Roman" w:cs="Times New Roman" w:eastAsia="Times New Roman" w:hAnsi="Times New Roman"/>
          <w:sz w:val="20"/>
          <w:szCs w:val="20"/>
          <w:b w:val="1"/>
          <w:bCs w:val="1"/>
          <w:i w:val="1"/>
          <w:iCs w:val="1"/>
          <w:color w:val="auto"/>
        </w:rPr>
        <w:t>Section 6.02(a)</w:t>
      </w:r>
      <w:r>
        <w:rPr>
          <w:rFonts w:ascii="Times New Roman" w:cs="Times New Roman" w:eastAsia="Times New Roman" w:hAnsi="Times New Roman"/>
          <w:sz w:val="20"/>
          <w:szCs w:val="20"/>
          <w:color w:val="auto"/>
        </w:rPr>
        <w:t xml:space="preserve"> for the first full fiscal quarter to occur following the Closing Date. Any adjustment in the Applicable Rate shall be applicable to all Credit Extensions then existing (other than outstanding Letters of Credit) or subsequently made or issued.</w:t>
      </w:r>
    </w:p>
    <w:p>
      <w:pPr>
        <w:spacing w:after="0" w:line="17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Revolving Percentage</w:t>
      </w:r>
      <w:r>
        <w:rPr>
          <w:rFonts w:ascii="Times New Roman" w:cs="Times New Roman" w:eastAsia="Times New Roman" w:hAnsi="Times New Roman"/>
          <w:sz w:val="20"/>
          <w:szCs w:val="20"/>
          <w:color w:val="auto"/>
        </w:rPr>
        <w:t>” means with respect to any Lender at any time, such Lender’s Applicable Percentage in respect of the Revolving Facility at such time.</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ectPr>
          <w:pgSz w:w="11900" w:h="16838" w:orient="portrait"/>
          <w:cols w:equalWidth="0" w:num="1">
            <w:col w:w="11440"/>
          </w:cols>
          <w:pgMar w:left="240" w:top="558" w:right="219" w:bottom="1440" w:gutter="0" w:footer="0" w:header="0"/>
        </w:sectPr>
      </w:pPr>
    </w:p>
    <w:bookmarkStart w:id="68" w:name="page69"/>
    <w:bookmarkEnd w:id="68"/>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Appropriate Lender</w:t>
      </w:r>
      <w:r>
        <w:rPr>
          <w:rFonts w:ascii="Times New Roman" w:cs="Times New Roman" w:eastAsia="Times New Roman" w:hAnsi="Times New Roman"/>
          <w:sz w:val="20"/>
          <w:szCs w:val="20"/>
          <w:color w:val="auto"/>
        </w:rPr>
        <w:t xml:space="preserve">” means, at any time, (a) with respect to the Revolving Facility, a Lender that has a Commitment with respect to such Revolving Facility or holds a Loan under such Revolving Facility at such time, (b) with respect to the Letter of Credit Sublimit, (i) the L/C Issuer and (ii) if any Letters of Credit have been issued pursuant to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the Lenders and (c) with respect to the Swingline Sublimit, (i) the Swingline Lender and (ii) if any Swingline Loans are outstanding pursuant to </w:t>
      </w:r>
      <w:r>
        <w:rPr>
          <w:rFonts w:ascii="Times New Roman" w:cs="Times New Roman" w:eastAsia="Times New Roman" w:hAnsi="Times New Roman"/>
          <w:sz w:val="20"/>
          <w:szCs w:val="20"/>
          <w:b w:val="1"/>
          <w:bCs w:val="1"/>
          <w:i w:val="1"/>
          <w:iCs w:val="1"/>
          <w:color w:val="auto"/>
        </w:rPr>
        <w:t>Section 2.04(a)</w:t>
      </w:r>
      <w:r>
        <w:rPr>
          <w:rFonts w:ascii="Times New Roman" w:cs="Times New Roman" w:eastAsia="Times New Roman" w:hAnsi="Times New Roman"/>
          <w:sz w:val="20"/>
          <w:szCs w:val="20"/>
          <w:color w:val="auto"/>
        </w:rPr>
        <w:t>, the Lenders.</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Arranger</w:t>
      </w:r>
      <w:r>
        <w:rPr>
          <w:rFonts w:ascii="Times New Roman" w:cs="Times New Roman" w:eastAsia="Times New Roman" w:hAnsi="Times New Roman"/>
          <w:sz w:val="20"/>
          <w:szCs w:val="20"/>
          <w:color w:val="auto"/>
        </w:rPr>
        <w:t>” means BofA Securities, Inc., in its capacity as sole lead arranger and sole bookrunner.</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b w:val="1"/>
          <w:bCs w:val="1"/>
          <w:i w:val="1"/>
          <w:iCs w:val="1"/>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b w:val="1"/>
          <w:bCs w:val="1"/>
          <w:i w:val="1"/>
          <w:iCs w:val="1"/>
          <w:color w:val="auto"/>
        </w:rPr>
        <w:t xml:space="preserve">Exhibit B </w:t>
      </w:r>
      <w:r>
        <w:rPr>
          <w:rFonts w:ascii="Times New Roman" w:cs="Times New Roman" w:eastAsia="Times New Roman" w:hAnsi="Times New Roman"/>
          <w:sz w:val="20"/>
          <w:szCs w:val="20"/>
          <w:color w:val="auto"/>
        </w:rPr>
        <w:t>or any other form (including an electronic documentation form generated by use of an electronic platform) approved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Administrative Agent.</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Attributable Indebtedness</w:t>
      </w:r>
      <w:r>
        <w:rPr>
          <w:rFonts w:ascii="Times New Roman" w:cs="Times New Roman" w:eastAsia="Times New Roman" w:hAnsi="Times New Roman"/>
          <w:sz w:val="20"/>
          <w:szCs w:val="20"/>
          <w:color w:val="auto"/>
        </w:rPr>
        <w:t>” means, on any date, (a) in respect of any Financing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Financing Lease, (c) all Synthetic Debt of such Person,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Audited Financial Statements</w:t>
      </w:r>
      <w:r>
        <w:rPr>
          <w:rFonts w:ascii="Times New Roman" w:cs="Times New Roman" w:eastAsia="Times New Roman" w:hAnsi="Times New Roman"/>
          <w:sz w:val="20"/>
          <w:szCs w:val="20"/>
          <w:color w:val="auto"/>
        </w:rPr>
        <w:t>” means the audited Consolidated balance sheet of the Borrower and its Subsidiaries for the fiscal year ended September 30, 2018, and the related Consolidated statements of income or operations, Shareholders’ Equity and cash flows for such fiscal year of the Borrower and its Subsidiaries, including the notes thereto.</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Authorization to Share Insurance Information</w:t>
      </w:r>
      <w:r>
        <w:rPr>
          <w:rFonts w:ascii="Times New Roman" w:cs="Times New Roman" w:eastAsia="Times New Roman" w:hAnsi="Times New Roman"/>
          <w:sz w:val="20"/>
          <w:szCs w:val="20"/>
          <w:color w:val="auto"/>
        </w:rPr>
        <w:t xml:space="preserve">” means the authorization substantially in the form of </w:t>
      </w:r>
      <w:r>
        <w:rPr>
          <w:rFonts w:ascii="Times New Roman" w:cs="Times New Roman" w:eastAsia="Times New Roman" w:hAnsi="Times New Roman"/>
          <w:sz w:val="20"/>
          <w:szCs w:val="20"/>
          <w:b w:val="1"/>
          <w:bCs w:val="1"/>
          <w:i w:val="1"/>
          <w:iCs w:val="1"/>
          <w:color w:val="auto"/>
        </w:rPr>
        <w:t>Exhibit Q</w:t>
      </w:r>
      <w:r>
        <w:rPr>
          <w:rFonts w:ascii="Times New Roman" w:cs="Times New Roman" w:eastAsia="Times New Roman" w:hAnsi="Times New Roman"/>
          <w:sz w:val="20"/>
          <w:szCs w:val="20"/>
          <w:color w:val="auto"/>
        </w:rPr>
        <w:t xml:space="preserve"> (or such other form as required by each of the Loan Party’s insurance companies).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Auto-Extension Letter of Credit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2.03(b)</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Availability Period</w:t>
      </w:r>
      <w:r>
        <w:rPr>
          <w:rFonts w:ascii="Times New Roman" w:cs="Times New Roman" w:eastAsia="Times New Roman" w:hAnsi="Times New Roman"/>
          <w:sz w:val="20"/>
          <w:szCs w:val="20"/>
          <w:color w:val="auto"/>
        </w:rPr>
        <w:t>” means in respect of the Revolving Facility, the period from and including the Closing Date to the earliest of</w:t>
      </w:r>
    </w:p>
    <w:p>
      <w:pPr>
        <w:spacing w:after="0" w:line="25"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Maturity Date for the Revolving Facility, (b) the date of termination of the Revolving Commitments pursuant to </w:t>
      </w:r>
      <w:r>
        <w:rPr>
          <w:rFonts w:ascii="Times New Roman" w:cs="Times New Roman" w:eastAsia="Times New Roman" w:hAnsi="Times New Roman"/>
          <w:sz w:val="20"/>
          <w:szCs w:val="20"/>
          <w:b w:val="1"/>
          <w:bCs w:val="1"/>
          <w:i w:val="1"/>
          <w:iCs w:val="1"/>
          <w:color w:val="auto"/>
        </w:rPr>
        <w:t>Section 2.06</w:t>
      </w:r>
      <w:r>
        <w:rPr>
          <w:rFonts w:ascii="Times New Roman" w:cs="Times New Roman" w:eastAsia="Times New Roman" w:hAnsi="Times New Roman"/>
          <w:sz w:val="20"/>
          <w:szCs w:val="20"/>
          <w:color w:val="auto"/>
        </w:rPr>
        <w:t>, and</w:t>
      </w:r>
    </w:p>
    <w:p>
      <w:pPr>
        <w:ind w:firstLine="8"/>
        <w:spacing w:after="0" w:line="246" w:lineRule="auto"/>
        <w:tabs>
          <w:tab w:leader="none" w:pos="28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of termination of the Commitment of each Lender to make Revolving Loans and of the obligation of the L/C Issuer to make L/C Credit Extensions pursuant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Action</w:t>
      </w:r>
      <w:r>
        <w:rPr>
          <w:rFonts w:ascii="Times New Roman" w:cs="Times New Roman" w:eastAsia="Times New Roman" w:hAnsi="Times New Roman"/>
          <w:sz w:val="20"/>
          <w:szCs w:val="20"/>
          <w:color w:val="auto"/>
        </w:rPr>
        <w:t>” means the exercise of any Write-Down and Conversion Powers by the applicable EEA Resolution Authority in respect of any liability of an EEA Financial Institution.</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Legislation</w:t>
      </w:r>
      <w:r>
        <w:rPr>
          <w:rFonts w:ascii="Times New Roman" w:cs="Times New Roman" w:eastAsia="Times New Roman" w:hAnsi="Times New Roman"/>
          <w:sz w:val="20"/>
          <w:szCs w:val="20"/>
          <w:color w:val="auto"/>
        </w:rPr>
        <w:t xml:space="preserve">” means, with respect to any EEA Member Country implementing </w:t>
      </w:r>
      <w:r>
        <w:rPr>
          <w:rFonts w:ascii="Times New Roman" w:cs="Times New Roman" w:eastAsia="Times New Roman" w:hAnsi="Times New Roman"/>
          <w:sz w:val="20"/>
          <w:szCs w:val="20"/>
          <w:i w:val="1"/>
          <w:iCs w:val="1"/>
          <w:color w:val="auto"/>
        </w:rPr>
        <w:t>Article 55</w:t>
      </w:r>
      <w:r>
        <w:rPr>
          <w:rFonts w:ascii="Times New Roman" w:cs="Times New Roman" w:eastAsia="Times New Roman" w:hAnsi="Times New Roman"/>
          <w:sz w:val="20"/>
          <w:szCs w:val="20"/>
          <w:color w:val="auto"/>
        </w:rPr>
        <w:t xml:space="preserve"> of Directive 2014/59/EU of the European Parliament and of the Council of the European Union, the</w:t>
      </w:r>
    </w:p>
    <w:p>
      <w:pPr>
        <w:sectPr>
          <w:pgSz w:w="11900" w:h="16838" w:orient="portrait"/>
          <w:cols w:equalWidth="0" w:num="1">
            <w:col w:w="11420"/>
          </w:cols>
          <w:pgMar w:left="240" w:top="55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implementing law for such EEA Member Country from time to time which is described in the EU Bail-In Legislation Schedule.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0.50%,</w:t>
      </w:r>
    </w:p>
    <w:p>
      <w:pPr>
        <w:spacing w:after="0" w:line="26" w:lineRule="exact"/>
        <w:rPr>
          <w:sz w:val="20"/>
          <w:szCs w:val="20"/>
          <w:color w:val="auto"/>
        </w:rPr>
      </w:pPr>
    </w:p>
    <w:p>
      <w:pPr>
        <w:jc w:val="both"/>
        <w:ind w:firstLine="8"/>
        <w:spacing w:after="0"/>
        <w:tabs>
          <w:tab w:leader="none" w:pos="30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rate of interest in effect for such day as publicly announced from time to time by Bank of America as its “prime rate,” and (c) the Eurocurrency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1.00%, subject to the interest rate floors set forth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b w:val="1"/>
          <w:bCs w:val="1"/>
          <w:i w:val="1"/>
          <w:iCs w:val="1"/>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b w:val="1"/>
          <w:bCs w:val="1"/>
          <w:i w:val="1"/>
          <w:iCs w:val="1"/>
          <w:color w:val="auto"/>
        </w:rPr>
        <w:t>clause (c)</w:t>
      </w:r>
      <w:r>
        <w:rPr>
          <w:rFonts w:ascii="Times New Roman" w:cs="Times New Roman" w:eastAsia="Times New Roman" w:hAnsi="Times New Roman"/>
          <w:sz w:val="20"/>
          <w:szCs w:val="20"/>
          <w:color w:val="auto"/>
        </w:rPr>
        <w:t xml:space="preserve"> above.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Base Rate Loan</w:t>
      </w:r>
      <w:r>
        <w:rPr>
          <w:rFonts w:ascii="Times New Roman" w:cs="Times New Roman" w:eastAsia="Times New Roman" w:hAnsi="Times New Roman"/>
          <w:sz w:val="20"/>
          <w:szCs w:val="20"/>
          <w:color w:val="auto"/>
        </w:rPr>
        <w:t>” means a Revolving Loan that bears interest based on the Base Rate. All Base Rate Loans shall be denominated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Regulation</w:t>
      </w:r>
      <w:r>
        <w:rPr>
          <w:rFonts w:ascii="Times New Roman" w:cs="Times New Roman" w:eastAsia="Times New Roman" w:hAnsi="Times New Roman"/>
          <w:sz w:val="20"/>
          <w:szCs w:val="20"/>
          <w:color w:val="auto"/>
        </w:rPr>
        <w:t>” means 31 C.F.R. §1010.230.</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 Plan</w:t>
      </w:r>
      <w:r>
        <w:rPr>
          <w:rFonts w:ascii="Times New Roman" w:cs="Times New Roman" w:eastAsia="Times New Roman" w:hAnsi="Times New Roman"/>
          <w:sz w:val="20"/>
          <w:szCs w:val="20"/>
          <w:color w:val="auto"/>
        </w:rPr>
        <w:t>” means any of (a) an “</w:t>
      </w:r>
      <w:r>
        <w:rPr>
          <w:rFonts w:ascii="Times New Roman" w:cs="Times New Roman" w:eastAsia="Times New Roman" w:hAnsi="Times New Roman"/>
          <w:sz w:val="20"/>
          <w:szCs w:val="20"/>
          <w:i w:val="1"/>
          <w:iCs w:val="1"/>
          <w:color w:val="auto"/>
        </w:rPr>
        <w:t>employee benefit plan</w:t>
      </w:r>
      <w:r>
        <w:rPr>
          <w:rFonts w:ascii="Times New Roman" w:cs="Times New Roman" w:eastAsia="Times New Roman" w:hAnsi="Times New Roman"/>
          <w:sz w:val="20"/>
          <w:szCs w:val="20"/>
          <w:color w:val="auto"/>
        </w:rPr>
        <w:t xml:space="preserve">” (as defined in ERISA) that is subject to </w:t>
      </w:r>
      <w:r>
        <w:rPr>
          <w:rFonts w:ascii="Times New Roman" w:cs="Times New Roman" w:eastAsia="Times New Roman" w:hAnsi="Times New Roman"/>
          <w:sz w:val="20"/>
          <w:szCs w:val="20"/>
          <w:i w:val="1"/>
          <w:iCs w:val="1"/>
          <w:color w:val="auto"/>
        </w:rPr>
        <w:t>Title I</w:t>
      </w:r>
      <w:r>
        <w:rPr>
          <w:rFonts w:ascii="Times New Roman" w:cs="Times New Roman" w:eastAsia="Times New Roman" w:hAnsi="Times New Roman"/>
          <w:sz w:val="20"/>
          <w:szCs w:val="20"/>
          <w:color w:val="auto"/>
        </w:rPr>
        <w:t xml:space="preserve"> of ERISA, (b) a “</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 xml:space="preserve">” as defined in and subject to </w:t>
      </w:r>
      <w:r>
        <w:rPr>
          <w:rFonts w:ascii="Times New Roman" w:cs="Times New Roman" w:eastAsia="Times New Roman" w:hAnsi="Times New Roman"/>
          <w:sz w:val="20"/>
          <w:szCs w:val="20"/>
          <w:i w:val="1"/>
          <w:iCs w:val="1"/>
          <w:color w:val="auto"/>
        </w:rPr>
        <w:t>Section 4975</w:t>
      </w:r>
      <w:r>
        <w:rPr>
          <w:rFonts w:ascii="Times New Roman" w:cs="Times New Roman" w:eastAsia="Times New Roman" w:hAnsi="Times New Roman"/>
          <w:sz w:val="20"/>
          <w:szCs w:val="20"/>
          <w:color w:val="auto"/>
        </w:rPr>
        <w:t xml:space="preserve"> of the Code or (c) any Person whose assets include (for purposes of ERISA </w:t>
      </w:r>
      <w:r>
        <w:rPr>
          <w:rFonts w:ascii="Times New Roman" w:cs="Times New Roman" w:eastAsia="Times New Roman" w:hAnsi="Times New Roman"/>
          <w:sz w:val="20"/>
          <w:szCs w:val="20"/>
          <w:i w:val="1"/>
          <w:iCs w:val="1"/>
          <w:color w:val="auto"/>
        </w:rPr>
        <w:t>Section 3(42)</w:t>
      </w:r>
      <w:r>
        <w:rPr>
          <w:rFonts w:ascii="Times New Roman" w:cs="Times New Roman" w:eastAsia="Times New Roman" w:hAnsi="Times New Roman"/>
          <w:sz w:val="20"/>
          <w:szCs w:val="20"/>
          <w:color w:val="auto"/>
        </w:rPr>
        <w:t xml:space="preserve"> or otherwise for purposes of </w:t>
      </w:r>
      <w:r>
        <w:rPr>
          <w:rFonts w:ascii="Times New Roman" w:cs="Times New Roman" w:eastAsia="Times New Roman" w:hAnsi="Times New Roman"/>
          <w:sz w:val="20"/>
          <w:szCs w:val="20"/>
          <w:i w:val="1"/>
          <w:iCs w:val="1"/>
          <w:color w:val="auto"/>
        </w:rPr>
        <w:t>Title I</w:t>
      </w:r>
      <w:r>
        <w:rPr>
          <w:rFonts w:ascii="Times New Roman" w:cs="Times New Roman" w:eastAsia="Times New Roman" w:hAnsi="Times New Roman"/>
          <w:sz w:val="20"/>
          <w:szCs w:val="20"/>
          <w:color w:val="auto"/>
        </w:rPr>
        <w:t xml:space="preserve"> of ERISA or </w:t>
      </w:r>
      <w:r>
        <w:rPr>
          <w:rFonts w:ascii="Times New Roman" w:cs="Times New Roman" w:eastAsia="Times New Roman" w:hAnsi="Times New Roman"/>
          <w:sz w:val="20"/>
          <w:szCs w:val="20"/>
          <w:i w:val="1"/>
          <w:iCs w:val="1"/>
          <w:color w:val="auto"/>
        </w:rPr>
        <w:t>Section 4975</w:t>
      </w:r>
      <w:r>
        <w:rPr>
          <w:rFonts w:ascii="Times New Roman" w:cs="Times New Roman" w:eastAsia="Times New Roman" w:hAnsi="Times New Roman"/>
          <w:sz w:val="20"/>
          <w:szCs w:val="20"/>
          <w:color w:val="auto"/>
        </w:rPr>
        <w:t xml:space="preserve"> of the Code) the assets of any such “employee benefit plan” or “plan”.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BHC Act Affiliate</w:t>
      </w:r>
      <w:r>
        <w:rPr>
          <w:rFonts w:ascii="Times New Roman" w:cs="Times New Roman" w:eastAsia="Times New Roman" w:hAnsi="Times New Roman"/>
          <w:sz w:val="20"/>
          <w:szCs w:val="20"/>
          <w:color w:val="auto"/>
        </w:rPr>
        <w:t>” of a party means an “</w:t>
      </w:r>
      <w:r>
        <w:rPr>
          <w:rFonts w:ascii="Times New Roman" w:cs="Times New Roman" w:eastAsia="Times New Roman" w:hAnsi="Times New Roman"/>
          <w:sz w:val="20"/>
          <w:szCs w:val="20"/>
          <w:i w:val="1"/>
          <w:iCs w:val="1"/>
          <w:color w:val="auto"/>
        </w:rPr>
        <w:t>affiliate</w:t>
      </w:r>
      <w:r>
        <w:rPr>
          <w:rFonts w:ascii="Times New Roman" w:cs="Times New Roman" w:eastAsia="Times New Roman" w:hAnsi="Times New Roman"/>
          <w:sz w:val="20"/>
          <w:szCs w:val="20"/>
          <w:color w:val="auto"/>
        </w:rPr>
        <w:t>” (as such term is defined under, and interpreted in accordance with, 12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Bonds</w:t>
      </w:r>
      <w:r>
        <w:rPr>
          <w:rFonts w:ascii="Times New Roman" w:cs="Times New Roman" w:eastAsia="Times New Roman" w:hAnsi="Times New Roman"/>
          <w:sz w:val="19"/>
          <w:szCs w:val="19"/>
          <w:color w:val="auto"/>
        </w:rPr>
        <w:t>” means the $8,000,000.00 Illinois Development Finance Authority Industrial Development Revenue Bonds (Delta-Unibus,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 Series 2001.</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6.02(n)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w:t>
      </w:r>
      <w:r>
        <w:rPr>
          <w:rFonts w:ascii="Times New Roman" w:cs="Times New Roman" w:eastAsia="Times New Roman" w:hAnsi="Times New Roman"/>
          <w:sz w:val="20"/>
          <w:szCs w:val="20"/>
          <w:color w:val="auto"/>
        </w:rPr>
        <w:t>” means a Revolving Borrowing or a Swingline Borrowing, as the context may require.</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any day other than a Saturday, Sunday or other days on which commercial banks are authorized to close under the Laws of, or are in fact closed in, the state where the Administrative Agent’s Office is located and:</w:t>
      </w:r>
    </w:p>
    <w:p>
      <w:pPr>
        <w:spacing w:after="0" w:line="156" w:lineRule="exact"/>
        <w:rPr>
          <w:sz w:val="20"/>
          <w:szCs w:val="20"/>
          <w:color w:val="auto"/>
        </w:rPr>
      </w:pPr>
    </w:p>
    <w:p>
      <w:pPr>
        <w:ind w:left="660" w:firstLine="645"/>
        <w:spacing w:after="0" w:line="269" w:lineRule="auto"/>
        <w:tabs>
          <w:tab w:leader="none" w:pos="176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interest at a rate based on the Eurocurrency Rate with respect to a LIBOR Quoted Currency (other than Euros), means any such day that is also a London Banking Day;</w:t>
      </w:r>
    </w:p>
    <w:p>
      <w:pPr>
        <w:sectPr>
          <w:pgSz w:w="11900" w:h="16838" w:orient="portrait"/>
          <w:cols w:equalWidth="0" w:num="1">
            <w:col w:w="11420"/>
          </w:cols>
          <w:pgMar w:left="240" w:top="562" w:right="239" w:bottom="1440" w:gutter="0" w:footer="0" w:header="0"/>
        </w:sectPr>
      </w:pPr>
    </w:p>
    <w:bookmarkStart w:id="70" w:name="page71"/>
    <w:bookmarkEnd w:id="70"/>
    <w:p>
      <w:pPr>
        <w:jc w:val="both"/>
        <w:ind w:left="660" w:firstLine="645"/>
        <w:spacing w:after="0" w:line="254" w:lineRule="auto"/>
        <w:tabs>
          <w:tab w:leader="none" w:pos="178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based on the Eurocurrency Rate with respect to a Non-LIBOR Quoted Currency, means any such day that is also open for banks for foreign exchange business in the principal financial center of the country of such currency; and</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76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Canadian Borrower</w:t>
      </w:r>
      <w:r>
        <w:rPr>
          <w:rFonts w:ascii="Times New Roman" w:cs="Times New Roman" w:eastAsia="Times New Roman" w:hAnsi="Times New Roman"/>
          <w:sz w:val="20"/>
          <w:szCs w:val="20"/>
          <w:color w:val="auto"/>
        </w:rPr>
        <w:t>” means Powell Canada Inc., an entity incorporated under the laws of Canada.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Canadian 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CAD</w:t>
      </w:r>
      <w:r>
        <w:rPr>
          <w:rFonts w:ascii="Times New Roman" w:cs="Times New Roman" w:eastAsia="Times New Roman" w:hAnsi="Times New Roman"/>
          <w:sz w:val="20"/>
          <w:szCs w:val="20"/>
          <w:color w:val="auto"/>
        </w:rPr>
        <w:t>” means the lawful currency of Canada.</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Expenditures</w:t>
      </w:r>
      <w:r>
        <w:rPr>
          <w:rFonts w:ascii="Times New Roman" w:cs="Times New Roman" w:eastAsia="Times New Roman" w:hAnsi="Times New Roman"/>
          <w:sz w:val="20"/>
          <w:szCs w:val="20"/>
          <w:color w:val="auto"/>
        </w:rPr>
        <w:t>” means, with respect to any Person for any period, any expenditure in respect of the purchase or other acquisition of any fixed or capital asset (excluding normal replacements and maintenance which are properly charged to current operations). For purposes of this definition, the purchase price of equipment that is purchased simultaneously with the trade-in of existing equipment or with insurance proceeds shall be included in Capital Expenditures only to the extent of the gross amount by which such purchase price exceeds the credit granted by the seller of such equipment for the equipment being traded in at such time or the amount of such insurance proceeds, as the case may be.</w:t>
      </w:r>
    </w:p>
    <w:p>
      <w:pPr>
        <w:spacing w:after="0" w:line="17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L/C Issuer or Swingline Lender (as applicable) or the Lenders, as Collateral for L/C Obligations, the Obligations in respect of Swingline Loans, or obligations of the Lenders to fund participations in respect of L/C Obligations or Swingline Loans (as the context may require), (a) cash or deposit account balances, (b) backstop letters of credit entered into on terms, from issuers and in amounts satisfactory to the Administrative Agent and the applicable L/C Issuer, and/or (c) if the Administrative Agent and the applicable L/C Issuer or Swingline Lender shall agree, in their sole discretion, other credit support, in each case, in Dollars and pursuant to documentation in form and substance satisfactory to the Administrative Agent and the L/C Issuer or the Swingline Lender (as applicable).</w:t>
      </w:r>
    </w:p>
    <w:p>
      <w:pPr>
        <w:spacing w:after="0" w:line="18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Equivalents</w:t>
      </w:r>
      <w:r>
        <w:rPr>
          <w:rFonts w:ascii="Times New Roman" w:cs="Times New Roman" w:eastAsia="Times New Roman" w:hAnsi="Times New Roman"/>
          <w:sz w:val="20"/>
          <w:szCs w:val="20"/>
          <w:color w:val="auto"/>
        </w:rPr>
        <w:t>” means any of the following types of Investments, to the extent owned by the Borrower or any of its direct US domestic Subsidiaries free and clear of all Liens (other than Permitted Liens):</w:t>
      </w:r>
    </w:p>
    <w:p>
      <w:pPr>
        <w:spacing w:after="0" w:line="156" w:lineRule="exact"/>
        <w:rPr>
          <w:sz w:val="20"/>
          <w:szCs w:val="20"/>
          <w:color w:val="auto"/>
        </w:rPr>
      </w:pPr>
    </w:p>
    <w:p>
      <w:pPr>
        <w:jc w:val="both"/>
        <w:ind w:left="660" w:firstLine="645"/>
        <w:spacing w:after="0" w:line="254" w:lineRule="auto"/>
        <w:tabs>
          <w:tab w:leader="none" w:pos="178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or any agency or instrumentality thereof having maturities of not more than 360 days from the date of acquisition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thereof;</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8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deposits with, or insured certificates of deposit or bankers’ acceptances of, any commercial bank that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w:t>
      </w:r>
    </w:p>
    <w:p>
      <w:pPr>
        <w:sectPr>
          <w:pgSz w:w="11900" w:h="16838" w:orient="portrait"/>
          <w:cols w:equalWidth="0" w:num="1">
            <w:col w:w="11420"/>
          </w:cols>
          <w:pgMar w:left="240" w:top="562" w:right="239" w:bottom="1440" w:gutter="0" w:footer="0" w:header="0"/>
        </w:sectPr>
      </w:pPr>
    </w:p>
    <w:bookmarkStart w:id="71" w:name="page72"/>
    <w:bookmarkEnd w:id="71"/>
    <w:p>
      <w:pPr>
        <w:ind w:left="660"/>
        <w:spacing w:after="0" w:line="273" w:lineRule="auto"/>
        <w:rPr>
          <w:sz w:val="20"/>
          <w:szCs w:val="20"/>
          <w:color w:val="auto"/>
        </w:rPr>
      </w:pPr>
      <w:r>
        <w:rPr>
          <w:rFonts w:ascii="Times New Roman" w:cs="Times New Roman" w:eastAsia="Times New Roman" w:hAnsi="Times New Roman"/>
          <w:sz w:val="20"/>
          <w:szCs w:val="20"/>
          <w:color w:val="auto"/>
        </w:rPr>
        <w:t xml:space="preserve">described in </w:t>
      </w:r>
      <w:r>
        <w:rPr>
          <w:rFonts w:ascii="Times New Roman" w:cs="Times New Roman" w:eastAsia="Times New Roman" w:hAnsi="Times New Roman"/>
          <w:sz w:val="20"/>
          <w:szCs w:val="20"/>
          <w:b w:val="1"/>
          <w:bCs w:val="1"/>
          <w:i w:val="1"/>
          <w:iCs w:val="1"/>
          <w:color w:val="auto"/>
        </w:rPr>
        <w:t>clause (c)</w:t>
      </w:r>
      <w:r>
        <w:rPr>
          <w:rFonts w:ascii="Times New Roman" w:cs="Times New Roman" w:eastAsia="Times New Roman" w:hAnsi="Times New Roman"/>
          <w:sz w:val="20"/>
          <w:szCs w:val="20"/>
          <w:color w:val="auto"/>
        </w:rPr>
        <w:t xml:space="preserve"> of this definition and (iii) has combined capital and surplus of at least $1,000,000,000, in each case with maturities of not more than one (1) year from the date of acquisition thereof;</w:t>
      </w:r>
    </w:p>
    <w:p>
      <w:pPr>
        <w:spacing w:after="0" w:line="125" w:lineRule="exact"/>
        <w:rPr>
          <w:sz w:val="20"/>
          <w:szCs w:val="20"/>
          <w:color w:val="auto"/>
        </w:rPr>
      </w:pPr>
    </w:p>
    <w:p>
      <w:pPr>
        <w:ind w:left="660" w:firstLine="645"/>
        <w:spacing w:after="0" w:line="259" w:lineRule="exact"/>
        <w:tabs>
          <w:tab w:leader="none" w:pos="183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rated at least “Prime-2” (or the then equivalent grade) by Moody’s or at least “A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 (or the then equivalent grade) by S&amp;P, in each case with maturities of not more than 180 days from the date of acquisition thereof; and</w:t>
      </w:r>
    </w:p>
    <w:p>
      <w:pPr>
        <w:spacing w:after="0" w:line="189"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8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of this definition.</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Bank</w:t>
      </w:r>
      <w:r>
        <w:rPr>
          <w:rFonts w:ascii="Times New Roman" w:cs="Times New Roman" w:eastAsia="Times New Roman" w:hAnsi="Times New Roman"/>
          <w:sz w:val="20"/>
          <w:szCs w:val="20"/>
          <w:color w:val="auto"/>
        </w:rPr>
        <w:t xml:space="preserve">” means any Person in its capacity as a party to a Cash Management Agreement that, at the time it enters into a Cash Management Agreement with a Loan Party or any Subsidiary, is a Lender or an Affiliate of a Lender, in its capacity as a party to such Cash Management Agreement (even if such 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7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CFC</w:t>
      </w:r>
      <w:r>
        <w:rPr>
          <w:rFonts w:ascii="Times New Roman" w:cs="Times New Roman" w:eastAsia="Times New Roman" w:hAnsi="Times New Roman"/>
          <w:sz w:val="20"/>
          <w:szCs w:val="20"/>
          <w:color w:val="auto"/>
        </w:rPr>
        <w:t xml:space="preserve">” means a Person that is a controlled foreign corporation under </w:t>
      </w:r>
      <w:r>
        <w:rPr>
          <w:rFonts w:ascii="Times New Roman" w:cs="Times New Roman" w:eastAsia="Times New Roman" w:hAnsi="Times New Roman"/>
          <w:sz w:val="20"/>
          <w:szCs w:val="20"/>
          <w:i w:val="1"/>
          <w:iCs w:val="1"/>
          <w:color w:val="auto"/>
        </w:rPr>
        <w:t>Section 957</w:t>
      </w:r>
      <w:r>
        <w:rPr>
          <w:rFonts w:ascii="Times New Roman" w:cs="Times New Roman" w:eastAsia="Times New Roman" w:hAnsi="Times New Roman"/>
          <w:sz w:val="20"/>
          <w:szCs w:val="20"/>
          <w:color w:val="auto"/>
        </w:rPr>
        <w:t xml:space="preserve"> of the Code in which the Borrower or any Loan Party is a United States shareholder within the meaning of </w:t>
      </w:r>
      <w:r>
        <w:rPr>
          <w:rFonts w:ascii="Times New Roman" w:cs="Times New Roman" w:eastAsia="Times New Roman" w:hAnsi="Times New Roman"/>
          <w:sz w:val="20"/>
          <w:szCs w:val="20"/>
          <w:i w:val="1"/>
          <w:iCs w:val="1"/>
          <w:color w:val="auto"/>
        </w:rPr>
        <w:t>Section 951(b)</w:t>
      </w:r>
      <w:r>
        <w:rPr>
          <w:rFonts w:ascii="Times New Roman" w:cs="Times New Roman" w:eastAsia="Times New Roman" w:hAnsi="Times New Roman"/>
          <w:sz w:val="20"/>
          <w:szCs w:val="20"/>
          <w:color w:val="auto"/>
        </w:rPr>
        <w:t xml:space="preserve"> of the Code.</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jc w:val="both"/>
        <w:ind w:left="660" w:firstLine="645"/>
        <w:spacing w:after="0" w:line="256" w:lineRule="auto"/>
        <w:tabs>
          <w:tab w:leader="none" w:pos="17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group</w:t>
      </w:r>
      <w:r>
        <w:rPr>
          <w:rFonts w:ascii="Times New Roman" w:cs="Times New Roman" w:eastAsia="Times New Roman" w:hAnsi="Times New Roman"/>
          <w:sz w:val="20"/>
          <w:szCs w:val="20"/>
          <w:color w:val="auto"/>
        </w:rPr>
        <w:t xml:space="preserve">” (as such terms are used in </w:t>
      </w:r>
      <w:r>
        <w:rPr>
          <w:rFonts w:ascii="Times New Roman" w:cs="Times New Roman" w:eastAsia="Times New Roman" w:hAnsi="Times New Roman"/>
          <w:sz w:val="20"/>
          <w:szCs w:val="20"/>
          <w:i w:val="1"/>
          <w:iCs w:val="1"/>
          <w:color w:val="auto"/>
        </w:rPr>
        <w:t>Sections 13(d)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14(d)</w:t>
      </w:r>
      <w:r>
        <w:rPr>
          <w:rFonts w:ascii="Times New Roman" w:cs="Times New Roman" w:eastAsia="Times New Roman" w:hAnsi="Times New Roman"/>
          <w:sz w:val="20"/>
          <w:szCs w:val="20"/>
          <w:color w:val="auto"/>
        </w:rPr>
        <w:t xml:space="preserve"> of the Securities Exchange Act of 1934, but excluding (i) any employee benefit plan of such person or its subsidiaries, and any person or entity acting in its capacity as trustee, agent or other fiduciary or</w:t>
      </w:r>
    </w:p>
    <w:p>
      <w:pPr>
        <w:sectPr>
          <w:pgSz w:w="11900" w:h="16838" w:orient="portrait"/>
          <w:cols w:equalWidth="0" w:num="1">
            <w:col w:w="11420"/>
          </w:cols>
          <w:pgMar w:left="240" w:top="558" w:right="239" w:bottom="1440" w:gutter="0" w:footer="0" w:header="0"/>
        </w:sectPr>
      </w:pPr>
    </w:p>
    <w:bookmarkStart w:id="72" w:name="page73"/>
    <w:bookmarkEnd w:id="72"/>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administrator of any such plan) and (ii) Tom Powell and his Affiliates becomes the “</w:t>
      </w:r>
      <w:r>
        <w:rPr>
          <w:rFonts w:ascii="Times New Roman" w:cs="Times New Roman" w:eastAsia="Times New Roman" w:hAnsi="Times New Roman"/>
          <w:sz w:val="20"/>
          <w:szCs w:val="20"/>
          <w:i w:val="1"/>
          <w:iCs w:val="1"/>
          <w:color w:val="auto"/>
        </w:rPr>
        <w:t>beneficial owner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i w:val="1"/>
          <w:iCs w:val="1"/>
          <w:color w:val="auto"/>
        </w:rPr>
        <w:t>Rules 13d-3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13d-5</w:t>
      </w:r>
      <w:r>
        <w:rPr>
          <w:rFonts w:ascii="Times New Roman" w:cs="Times New Roman" w:eastAsia="Times New Roman" w:hAnsi="Times New Roman"/>
          <w:sz w:val="20"/>
          <w:szCs w:val="20"/>
          <w:color w:val="auto"/>
        </w:rPr>
        <w:t xml:space="preserve">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25%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83" w:lineRule="exact"/>
        <w:rPr>
          <w:sz w:val="20"/>
          <w:szCs w:val="20"/>
          <w:color w:val="auto"/>
        </w:rPr>
      </w:pPr>
    </w:p>
    <w:p>
      <w:pPr>
        <w:jc w:val="both"/>
        <w:ind w:left="660" w:firstLine="645"/>
        <w:spacing w:after="0" w:line="244" w:lineRule="auto"/>
        <w:tabs>
          <w:tab w:leader="none" w:pos="182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nominated, appointed or approved by individuals referred to in </w:t>
      </w:r>
      <w:r>
        <w:rPr>
          <w:rFonts w:ascii="Times New Roman" w:cs="Times New Roman" w:eastAsia="Times New Roman" w:hAnsi="Times New Roman"/>
          <w:sz w:val="20"/>
          <w:szCs w:val="20"/>
          <w:i w:val="1"/>
          <w:iCs w:val="1"/>
          <w:color w:val="auto"/>
        </w:rPr>
        <w:t>clause (i)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nominated, appointed or approved by individuals referred to in </w:t>
      </w:r>
      <w:r>
        <w:rPr>
          <w:rFonts w:ascii="Times New Roman" w:cs="Times New Roman" w:eastAsia="Times New Roman" w:hAnsi="Times New Roman"/>
          <w:sz w:val="20"/>
          <w:szCs w:val="20"/>
          <w:i w:val="1"/>
          <w:iCs w:val="1"/>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 or</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7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two or more Persons acting in concert (other than Tom Powell and his Affiliates) shall have acquired by contract or otherwise, or shall have entered into a contract or arrangement that, upon consummation thereof, will result in its or their acquisition of the power to exercise, directly or indirectly, a controlling influence over the management or policies of Borrower, or control over the equity securities of Borrower entitled to vote for members of the board of directors or equivalent governing body of Borrower on a fully-diluted basis (and taking into account all such securities that such Person or group has the right to acquire pursuant to any option right) representing 25% or more of the combined voting power of such securities.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means the date 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means all of the “</w:t>
      </w:r>
      <w:r>
        <w:rPr>
          <w:rFonts w:ascii="Times New Roman" w:cs="Times New Roman" w:eastAsia="Times New Roman" w:hAnsi="Times New Roman"/>
          <w:sz w:val="20"/>
          <w:szCs w:val="20"/>
          <w:i w:val="1"/>
          <w:iCs w:val="1"/>
          <w:color w:val="auto"/>
        </w:rPr>
        <w:t>Collateral</w:t>
      </w:r>
      <w:r>
        <w:rPr>
          <w:rFonts w:ascii="Times New Roman" w:cs="Times New Roman" w:eastAsia="Times New Roman" w:hAnsi="Times New Roman"/>
          <w:sz w:val="20"/>
          <w:szCs w:val="20"/>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 Documents</w:t>
      </w:r>
      <w:r>
        <w:rPr>
          <w:rFonts w:ascii="Times New Roman" w:cs="Times New Roman" w:eastAsia="Times New Roman" w:hAnsi="Times New Roman"/>
          <w:sz w:val="20"/>
          <w:szCs w:val="20"/>
          <w:color w:val="auto"/>
        </w:rPr>
        <w:t xml:space="preserve">” means, collectively, the Security Agreement, the Qualifying Control Agreements, each Joinder Agreement, each of the collateral assignments, security agreements, pledge agreements, account control agreements or other similar agreements delivered to the Administrative Agent pursuant to </w:t>
      </w:r>
      <w:r>
        <w:rPr>
          <w:rFonts w:ascii="Times New Roman" w:cs="Times New Roman" w:eastAsia="Times New Roman" w:hAnsi="Times New Roman"/>
          <w:sz w:val="20"/>
          <w:szCs w:val="20"/>
          <w:b w:val="1"/>
          <w:bCs w:val="1"/>
          <w:i w:val="1"/>
          <w:iCs w:val="1"/>
          <w:color w:val="auto"/>
        </w:rPr>
        <w:t>Section 6.14</w:t>
      </w:r>
      <w:r>
        <w:rPr>
          <w:rFonts w:ascii="Times New Roman" w:cs="Times New Roman" w:eastAsia="Times New Roman" w:hAnsi="Times New Roman"/>
          <w:sz w:val="20"/>
          <w:szCs w:val="20"/>
          <w:color w:val="auto"/>
        </w:rPr>
        <w:t>, and each of the other agreements, instruments or documents that creates or purports to create a Lien in favor of the Administrative Agent for the benefit of the Secured Parties.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means a Revolving Commitment.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Commodity Exchange Act</w:t>
      </w:r>
      <w:r>
        <w:rPr>
          <w:rFonts w:ascii="Times New Roman" w:cs="Times New Roman" w:eastAsia="Times New Roman" w:hAnsi="Times New Roman"/>
          <w:sz w:val="20"/>
          <w:szCs w:val="20"/>
          <w:color w:val="auto"/>
        </w:rPr>
        <w:t xml:space="preserve">” means the Commodity Exchange Act (7 U.S.C.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b w:val="1"/>
          <w:bCs w:val="1"/>
          <w:i w:val="1"/>
          <w:iCs w:val="1"/>
          <w:color w:val="auto"/>
        </w:rPr>
        <w:t>Exhibit C</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558" w:right="239" w:bottom="1440" w:gutter="0" w:footer="0" w:header="0"/>
        </w:sectPr>
      </w:pPr>
    </w:p>
    <w:bookmarkStart w:id="73" w:name="page74"/>
    <w:bookmarkEnd w:id="73"/>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w:t>
      </w:r>
      <w:r>
        <w:rPr>
          <w:rFonts w:ascii="Times New Roman" w:cs="Times New Roman" w:eastAsia="Times New Roman" w:hAnsi="Times New Roman"/>
          <w:sz w:val="20"/>
          <w:szCs w:val="20"/>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EBITDA</w:t>
      </w:r>
      <w:r>
        <w:rPr>
          <w:rFonts w:ascii="Times New Roman" w:cs="Times New Roman" w:eastAsia="Times New Roman" w:hAnsi="Times New Roman"/>
          <w:sz w:val="19"/>
          <w:szCs w:val="19"/>
          <w:color w:val="auto"/>
        </w:rPr>
        <w:t xml:space="preserve">” means, for any period, the </w:t>
      </w:r>
      <w:r>
        <w:rPr>
          <w:rFonts w:ascii="Times New Roman" w:cs="Times New Roman" w:eastAsia="Times New Roman" w:hAnsi="Times New Roman"/>
          <w:sz w:val="19"/>
          <w:szCs w:val="19"/>
          <w:i w:val="1"/>
          <w:iCs w:val="1"/>
          <w:color w:val="auto"/>
        </w:rPr>
        <w:t>sum of</w:t>
      </w:r>
      <w:r>
        <w:rPr>
          <w:rFonts w:ascii="Times New Roman" w:cs="Times New Roman" w:eastAsia="Times New Roman" w:hAnsi="Times New Roman"/>
          <w:sz w:val="19"/>
          <w:szCs w:val="19"/>
          <w:color w:val="auto"/>
        </w:rPr>
        <w:t xml:space="preserve"> the following determined on a Consolidated basis, without duplication, for the Borrower and its Subsidiaries in accordance with GAAP, (a) Consolidated Net Income for the most recently completed Measurement Period </w:t>
      </w:r>
      <w:r>
        <w:rPr>
          <w:rFonts w:ascii="Times New Roman" w:cs="Times New Roman" w:eastAsia="Times New Roman" w:hAnsi="Times New Roman"/>
          <w:sz w:val="19"/>
          <w:szCs w:val="19"/>
          <w:i w:val="1"/>
          <w:iCs w:val="1"/>
          <w:color w:val="auto"/>
        </w:rPr>
        <w:t xml:space="preserve">plus </w:t>
      </w:r>
      <w:r>
        <w:rPr>
          <w:rFonts w:ascii="Times New Roman" w:cs="Times New Roman" w:eastAsia="Times New Roman" w:hAnsi="Times New Roman"/>
          <w:sz w:val="19"/>
          <w:szCs w:val="19"/>
          <w:color w:val="auto"/>
        </w:rPr>
        <w:t>(b) the following to the extent deducted in calculating such Consolidated Net Income (without duplication): (i) Consolidated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Charges, (ii) the provision for federal, state, local and foreign income taxes payable, (iii) depreciation and amortization expense, (iv) non-cash charges and losses (excluding such non-cash charges or losses to the extent (A) there were cash charges with respect to such charges and losses in past accounting periods or (B) there is a reasonable expectation that there will be cash charges with respect to such charges and losses in future accounting periods, (v) other non-cash charges approved by Administrative Agent; and (vi) any non-cash charges or non-cash expenses incurred pursuant to the Borrower’s stock based compensation plans, as reported in the statement of cash flows in the Consolidated financial statements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(c) without duplication and to the extent reflected as a gain or otherwise included in the calculation of Consolidated Net Income for such period, non-cash gains (excluding any such non-cash gains to the extent (i) there were cash gains with respect to such gains in past accounting periods or (ii) there is a reasonable expectation that there will be cash gains with respect to such gains in future accounting periods).</w:t>
      </w:r>
    </w:p>
    <w:p>
      <w:pPr>
        <w:spacing w:after="0" w:line="1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Funded Indebtedness</w:t>
      </w:r>
      <w:r>
        <w:rPr>
          <w:rFonts w:ascii="Times New Roman" w:cs="Times New Roman" w:eastAsia="Times New Roman" w:hAnsi="Times New Roman"/>
          <w:sz w:val="19"/>
          <w:szCs w:val="19"/>
          <w:color w:val="auto"/>
        </w:rPr>
        <w:t xml:space="preserve">” means, as of any date of determination, for Borrower and its Subsidiaries on a Consolidated basis, the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color w:val="auto"/>
        </w:rPr>
        <w:t xml:space="preserve"> of (a) the outstanding principal amount of all obligations, whether current or long-term, for borrowed money (including Obligations hereunder) and all obligations evidenced by bonds, debentures, notes, loan agreements or other similar instruments,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all purchase money Indebtedness,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all direct obligations under Surety Bonds in respect of which demand has been made for performance by the surety, (d) all direct obligations arising under letters of credit (including standby and commercial), bankers’ acceptances, bank guaranties, and similar instruments,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(e) all obligations in respect of the deferred purchase price of property or services (other than trade accounts payable in the ordinary course of business),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(f) Attributable Indebtedness in respect of capital leases and Synthetic Lease Obligations, </w:t>
      </w:r>
      <w:r>
        <w:rPr>
          <w:rFonts w:ascii="Times New Roman" w:cs="Times New Roman" w:eastAsia="Times New Roman" w:hAnsi="Times New Roman"/>
          <w:sz w:val="19"/>
          <w:szCs w:val="19"/>
          <w:i w:val="1"/>
          <w:iCs w:val="1"/>
          <w:color w:val="auto"/>
        </w:rPr>
        <w:t>plus</w:t>
      </w:r>
    </w:p>
    <w:p>
      <w:pPr>
        <w:spacing w:after="0" w:line="2" w:lineRule="exact"/>
        <w:rPr>
          <w:sz w:val="20"/>
          <w:szCs w:val="20"/>
          <w:color w:val="auto"/>
        </w:rPr>
      </w:pPr>
    </w:p>
    <w:p>
      <w:pPr>
        <w:jc w:val="both"/>
        <w:ind w:firstLine="8"/>
        <w:spacing w:after="0" w:line="241" w:lineRule="auto"/>
        <w:tabs>
          <w:tab w:leader="none" w:pos="31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all Guarantees with respect to outstanding Indebtedness of the types specified in clauses (a) through (f) above of Persons other than Borrower or any Subsidiary, and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(h) all Indebtedness of the types referred to in </w:t>
      </w:r>
      <w:r>
        <w:rPr>
          <w:rFonts w:ascii="Times New Roman" w:cs="Times New Roman" w:eastAsia="Times New Roman" w:hAnsi="Times New Roman"/>
          <w:sz w:val="20"/>
          <w:szCs w:val="20"/>
          <w:i w:val="1"/>
          <w:iCs w:val="1"/>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xml:space="preserve"> above of any partnership or joint venture (other than a joint venture that is itself a corporation or limited liability company) in which Borrower or a Subsidiary is a general partner or joint venturer, unless such Indebtedness is expressly made non-recourse to Borrower or such Subsidiary.</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Charges</w:t>
      </w:r>
      <w:r>
        <w:rPr>
          <w:rFonts w:ascii="Times New Roman" w:cs="Times New Roman" w:eastAsia="Times New Roman" w:hAnsi="Times New Roman"/>
          <w:sz w:val="20"/>
          <w:szCs w:val="20"/>
          <w:color w:val="auto"/>
        </w:rPr>
        <w:t xml:space="preserve">” means, for any Measurement Period,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Financing Leases that is treated as interest in accordance with GAAP, in each case, of or by the Borrower and its Subsidiaries on a Consolidated basis for the most recently completed Measurement Period.</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Coverage Ratio</w:t>
      </w:r>
      <w:r>
        <w:rPr>
          <w:rFonts w:ascii="Times New Roman" w:cs="Times New Roman" w:eastAsia="Times New Roman" w:hAnsi="Times New Roman"/>
          <w:sz w:val="20"/>
          <w:szCs w:val="20"/>
          <w:color w:val="auto"/>
        </w:rPr>
        <w:t xml:space="preserve">” means, as of any date of determination, the ratio of (a) (i) Consolidated EBITDA for the most recently completed Measurement Period,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 cash federal, state,</w:t>
      </w:r>
    </w:p>
    <w:p>
      <w:pPr>
        <w:sectPr>
          <w:pgSz w:w="11900" w:h="16838" w:orient="portrait"/>
          <w:cols w:equalWidth="0" w:num="1">
            <w:col w:w="11420"/>
          </w:cols>
          <w:pgMar w:left="240" w:top="558" w:right="2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local and foreign income taxes for Borrower and its Subsidiaries for such period,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(iii) actual cash Maintenance Capital Expenditures for such period to (b) Consolidated Interest Charges, in each case, of or by the Borrower and its Subsidiaries on a consolidated basis for the most recently completed Measurement Period.</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Leverage Ratio</w:t>
      </w:r>
      <w:r>
        <w:rPr>
          <w:rFonts w:ascii="Times New Roman" w:cs="Times New Roman" w:eastAsia="Times New Roman" w:hAnsi="Times New Roman"/>
          <w:sz w:val="20"/>
          <w:szCs w:val="20"/>
          <w:color w:val="auto"/>
        </w:rPr>
        <w:t>” means, as of any date of determination, the ratio of (a) Consolidated Funded Indebtedness as of such date to (b) Consolidated EBITDA of the Borrower and its Subsidiaries on a Consolidated basis for the most recently completed Measurement Period.</w:t>
      </w:r>
    </w:p>
    <w:p>
      <w:pPr>
        <w:spacing w:after="0" w:line="16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Net Income</w:t>
      </w:r>
      <w:r>
        <w:rPr>
          <w:rFonts w:ascii="Times New Roman" w:cs="Times New Roman" w:eastAsia="Times New Roman" w:hAnsi="Times New Roman"/>
          <w:sz w:val="20"/>
          <w:szCs w:val="20"/>
          <w:color w:val="auto"/>
        </w:rPr>
        <w:t xml:space="preserve">” means, at any date of determination, the net income (or loss) of the Borrower and its Subsidiaries on a Consolidated basis for the most recently completed Measurement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Consolidated Net Income shall exclude (a) unusual and infrequent gains and unusual and infrequent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of this proviso).</w:t>
      </w:r>
    </w:p>
    <w:p>
      <w:pPr>
        <w:spacing w:after="0" w:line="19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Controlled</w:t>
      </w:r>
      <w:r>
        <w:rPr>
          <w:rFonts w:ascii="Times New Roman" w:cs="Times New Roman" w:eastAsia="Times New Roman" w:hAnsi="Times New Roman"/>
          <w:sz w:val="20"/>
          <w:szCs w:val="20"/>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r>
        <w:rPr>
          <w:rFonts w:ascii="Times New Roman" w:cs="Times New Roman" w:eastAsia="Times New Roman" w:hAnsi="Times New Roman"/>
          <w:sz w:val="20"/>
          <w:szCs w:val="20"/>
          <w:b w:val="1"/>
          <w:bCs w:val="1"/>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Cost of Acquisition</w:t>
      </w:r>
      <w:r>
        <w:rPr>
          <w:rFonts w:ascii="Times New Roman" w:cs="Times New Roman" w:eastAsia="Times New Roman" w:hAnsi="Times New Roman"/>
          <w:sz w:val="19"/>
          <w:szCs w:val="19"/>
          <w:color w:val="auto"/>
        </w:rPr>
        <w:t xml:space="preserve">” means, with respect to any Acquisition, as at the date of entering into any agreement therefor, the sum of the following (without duplication): (a) the value of the Equity Interests of the Borrower or any Subsidiary to be transferred in connection with such Acquisition, (b) the amount of any cash and fair market value of other property (excluding property described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and the unpaid principal amount of any debt instrument) given as consideration in connection with such Acquisition, (c) the amount (determined by using the face amount or the amount payable at maturity, whichever is greater) of any Indebtedness incurred, assumed or acquired by the Borrower or any Subsidiary in connection with such Acquisition, (d) all additional purchase price amounts in the form of earnouts and other contingent obligations that should be recorded on the financial statements of the Borrower and its Subsidiaries in accordance with GAAP in connection with such Acquisition, (e) all amounts paid in respect of covenants not to compete and consulting agreements that should be recorded on the financial statements of the Borrower and its Subsidiaries in accordance with GAAP, and other affiliated contracts in connection with such Acquisition, and (f) the aggregate fair market value of all other consideration given by the Borrower or any Subsidiary in connection</w:t>
      </w:r>
    </w:p>
    <w:p>
      <w:pPr>
        <w:sectPr>
          <w:pgSz w:w="11900" w:h="16838" w:orient="portrait"/>
          <w:cols w:equalWidth="0" w:num="1">
            <w:col w:w="11420"/>
          </w:cols>
          <w:pgMar w:left="240" w:top="558" w:right="239" w:bottom="1440" w:gutter="0" w:footer="0" w:header="0"/>
        </w:sectPr>
      </w:pPr>
    </w:p>
    <w:bookmarkStart w:id="75" w:name="page76"/>
    <w:bookmarkEnd w:id="75"/>
    <w:p>
      <w:pPr>
        <w:jc w:val="both"/>
        <w:spacing w:after="0" w:line="269" w:lineRule="auto"/>
        <w:rPr>
          <w:sz w:val="20"/>
          <w:szCs w:val="20"/>
          <w:color w:val="auto"/>
        </w:rPr>
      </w:pPr>
      <w:r>
        <w:rPr>
          <w:rFonts w:ascii="Times New Roman" w:cs="Times New Roman" w:eastAsia="Times New Roman" w:hAnsi="Times New Roman"/>
          <w:sz w:val="20"/>
          <w:szCs w:val="20"/>
          <w:color w:val="auto"/>
        </w:rPr>
        <w:t>with such Acquisition. For purposes of determining the Cost of Acquisition for any transaction, the Equity Interests of the Borrower shall be valued in accordance with GAAP.</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Entity</w:t>
      </w:r>
      <w:r>
        <w:rPr>
          <w:rFonts w:ascii="Times New Roman" w:cs="Times New Roman" w:eastAsia="Times New Roman" w:hAnsi="Times New Roman"/>
          <w:sz w:val="20"/>
          <w:szCs w:val="20"/>
          <w:color w:val="auto"/>
        </w:rPr>
        <w:t>” means any of the following: (a) a “</w:t>
      </w:r>
      <w:r>
        <w:rPr>
          <w:rFonts w:ascii="Times New Roman" w:cs="Times New Roman" w:eastAsia="Times New Roman" w:hAnsi="Times New Roman"/>
          <w:sz w:val="20"/>
          <w:szCs w:val="20"/>
          <w:i w:val="1"/>
          <w:iCs w:val="1"/>
          <w:color w:val="auto"/>
        </w:rPr>
        <w:t>covered entity</w:t>
      </w:r>
      <w:r>
        <w:rPr>
          <w:rFonts w:ascii="Times New Roman" w:cs="Times New Roman" w:eastAsia="Times New Roman" w:hAnsi="Times New Roman"/>
          <w:sz w:val="20"/>
          <w:szCs w:val="20"/>
          <w:color w:val="auto"/>
        </w:rPr>
        <w:t>” as that term is defined in, and interpreted in accordance with, 12 C.F.R. §252.82(b); (b) a “</w:t>
      </w:r>
      <w:r>
        <w:rPr>
          <w:rFonts w:ascii="Times New Roman" w:cs="Times New Roman" w:eastAsia="Times New Roman" w:hAnsi="Times New Roman"/>
          <w:sz w:val="20"/>
          <w:szCs w:val="20"/>
          <w:i w:val="1"/>
          <w:iCs w:val="1"/>
          <w:color w:val="auto"/>
        </w:rPr>
        <w:t>covered bank</w:t>
      </w:r>
      <w:r>
        <w:rPr>
          <w:rFonts w:ascii="Times New Roman" w:cs="Times New Roman" w:eastAsia="Times New Roman" w:hAnsi="Times New Roman"/>
          <w:sz w:val="20"/>
          <w:szCs w:val="20"/>
          <w:color w:val="auto"/>
        </w:rPr>
        <w:t>” as that term is defined in, and interpreted in accordance with, 12 C.F.R. §47.3(b); or (c) a “</w:t>
      </w:r>
      <w:r>
        <w:rPr>
          <w:rFonts w:ascii="Times New Roman" w:cs="Times New Roman" w:eastAsia="Times New Roman" w:hAnsi="Times New Roman"/>
          <w:sz w:val="20"/>
          <w:szCs w:val="20"/>
          <w:i w:val="1"/>
          <w:iCs w:val="1"/>
          <w:color w:val="auto"/>
        </w:rPr>
        <w:t>covered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FSI</w:t>
      </w:r>
      <w:r>
        <w:rPr>
          <w:rFonts w:ascii="Times New Roman" w:cs="Times New Roman" w:eastAsia="Times New Roman" w:hAnsi="Times New Roman"/>
          <w:sz w:val="20"/>
          <w:szCs w:val="20"/>
          <w:color w:val="auto"/>
        </w:rPr>
        <w:t>” as that term is defined in, and interpreted in accordance with, 12 C.F.R. §382.2(b).</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means (a) with respect to any Obligation for which a rate is specified, a rate per annum equal to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for Revolving Loans that are Base Rate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in each case, to the fullest extent permitted by Applicable Law.</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§§252.81, 47.2 or 382.1, as applicable.</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b w:val="1"/>
          <w:bCs w:val="1"/>
          <w:i w:val="1"/>
          <w:iCs w:val="1"/>
          <w:color w:val="auto"/>
        </w:rPr>
        <w:t>Section 2.15(b)</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spacing w:after="0" w:line="1" w:lineRule="exact"/>
        <w:rPr>
          <w:sz w:val="20"/>
          <w:szCs w:val="20"/>
          <w:color w:val="auto"/>
        </w:rPr>
      </w:pPr>
    </w:p>
    <w:p>
      <w:pPr>
        <w:jc w:val="both"/>
        <w:ind w:firstLine="8"/>
        <w:spacing w:after="0" w:line="239" w:lineRule="auto"/>
        <w:tabs>
          <w:tab w:leader="none" w:pos="31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to the Administrative Agent, the L/C Issuer, the Swingline Lender or any other Lender any other amount required to be paid by it hereunder (including in respect of its participation in Letters of Credit or Swingline Loans) within two Business Days of the date when due,</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2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b w:val="1"/>
          <w:bCs w:val="1"/>
          <w:i w:val="1"/>
          <w:iCs w:val="1"/>
          <w:color w:val="auto"/>
        </w:rPr>
        <w:t>clause (c)</w:t>
      </w:r>
      <w:r>
        <w:rPr>
          <w:rFonts w:ascii="Times New Roman" w:cs="Times New Roman" w:eastAsia="Times New Roman" w:hAnsi="Times New Roman"/>
          <w:sz w:val="20"/>
          <w:szCs w:val="20"/>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 virtue of the</w:t>
      </w:r>
    </w:p>
    <w:p>
      <w:pPr>
        <w:sectPr>
          <w:pgSz w:w="11900" w:h="16838" w:orient="portrait"/>
          <w:cols w:equalWidth="0" w:num="1">
            <w:col w:w="11420"/>
          </w:cols>
          <w:pgMar w:left="240" w:top="562" w:right="239" w:bottom="1440" w:gutter="0" w:footer="0" w:header="0"/>
        </w:sectPr>
      </w:pPr>
    </w:p>
    <w:bookmarkStart w:id="76" w:name="page77"/>
    <w:bookmarkEnd w:id="76"/>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xml:space="preserve"> above, and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b w:val="1"/>
          <w:bCs w:val="1"/>
          <w:i w:val="1"/>
          <w:iCs w:val="1"/>
          <w:color w:val="auto"/>
        </w:rPr>
        <w:t>Section 2.15(b)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is the subject of any Sanction.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 Equivalent</w:t>
      </w:r>
      <w:r>
        <w:rPr>
          <w:rFonts w:ascii="Times New Roman" w:cs="Times New Roman" w:eastAsia="Times New Roman" w:hAnsi="Times New Roman"/>
          <w:sz w:val="20"/>
          <w:szCs w:val="20"/>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Business Days immediately preceding the date of determination (or if such service ceases to be available or ceases to provide such rate of exchange, the equivalent of such amount in dollars as determined by the Administrative Agent or the L/C Issuer, as applicable using any method of determination it deems appropriate in its sole discretion) and (c) if such amount is denominated in any other currency, the equivalent of such amount in dollars as determined by the Administrative Agent or the L/C Issuer, as applicable, using any method of determination it deems appropriate in its sole discretion. Any determination by the Administrative Agent or the L/C Issuer pursuant to </w:t>
      </w:r>
      <w:r>
        <w:rPr>
          <w:rFonts w:ascii="Times New Roman" w:cs="Times New Roman" w:eastAsia="Times New Roman" w:hAnsi="Times New Roman"/>
          <w:sz w:val="20"/>
          <w:szCs w:val="20"/>
          <w:b w:val="1"/>
          <w:bCs w:val="1"/>
          <w:i w:val="1"/>
          <w:iCs w:val="1"/>
          <w:color w:val="auto"/>
        </w:rPr>
        <w:t>clauses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above shall be conclusive absent manifest error.</w:t>
      </w:r>
    </w:p>
    <w:p>
      <w:pPr>
        <w:spacing w:after="0" w:line="18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thereof or the District of Columbia.</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b w:val="1"/>
          <w:bCs w:val="1"/>
          <w:i w:val="1"/>
          <w:iCs w:val="1"/>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ectPr>
          <w:pgSz w:w="11900" w:h="16838" w:orient="portrait"/>
          <w:cols w:equalWidth="0" w:num="1">
            <w:col w:w="11420"/>
          </w:cols>
          <w:pgMar w:left="240" w:top="562" w:right="239" w:bottom="1440" w:gutter="0" w:footer="0" w:header="0"/>
        </w:sectPr>
      </w:pPr>
    </w:p>
    <w:bookmarkStart w:id="77" w:name="page78"/>
    <w:bookmarkEnd w:id="77"/>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b w:val="1"/>
          <w:bCs w:val="1"/>
          <w:i w:val="1"/>
          <w:iCs w:val="1"/>
          <w:color w:val="auto"/>
        </w:rPr>
        <w:t>Section 11.06(b)(iii)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Currency</w:t>
      </w:r>
      <w:r>
        <w:rPr>
          <w:rFonts w:ascii="Times New Roman" w:cs="Times New Roman" w:eastAsia="Times New Roman" w:hAnsi="Times New Roman"/>
          <w:sz w:val="20"/>
          <w:szCs w:val="20"/>
          <w:color w:val="auto"/>
        </w:rPr>
        <w:t xml:space="preserve">”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an Alternative Currency) or the L/C Issuer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Lenders or (d) no longer a currency in which the Lenders are willing to make such Credit Extensions (each of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i w:val="1"/>
          <w:iCs w:val="1"/>
          <w:color w:val="auto"/>
        </w:rPr>
        <w:t>Disqualifying Event</w:t>
      </w:r>
      <w:r>
        <w:rPr>
          <w:rFonts w:ascii="Times New Roman" w:cs="Times New Roman" w:eastAsia="Times New Roman" w:hAnsi="Times New Roman"/>
          <w:sz w:val="20"/>
          <w:szCs w:val="20"/>
          <w:color w:val="auto"/>
        </w:rPr>
        <w:t>”), then the Administrative Agent shall promptly notify the Lenders and the Borrower, and such country’s currency shall no longer be an Alternative Currency until such time as the Disqualifying Event(s) no longer exist. Within five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w:t>
      </w:r>
      <w:r>
        <w:rPr>
          <w:rFonts w:ascii="Times New Roman" w:cs="Times New Roman" w:eastAsia="Times New Roman" w:hAnsi="Times New Roman"/>
          <w:sz w:val="20"/>
          <w:szCs w:val="20"/>
          <w:color w:val="auto"/>
        </w:rPr>
        <w:t>” means ambient air, indoor air, surface water, groundwater, drinking water, soil, surface and subsurface strata, and natural resources such as wetland, flora and fauna.</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color w:val="auto"/>
        </w:rPr>
        <w:t>” means any and all federal, state, local, and foreign statutes, laws (including common law), regulations, standards, ordinances, rules, judgments, interpretations,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Permit</w:t>
      </w:r>
      <w:r>
        <w:rPr>
          <w:rFonts w:ascii="Times New Roman" w:cs="Times New Roman" w:eastAsia="Times New Roman" w:hAnsi="Times New Roman"/>
          <w:sz w:val="20"/>
          <w:szCs w:val="20"/>
          <w:color w:val="auto"/>
        </w:rPr>
        <w:t>” means any permit, certification, registration, approval, identification number, license or other authorization required under any Environmental Law.</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Equity Interests</w:t>
      </w:r>
      <w:r>
        <w:rPr>
          <w:rFonts w:ascii="Times New Roman" w:cs="Times New Roman" w:eastAsia="Times New Roman" w:hAnsi="Times New Roman"/>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w:t>
      </w:r>
    </w:p>
    <w:p>
      <w:pPr>
        <w:sectPr>
          <w:pgSz w:w="11900" w:h="16838" w:orient="portrait"/>
          <w:cols w:equalWidth="0" w:num="1">
            <w:col w:w="11420"/>
          </w:cols>
          <w:pgMar w:left="240" w:top="558" w:right="2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20"/>
          <w:szCs w:val="20"/>
          <w:color w:val="auto"/>
        </w:rPr>
        <w:t>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1"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color w:val="auto"/>
        </w:rPr>
        <w:t xml:space="preserve">” means any trade or business (whether or not incorporated) under common control with the Borrower within the meaning of </w:t>
      </w:r>
      <w:r>
        <w:rPr>
          <w:rFonts w:ascii="Times New Roman" w:cs="Times New Roman" w:eastAsia="Times New Roman" w:hAnsi="Times New Roman"/>
          <w:sz w:val="20"/>
          <w:szCs w:val="20"/>
          <w:i w:val="1"/>
          <w:iCs w:val="1"/>
          <w:color w:val="auto"/>
        </w:rPr>
        <w:t>Sections 414(b)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(c)</w:t>
      </w:r>
      <w:r>
        <w:rPr>
          <w:rFonts w:ascii="Times New Roman" w:cs="Times New Roman" w:eastAsia="Times New Roman" w:hAnsi="Times New Roman"/>
          <w:sz w:val="20"/>
          <w:szCs w:val="20"/>
          <w:color w:val="auto"/>
        </w:rPr>
        <w:t xml:space="preserve"> of the Code (and </w:t>
      </w:r>
      <w:r>
        <w:rPr>
          <w:rFonts w:ascii="Times New Roman" w:cs="Times New Roman" w:eastAsia="Times New Roman" w:hAnsi="Times New Roman"/>
          <w:sz w:val="20"/>
          <w:szCs w:val="20"/>
          <w:i w:val="1"/>
          <w:iCs w:val="1"/>
          <w:color w:val="auto"/>
        </w:rPr>
        <w:t>Sections 414(m)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(o)</w:t>
      </w:r>
      <w:r>
        <w:rPr>
          <w:rFonts w:ascii="Times New Roman" w:cs="Times New Roman" w:eastAsia="Times New Roman" w:hAnsi="Times New Roman"/>
          <w:sz w:val="20"/>
          <w:szCs w:val="20"/>
          <w:color w:val="auto"/>
        </w:rPr>
        <w:t xml:space="preserve"> of the Code for purposes of provisions relating to </w:t>
      </w:r>
      <w:r>
        <w:rPr>
          <w:rFonts w:ascii="Times New Roman" w:cs="Times New Roman" w:eastAsia="Times New Roman" w:hAnsi="Times New Roman"/>
          <w:sz w:val="20"/>
          <w:szCs w:val="20"/>
          <w:i w:val="1"/>
          <w:iCs w:val="1"/>
          <w:color w:val="auto"/>
        </w:rPr>
        <w:t>Section 412</w:t>
      </w:r>
      <w:r>
        <w:rPr>
          <w:rFonts w:ascii="Times New Roman" w:cs="Times New Roman" w:eastAsia="Times New Roman" w:hAnsi="Times New Roman"/>
          <w:sz w:val="20"/>
          <w:szCs w:val="20"/>
          <w:color w:val="auto"/>
        </w:rPr>
        <w:t xml:space="preserve"> of the Code).</w:t>
      </w:r>
    </w:p>
    <w:p>
      <w:pPr>
        <w:spacing w:after="0" w:line="16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Event</w:t>
      </w:r>
      <w:r>
        <w:rPr>
          <w:rFonts w:ascii="Times New Roman" w:cs="Times New Roman" w:eastAsia="Times New Roman" w:hAnsi="Times New Roman"/>
          <w:sz w:val="20"/>
          <w:szCs w:val="20"/>
          <w:color w:val="auto"/>
        </w:rPr>
        <w:t xml:space="preserve">” means (a) a Reportable Event with respect to a Pension Plan; (b) the withdrawal of the Borrower or any ERISA Affiliate from a Pension Plan subject to </w:t>
      </w:r>
      <w:r>
        <w:rPr>
          <w:rFonts w:ascii="Times New Roman" w:cs="Times New Roman" w:eastAsia="Times New Roman" w:hAnsi="Times New Roman"/>
          <w:sz w:val="20"/>
          <w:szCs w:val="20"/>
          <w:i w:val="1"/>
          <w:iCs w:val="1"/>
          <w:color w:val="auto"/>
        </w:rPr>
        <w:t>Section 4063</w:t>
      </w:r>
      <w:r>
        <w:rPr>
          <w:rFonts w:ascii="Times New Roman" w:cs="Times New Roman" w:eastAsia="Times New Roman" w:hAnsi="Times New Roman"/>
          <w:sz w:val="20"/>
          <w:szCs w:val="20"/>
          <w:color w:val="auto"/>
        </w:rPr>
        <w:t xml:space="preserve"> of ERISA during a plan year in which such entity was a “</w:t>
      </w:r>
      <w:r>
        <w:rPr>
          <w:rFonts w:ascii="Times New Roman" w:cs="Times New Roman" w:eastAsia="Times New Roman" w:hAnsi="Times New Roman"/>
          <w:sz w:val="20"/>
          <w:szCs w:val="20"/>
          <w:i w:val="1"/>
          <w:iCs w:val="1"/>
          <w:color w:val="auto"/>
        </w:rPr>
        <w:t>substantial employer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i w:val="1"/>
          <w:iCs w:val="1"/>
          <w:color w:val="auto"/>
        </w:rPr>
        <w:t>Section 4001(a)(2)</w:t>
      </w:r>
      <w:r>
        <w:rPr>
          <w:rFonts w:ascii="Times New Roman" w:cs="Times New Roman" w:eastAsia="Times New Roman" w:hAnsi="Times New Roman"/>
          <w:sz w:val="20"/>
          <w:szCs w:val="20"/>
          <w:color w:val="auto"/>
        </w:rPr>
        <w:t xml:space="preserve"> of ERISA or a cessation of operations that is treated as such a withdrawal under </w:t>
      </w:r>
      <w:r>
        <w:rPr>
          <w:rFonts w:ascii="Times New Roman" w:cs="Times New Roman" w:eastAsia="Times New Roman" w:hAnsi="Times New Roman"/>
          <w:sz w:val="20"/>
          <w:szCs w:val="20"/>
          <w:i w:val="1"/>
          <w:iCs w:val="1"/>
          <w:color w:val="auto"/>
        </w:rPr>
        <w:t>Section 4062(e)</w:t>
      </w:r>
      <w:r>
        <w:rPr>
          <w:rFonts w:ascii="Times New Roman" w:cs="Times New Roman" w:eastAsia="Times New Roman" w:hAnsi="Times New Roman"/>
          <w:sz w:val="20"/>
          <w:szCs w:val="20"/>
          <w:color w:val="auto"/>
        </w:rPr>
        <w:t xml:space="preserve"> of ERISA; (c) a complete or partial withdrawal by the Borrower or any ERISA Affiliate from a Multiemployer Plan; (d) the filing of a notice of intent to terminate, the treatment of a Pension Plan amendment as a termination under </w:t>
      </w:r>
      <w:r>
        <w:rPr>
          <w:rFonts w:ascii="Times New Roman" w:cs="Times New Roman" w:eastAsia="Times New Roman" w:hAnsi="Times New Roman"/>
          <w:sz w:val="20"/>
          <w:szCs w:val="20"/>
          <w:i w:val="1"/>
          <w:iCs w:val="1"/>
          <w:color w:val="auto"/>
        </w:rPr>
        <w:t>Section 4041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4041A</w:t>
      </w:r>
      <w:r>
        <w:rPr>
          <w:rFonts w:ascii="Times New Roman" w:cs="Times New Roman" w:eastAsia="Times New Roman" w:hAnsi="Times New Roman"/>
          <w:sz w:val="20"/>
          <w:szCs w:val="20"/>
          <w:color w:val="auto"/>
        </w:rPr>
        <w:t xml:space="preserve"> of ERISA; (e) the institution by the PBGC of proceedings to terminate a Pension Plan; (f) any event or condition which constitutes grounds under </w:t>
      </w:r>
      <w:r>
        <w:rPr>
          <w:rFonts w:ascii="Times New Roman" w:cs="Times New Roman" w:eastAsia="Times New Roman" w:hAnsi="Times New Roman"/>
          <w:sz w:val="20"/>
          <w:szCs w:val="20"/>
          <w:i w:val="1"/>
          <w:iCs w:val="1"/>
          <w:color w:val="auto"/>
        </w:rPr>
        <w:t>Section 4042</w:t>
      </w:r>
      <w:r>
        <w:rPr>
          <w:rFonts w:ascii="Times New Roman" w:cs="Times New Roman" w:eastAsia="Times New Roman" w:hAnsi="Times New Roman"/>
          <w:sz w:val="20"/>
          <w:szCs w:val="20"/>
          <w:color w:val="auto"/>
        </w:rPr>
        <w:t xml:space="preserve"> of ERISA for the termination of, or the appointment of a trustee to administer, any Pension Plan; (g) the determination that any Pension Plan is considered an at-risk plan or a plan in endangered or critical status within the meaning of </w:t>
      </w:r>
      <w:r>
        <w:rPr>
          <w:rFonts w:ascii="Times New Roman" w:cs="Times New Roman" w:eastAsia="Times New Roman" w:hAnsi="Times New Roman"/>
          <w:sz w:val="20"/>
          <w:szCs w:val="20"/>
          <w:i w:val="1"/>
          <w:iCs w:val="1"/>
          <w:color w:val="auto"/>
        </w:rPr>
        <w:t>Sections 430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432</w:t>
      </w:r>
      <w:r>
        <w:rPr>
          <w:rFonts w:ascii="Times New Roman" w:cs="Times New Roman" w:eastAsia="Times New Roman" w:hAnsi="Times New Roman"/>
          <w:sz w:val="20"/>
          <w:szCs w:val="20"/>
          <w:color w:val="auto"/>
        </w:rPr>
        <w:t xml:space="preserve"> of the Code or </w:t>
      </w:r>
      <w:r>
        <w:rPr>
          <w:rFonts w:ascii="Times New Roman" w:cs="Times New Roman" w:eastAsia="Times New Roman" w:hAnsi="Times New Roman"/>
          <w:sz w:val="20"/>
          <w:szCs w:val="20"/>
          <w:i w:val="1"/>
          <w:iCs w:val="1"/>
          <w:color w:val="auto"/>
        </w:rPr>
        <w:t>Sections 303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305</w:t>
      </w:r>
      <w:r>
        <w:rPr>
          <w:rFonts w:ascii="Times New Roman" w:cs="Times New Roman" w:eastAsia="Times New Roman" w:hAnsi="Times New Roman"/>
          <w:sz w:val="20"/>
          <w:szCs w:val="20"/>
          <w:color w:val="auto"/>
        </w:rPr>
        <w:t xml:space="preserve"> of ERISA; (h) the imposition of any liability under </w:t>
      </w:r>
      <w:r>
        <w:rPr>
          <w:rFonts w:ascii="Times New Roman" w:cs="Times New Roman" w:eastAsia="Times New Roman" w:hAnsi="Times New Roman"/>
          <w:sz w:val="20"/>
          <w:szCs w:val="20"/>
          <w:i w:val="1"/>
          <w:iCs w:val="1"/>
          <w:color w:val="auto"/>
        </w:rPr>
        <w:t>Title IV</w:t>
      </w:r>
      <w:r>
        <w:rPr>
          <w:rFonts w:ascii="Times New Roman" w:cs="Times New Roman" w:eastAsia="Times New Roman" w:hAnsi="Times New Roman"/>
          <w:sz w:val="20"/>
          <w:szCs w:val="20"/>
          <w:color w:val="auto"/>
        </w:rPr>
        <w:t xml:space="preserve"> of ERISA, other than for PBGC premiums due but not delinquent under </w:t>
      </w:r>
      <w:r>
        <w:rPr>
          <w:rFonts w:ascii="Times New Roman" w:cs="Times New Roman" w:eastAsia="Times New Roman" w:hAnsi="Times New Roman"/>
          <w:sz w:val="20"/>
          <w:szCs w:val="20"/>
          <w:i w:val="1"/>
          <w:iCs w:val="1"/>
          <w:color w:val="auto"/>
        </w:rPr>
        <w:t>Section 4007</w:t>
      </w:r>
      <w:r>
        <w:rPr>
          <w:rFonts w:ascii="Times New Roman" w:cs="Times New Roman" w:eastAsia="Times New Roman" w:hAnsi="Times New Roman"/>
          <w:sz w:val="20"/>
          <w:szCs w:val="20"/>
          <w:color w:val="auto"/>
        </w:rPr>
        <w:t xml:space="preserve">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Eurocurrency Rate</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720" w:hanging="415"/>
        <w:spacing w:after="0"/>
        <w:tabs>
          <w:tab w:leader="none" w:pos="1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Period, with respect to any Credit Extension:</w:t>
      </w:r>
    </w:p>
    <w:p>
      <w:pPr>
        <w:spacing w:after="0" w:line="215" w:lineRule="exact"/>
        <w:rPr>
          <w:rFonts w:ascii="Times New Roman" w:cs="Times New Roman" w:eastAsia="Times New Roman" w:hAnsi="Times New Roman"/>
          <w:sz w:val="20"/>
          <w:szCs w:val="20"/>
          <w:color w:val="auto"/>
        </w:rPr>
      </w:pPr>
    </w:p>
    <w:p>
      <w:pPr>
        <w:jc w:val="both"/>
        <w:ind w:left="1300" w:firstLine="653"/>
        <w:spacing w:after="0" w:line="245" w:lineRule="auto"/>
        <w:tabs>
          <w:tab w:leader="none" w:pos="24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a LIBOR Quoted Currency, the rate per annum equal to the London Interbank Offered Rate as administered by ICE Benchmark Administration (or any other Person that takes over the administration of such rate for U.S. Dollars for a period equal in length to such Interest Period) (“</w:t>
      </w:r>
      <w:r>
        <w:rPr>
          <w:rFonts w:ascii="Times New Roman" w:cs="Times New Roman" w:eastAsia="Times New Roman" w:hAnsi="Times New Roman"/>
          <w:sz w:val="20"/>
          <w:szCs w:val="20"/>
          <w:b w:val="1"/>
          <w:bCs w:val="1"/>
          <w:i w:val="1"/>
          <w:iCs w:val="1"/>
          <w:color w:val="auto"/>
        </w:rPr>
        <w:t>LIBOR</w:t>
      </w:r>
      <w:r>
        <w:rPr>
          <w:rFonts w:ascii="Times New Roman" w:cs="Times New Roman" w:eastAsia="Times New Roman" w:hAnsi="Times New Roman"/>
          <w:sz w:val="20"/>
          <w:szCs w:val="20"/>
          <w:color w:val="auto"/>
        </w:rPr>
        <w:t>”), as published on the applicable Bloomberg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b w:val="1"/>
          <w:bCs w:val="1"/>
          <w:i w:val="1"/>
          <w:iCs w:val="1"/>
          <w:color w:val="auto"/>
        </w:rPr>
        <w:t>LIBOR Rate</w:t>
      </w:r>
      <w:r>
        <w:rPr>
          <w:rFonts w:ascii="Times New Roman" w:cs="Times New Roman" w:eastAsia="Times New Roman" w:hAnsi="Times New Roman"/>
          <w:sz w:val="20"/>
          <w:szCs w:val="20"/>
          <w:color w:val="auto"/>
        </w:rPr>
        <w:t>”) at or about 11:00 a.m. (London time) on the Rate Determination Date, for deposits in the relevant currency, with a term equivalent to such Interest Period;</w:t>
      </w:r>
    </w:p>
    <w:p>
      <w:pPr>
        <w:spacing w:after="0" w:line="185"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391"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Canadian Dollars, the rate per annum equal to the Canadian Dollar Offered Rate, or a comparable or successor rate which rate is approved by the Administrative Agent, as published on the applicable Bloomberg screen page (or such other commercially available source providing such quotations as may be designated by the</w:t>
      </w:r>
    </w:p>
    <w:p>
      <w:pPr>
        <w:sectPr>
          <w:pgSz w:w="11900" w:h="16838" w:orient="portrait"/>
          <w:cols w:equalWidth="0" w:num="1">
            <w:col w:w="11420"/>
          </w:cols>
          <w:pgMar w:left="240" w:top="562" w:right="239" w:bottom="1440" w:gutter="0" w:footer="0" w:header="0"/>
        </w:sectPr>
      </w:pPr>
    </w:p>
    <w:bookmarkStart w:id="79" w:name="page80"/>
    <w:bookmarkEnd w:id="79"/>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Administrative Agent from time to time) at or about 10:00 a.m. (Toronto, Ontario time) on the first day of such Interest Period (or such other day as is generally treated as the rate fixing day by market practice in such interbank market, as determined by the Administrative Agent) (or if such day is not a Business Day, then on the immediately preceding Business Day) with a term equivalent to such Interest Period;</w:t>
      </w:r>
    </w:p>
    <w:p>
      <w:pPr>
        <w:spacing w:after="0" w:line="180" w:lineRule="exact"/>
        <w:rPr>
          <w:sz w:val="20"/>
          <w:szCs w:val="20"/>
          <w:color w:val="auto"/>
        </w:rPr>
      </w:pPr>
    </w:p>
    <w:p>
      <w:pPr>
        <w:jc w:val="both"/>
        <w:ind w:left="1300" w:firstLine="653"/>
        <w:spacing w:after="0" w:line="254" w:lineRule="auto"/>
        <w:tabs>
          <w:tab w:leader="none" w:pos="256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Credit Extension denominated in any other Non-LIBOR Quoted Currency, the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b w:val="1"/>
          <w:bCs w:val="1"/>
          <w:i w:val="1"/>
          <w:iCs w:val="1"/>
          <w:color w:val="auto"/>
        </w:rPr>
        <w:t>Section 1.09(a)</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9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rate calculation with respect to a Base Rate Loan on any date, the rate per annum equal to the LIBOR Rate, at or about 11:00 a.m. (London time) determined two Business Days prior to such date for Dollar deposits being delivered in the London interbank market for deposits in Dollars with a term of one month commencing that day;</w:t>
      </w:r>
    </w:p>
    <w:p>
      <w:pPr>
        <w:spacing w:after="0" w:line="171"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 to the extent a comparable or successor rate is approved by the Administrative Agent in connection with any rate set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forth in this definition, the approved comparable or successor rate shall be applied in a manner consistent with market practice;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 </w:t>
      </w:r>
      <w:r>
        <w:rPr>
          <w:rFonts w:ascii="Times New Roman" w:cs="Times New Roman" w:eastAsia="Times New Roman" w:hAnsi="Times New Roman"/>
          <w:sz w:val="20"/>
          <w:szCs w:val="20"/>
          <w:color w:val="auto"/>
        </w:rPr>
        <w:t>that to the extent such market practice is not administratively feasible for the Administrative Agent, such approved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rate shall be applied in a manner as otherwise reasonably determined by the Administrative Agent and (ii) if the Eurocurrency Rate shall be less than zero, such rate shall be deemed zero for purposes of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Eurocurrency Rate Loan</w:t>
      </w:r>
      <w:r>
        <w:rPr>
          <w:rFonts w:ascii="Times New Roman" w:cs="Times New Roman" w:eastAsia="Times New Roman" w:hAnsi="Times New Roman"/>
          <w:sz w:val="20"/>
          <w:szCs w:val="20"/>
          <w:color w:val="auto"/>
        </w:rPr>
        <w:t xml:space="preserve">” means a Loan that bears interest at a rate based on </w:t>
      </w:r>
      <w:r>
        <w:rPr>
          <w:rFonts w:ascii="Times New Roman" w:cs="Times New Roman" w:eastAsia="Times New Roman" w:hAnsi="Times New Roman"/>
          <w:sz w:val="20"/>
          <w:szCs w:val="20"/>
          <w:b w:val="1"/>
          <w:bCs w:val="1"/>
          <w:i w:val="1"/>
          <w:iCs w:val="1"/>
          <w:color w:val="auto"/>
        </w:rPr>
        <w:t>clause (a)</w:t>
      </w:r>
      <w:r>
        <w:rPr>
          <w:rFonts w:ascii="Times New Roman" w:cs="Times New Roman" w:eastAsia="Times New Roman" w:hAnsi="Times New Roman"/>
          <w:sz w:val="20"/>
          <w:szCs w:val="20"/>
          <w:color w:val="auto"/>
        </w:rPr>
        <w:t xml:space="preserve"> of the definition of “</w:t>
      </w:r>
      <w:r>
        <w:rPr>
          <w:rFonts w:ascii="Times New Roman" w:cs="Times New Roman" w:eastAsia="Times New Roman" w:hAnsi="Times New Roman"/>
          <w:sz w:val="20"/>
          <w:szCs w:val="20"/>
          <w:i w:val="1"/>
          <w:iCs w:val="1"/>
          <w:color w:val="auto"/>
        </w:rPr>
        <w:t>Eurocurrency Rate</w:t>
      </w:r>
      <w:r>
        <w:rPr>
          <w:rFonts w:ascii="Times New Roman" w:cs="Times New Roman" w:eastAsia="Times New Roman" w:hAnsi="Times New Roman"/>
          <w:sz w:val="20"/>
          <w:szCs w:val="20"/>
          <w:color w:val="auto"/>
        </w:rPr>
        <w:t>”. Eurocurrency Rate Loans may be denominated in Dollars or in an Alternative Currency. All Loans denominated in an Alternative Currency must be Eurocurrency Rate Loans.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Property</w:t>
      </w:r>
      <w:r>
        <w:rPr>
          <w:rFonts w:ascii="Times New Roman" w:cs="Times New Roman" w:eastAsia="Times New Roman" w:hAnsi="Times New Roman"/>
          <w:sz w:val="20"/>
          <w:szCs w:val="20"/>
          <w:color w:val="auto"/>
        </w:rPr>
        <w:t>” means, with respect to any Loan Party, the Equity Interests of any Foreign Subsidiary of any Loan Party to the extent not required to be pledged to secure the Secured Obligations pursuant to the Collateral Documents.</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Swap Obligation</w:t>
      </w:r>
      <w:r>
        <w:rPr>
          <w:rFonts w:ascii="Times New Roman" w:cs="Times New Roman" w:eastAsia="Times New Roman" w:hAnsi="Times New Roman"/>
          <w:sz w:val="20"/>
          <w:szCs w:val="20"/>
          <w:color w:val="auto"/>
        </w:rPr>
        <w:t>”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w:t>
      </w:r>
      <w:r>
        <w:rPr>
          <w:rFonts w:ascii="Times New Roman" w:cs="Times New Roman" w:eastAsia="Times New Roman" w:hAnsi="Times New Roman"/>
          <w:sz w:val="20"/>
          <w:szCs w:val="20"/>
          <w:i w:val="1"/>
          <w:iCs w:val="1"/>
          <w:color w:val="auto"/>
        </w:rPr>
        <w:t>eligible contract participant</w:t>
      </w:r>
      <w:r>
        <w:rPr>
          <w:rFonts w:ascii="Times New Roman" w:cs="Times New Roman" w:eastAsia="Times New Roman" w:hAnsi="Times New Roman"/>
          <w:sz w:val="20"/>
          <w:szCs w:val="20"/>
          <w:color w:val="auto"/>
        </w:rPr>
        <w:t xml:space="preserve">” as defined in the Commodity Exchange Act (determined after giving effect to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Taxes</w:t>
      </w:r>
      <w:r>
        <w:rPr>
          <w:rFonts w:ascii="Times New Roman" w:cs="Times New Roman" w:eastAsia="Times New Roman" w:hAnsi="Times New Roman"/>
          <w:sz w:val="20"/>
          <w:szCs w:val="20"/>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w:t>
      </w:r>
    </w:p>
    <w:p>
      <w:pPr>
        <w:sectPr>
          <w:pgSz w:w="11900" w:h="16838" w:orient="portrait"/>
          <w:cols w:equalWidth="0" w:num="1">
            <w:col w:w="11420"/>
          </w:cols>
          <w:pgMar w:left="240" w:top="562" w:right="23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9"/>
          <w:szCs w:val="19"/>
          <w:b w:val="1"/>
          <w:bCs w:val="1"/>
          <w:i w:val="1"/>
          <w:iCs w:val="1"/>
          <w:color w:val="auto"/>
        </w:rPr>
        <w:t>Section 11.13</w:t>
      </w:r>
      <w:r>
        <w:rPr>
          <w:rFonts w:ascii="Times New Roman" w:cs="Times New Roman" w:eastAsia="Times New Roman" w:hAnsi="Times New Roman"/>
          <w:sz w:val="19"/>
          <w:szCs w:val="19"/>
          <w:color w:val="auto"/>
        </w:rPr>
        <w:t xml:space="preserve">) or (ii) such Lender changes its Lending Office, except in each case to the extent that, pursuant to </w:t>
      </w:r>
      <w:r>
        <w:rPr>
          <w:rFonts w:ascii="Times New Roman" w:cs="Times New Roman" w:eastAsia="Times New Roman" w:hAnsi="Times New Roman"/>
          <w:sz w:val="19"/>
          <w:szCs w:val="19"/>
          <w:b w:val="1"/>
          <w:bCs w:val="1"/>
          <w:i w:val="1"/>
          <w:iCs w:val="1"/>
          <w:color w:val="auto"/>
        </w:rPr>
        <w:t>Sections 3.01(b)</w:t>
      </w:r>
      <w:r>
        <w:rPr>
          <w:rFonts w:ascii="Times New Roman" w:cs="Times New Roman" w:eastAsia="Times New Roman" w:hAnsi="Times New Roman"/>
          <w:sz w:val="19"/>
          <w:szCs w:val="19"/>
          <w:color w:val="auto"/>
        </w:rPr>
        <w:t xml:space="preserve"> or (d),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9"/>
          <w:szCs w:val="19"/>
          <w:b w:val="1"/>
          <w:bCs w:val="1"/>
          <w:i w:val="1"/>
          <w:iCs w:val="1"/>
          <w:color w:val="auto"/>
        </w:rPr>
        <w:t>Section 3.01(f)</w:t>
      </w:r>
      <w:r>
        <w:rPr>
          <w:rFonts w:ascii="Times New Roman" w:cs="Times New Roman" w:eastAsia="Times New Roman" w:hAnsi="Times New Roman"/>
          <w:sz w:val="19"/>
          <w:szCs w:val="19"/>
          <w:color w:val="auto"/>
        </w:rPr>
        <w:t xml:space="preserve"> and (d) any U.S. federal withholding Taxes imposed pursuant to FATCA.</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Credit Agreement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is defined in the preamble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Letters of Credit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those certain letters of credit set forth on </w:t>
      </w:r>
      <w:r>
        <w:rPr>
          <w:rFonts w:ascii="Times New Roman" w:cs="Times New Roman" w:eastAsia="Times New Roman" w:hAnsi="Times New Roman"/>
          <w:sz w:val="20"/>
          <w:szCs w:val="20"/>
          <w:b w:val="1"/>
          <w:bCs w:val="1"/>
          <w:i w:val="1"/>
          <w:iCs w:val="1"/>
          <w:color w:val="auto"/>
        </w:rPr>
        <w:t>Schedule 1.01(d)</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Extraordinary Receipt</w:t>
      </w:r>
      <w:r>
        <w:rPr>
          <w:rFonts w:ascii="Times New Roman" w:cs="Times New Roman" w:eastAsia="Times New Roman" w:hAnsi="Times New Roman"/>
          <w:sz w:val="20"/>
          <w:szCs w:val="20"/>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and proceeds of Involuntary Dispositions), indemnity payments and any purchase price adjustments;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 Extraordinary Receipt shall not include cash receipts from proceeds of insurance or indemnity payments to the extent that such proceeds, awards or payments are received by any Person in respect of any third party claim against such Person and applied to pay (or to reimburse such Person for its prior payment of) such claim and the costs and expenses of such Person with respect thereto.</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 Termination Date</w:t>
      </w:r>
      <w:r>
        <w:rPr>
          <w:rFonts w:ascii="Times New Roman" w:cs="Times New Roman" w:eastAsia="Times New Roman" w:hAnsi="Times New Roman"/>
          <w:sz w:val="20"/>
          <w:szCs w:val="20"/>
          <w:color w:val="auto"/>
        </w:rPr>
        <w:t>” means the date as of which all of the following shall have occurred: (a) the Aggregate Commitments have terminated, (b) all Obligations have been paid in full (other than contingent indemnification obligations), and (c) all Letters of Credit have terminated or expired (other than Letters of Credit as to which other arrangements with respect thereto satisfactory to the Administrative Agent and the L/C Issuer shall have been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FATCA</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i w:val="1"/>
          <w:iCs w:val="1"/>
          <w:color w:val="auto"/>
        </w:rPr>
        <w:t>Sections 1471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i w:val="1"/>
          <w:iCs w:val="1"/>
          <w:color w:val="auto"/>
        </w:rPr>
        <w:t>1474</w:t>
      </w:r>
      <w:r>
        <w:rPr>
          <w:rFonts w:ascii="Times New Roman" w:cs="Times New Roman" w:eastAsia="Times New Roman" w:hAnsi="Times New Roman"/>
          <w:sz w:val="20"/>
          <w:szCs w:val="20"/>
          <w:color w:val="auto"/>
        </w:rPr>
        <w:t xml:space="preserve"> of the Code, as of the date of this Agreement (or any amended or successor version that is substantively comparable and not materially more onerous to comply with), any current or future regulations or official interpretations thereof and any agreements entered into pursuant to </w:t>
      </w:r>
      <w:r>
        <w:rPr>
          <w:rFonts w:ascii="Times New Roman" w:cs="Times New Roman" w:eastAsia="Times New Roman" w:hAnsi="Times New Roman"/>
          <w:sz w:val="20"/>
          <w:szCs w:val="20"/>
          <w:i w:val="1"/>
          <w:iCs w:val="1"/>
          <w:color w:val="auto"/>
        </w:rPr>
        <w:t>Section 1471(b)(1)</w:t>
      </w:r>
      <w:r>
        <w:rPr>
          <w:rFonts w:ascii="Times New Roman" w:cs="Times New Roman" w:eastAsia="Times New Roman" w:hAnsi="Times New Roman"/>
          <w:sz w:val="20"/>
          <w:szCs w:val="20"/>
          <w:color w:val="auto"/>
        </w:rPr>
        <w:t xml:space="preserve"> of the Code.</w:t>
      </w:r>
    </w:p>
    <w:p>
      <w:pPr>
        <w:spacing w:after="0" w:line="16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Fee Letter</w:t>
      </w:r>
      <w:r>
        <w:rPr>
          <w:rFonts w:ascii="Times New Roman" w:cs="Times New Roman" w:eastAsia="Times New Roman" w:hAnsi="Times New Roman"/>
          <w:sz w:val="19"/>
          <w:szCs w:val="19"/>
          <w:color w:val="auto"/>
        </w:rPr>
        <w:t>” means the letter agreement, dated September 27, 2019, between the Borrower, the Administrative Agent and the Arranger.</w:t>
      </w:r>
    </w:p>
    <w:p>
      <w:pPr>
        <w:sectPr>
          <w:pgSz w:w="11900" w:h="16838" w:orient="portrait"/>
          <w:cols w:equalWidth="0" w:num="1">
            <w:col w:w="11420"/>
          </w:cols>
          <w:pgMar w:left="240" w:top="562" w:right="239" w:bottom="1440" w:gutter="0" w:footer="0" w:header="0"/>
        </w:sectPr>
      </w:pPr>
    </w:p>
    <w:bookmarkStart w:id="81" w:name="page82"/>
    <w:bookmarkEnd w:id="81"/>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Financing Lease</w:t>
      </w:r>
      <w:r>
        <w:rPr>
          <w:rFonts w:ascii="Times New Roman" w:cs="Times New Roman" w:eastAsia="Times New Roman" w:hAnsi="Times New Roman"/>
          <w:sz w:val="20"/>
          <w:szCs w:val="20"/>
          <w:color w:val="auto"/>
        </w:rPr>
        <w:t>” means any lease that has been or is required to be, in accordance with GAAP, recorded, classified and accounted for as a financing lease.</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Fronting Exposure</w:t>
      </w:r>
      <w:r>
        <w:rPr>
          <w:rFonts w:ascii="Times New Roman" w:cs="Times New Roman" w:eastAsia="Times New Roman" w:hAnsi="Times New Roman"/>
          <w:sz w:val="20"/>
          <w:szCs w:val="20"/>
          <w:color w:val="auto"/>
        </w:rPr>
        <w:t>” means, at any time there is a Defaulting Lender that is a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Funding Indemnity Letter</w:t>
      </w:r>
      <w:r>
        <w:rPr>
          <w:rFonts w:ascii="Times New Roman" w:cs="Times New Roman" w:eastAsia="Times New Roman" w:hAnsi="Times New Roman"/>
          <w:sz w:val="20"/>
          <w:szCs w:val="20"/>
          <w:color w:val="auto"/>
        </w:rPr>
        <w:t xml:space="preserve">” means a funding indemnity letter, substantially in the form of </w:t>
      </w:r>
      <w:r>
        <w:rPr>
          <w:rFonts w:ascii="Times New Roman" w:cs="Times New Roman" w:eastAsia="Times New Roman" w:hAnsi="Times New Roman"/>
          <w:sz w:val="20"/>
          <w:szCs w:val="20"/>
          <w:b w:val="1"/>
          <w:bCs w:val="1"/>
          <w:i w:val="1"/>
          <w:iCs w:val="1"/>
          <w:color w:val="auto"/>
        </w:rPr>
        <w:t>Exhibit 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20"/>
          <w:szCs w:val="20"/>
          <w:b w:val="1"/>
          <w:bCs w:val="1"/>
          <w:i w:val="1"/>
          <w:iCs w:val="1"/>
          <w:color w:val="auto"/>
        </w:rPr>
        <w:t>Section 1.03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the Financial Conduct Authority, the Prudential Regulation Authority and any supra-national bodies such as the European Union or the European Central Bank).</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w:t>
      </w:r>
      <w:r>
        <w:rPr>
          <w:rFonts w:ascii="Times New Roman" w:cs="Times New Roman" w:eastAsia="Times New Roman" w:hAnsi="Times New Roman"/>
          <w:sz w:val="20"/>
          <w:szCs w:val="20"/>
          <w:color w:val="auto"/>
        </w:rPr>
        <w:t xml:space="preserve">” means, as to any Person, (a) any obligation, contingent or otherwise, of such Person guaranteeing or having the economic effect of guaranteeing any Indebtedness of the kind described in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b w:val="1"/>
          <w:bCs w:val="1"/>
          <w:i w:val="1"/>
          <w:iCs w:val="1"/>
          <w:color w:val="auto"/>
        </w:rPr>
        <w:t>(g)</w:t>
      </w:r>
      <w:r>
        <w:rPr>
          <w:rFonts w:ascii="Times New Roman" w:cs="Times New Roman" w:eastAsia="Times New Roman" w:hAnsi="Times New Roman"/>
          <w:sz w:val="20"/>
          <w:szCs w:val="20"/>
          <w:color w:val="auto"/>
        </w:rPr>
        <w:t xml:space="preserve"> of the definition thereof or other obligation payable or performable by another Person (the “</w:t>
      </w:r>
      <w:r>
        <w:rPr>
          <w:rFonts w:ascii="Times New Roman" w:cs="Times New Roman" w:eastAsia="Times New Roman" w:hAnsi="Times New Roman"/>
          <w:sz w:val="20"/>
          <w:szCs w:val="20"/>
          <w:b w:val="1"/>
          <w:bCs w:val="1"/>
          <w:i w:val="1"/>
          <w:iCs w:val="1"/>
          <w:color w:val="auto"/>
        </w:rPr>
        <w:t>primary obligor</w:t>
      </w:r>
      <w:r>
        <w:rPr>
          <w:rFonts w:ascii="Times New Roman" w:cs="Times New Roman" w:eastAsia="Times New Roman" w:hAnsi="Times New Roman"/>
          <w:sz w:val="20"/>
          <w:szCs w:val="20"/>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w:t>
      </w:r>
    </w:p>
    <w:p>
      <w:pPr>
        <w:sectPr>
          <w:pgSz w:w="11900" w:h="16838" w:orient="portrait"/>
          <w:cols w:equalWidth="0" w:num="1">
            <w:col w:w="11420"/>
          </w:cols>
          <w:pgMar w:left="240" w:top="558" w:right="239" w:bottom="1440" w:gutter="0" w:footer="0" w:header="0"/>
        </w:sectPr>
      </w:pPr>
    </w:p>
    <w:bookmarkStart w:id="82" w:name="page83"/>
    <w:bookmarkEnd w:id="82"/>
    <w:p>
      <w:pPr>
        <w:jc w:val="both"/>
        <w:spacing w:after="0" w:line="260" w:lineRule="auto"/>
        <w:rPr>
          <w:sz w:val="20"/>
          <w:szCs w:val="20"/>
          <w:color w:val="auto"/>
        </w:rPr>
      </w:pPr>
      <w:r>
        <w:rPr>
          <w:rFonts w:ascii="Times New Roman" w:cs="Times New Roman" w:eastAsia="Times New Roman" w:hAnsi="Times New Roman"/>
          <w:sz w:val="19"/>
          <w:szCs w:val="19"/>
          <w:color w:val="auto"/>
        </w:rPr>
        <w:t>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1" w:lineRule="exact"/>
        <w:rPr>
          <w:sz w:val="20"/>
          <w:szCs w:val="20"/>
          <w:color w:val="auto"/>
        </w:rPr>
      </w:pPr>
    </w:p>
    <w:p>
      <w:pPr>
        <w:jc w:val="both"/>
        <w:ind w:firstLine="8"/>
        <w:spacing w:after="0"/>
        <w:tabs>
          <w:tab w:leader="none" w:pos="28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assets of such Person securing any Indebtedness of the kind described in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b w:val="1"/>
          <w:bCs w:val="1"/>
          <w:i w:val="1"/>
          <w:iCs w:val="1"/>
          <w:color w:val="auto"/>
        </w:rPr>
        <w:t>(g)</w:t>
      </w:r>
      <w:r>
        <w:rPr>
          <w:rFonts w:ascii="Times New Roman" w:cs="Times New Roman" w:eastAsia="Times New Roman" w:hAnsi="Times New Roman"/>
          <w:sz w:val="20"/>
          <w:szCs w:val="20"/>
          <w:color w:val="auto"/>
        </w:rPr>
        <w:t xml:space="preserve">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0"/>
          <w:szCs w:val="20"/>
          <w:b w:val="1"/>
          <w:bCs w:val="1"/>
          <w:i w:val="1"/>
          <w:iCs w:val="1"/>
          <w:color w:val="auto"/>
        </w:rPr>
        <w:t>Guarantee</w:t>
      </w:r>
      <w:r>
        <w:rPr>
          <w:rFonts w:ascii="Times New Roman" w:cs="Times New Roman" w:eastAsia="Times New Roman" w:hAnsi="Times New Roman"/>
          <w:sz w:val="20"/>
          <w:szCs w:val="20"/>
          <w:color w:val="auto"/>
        </w:rPr>
        <w:t>” as a verb has a corresponding meaning.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i w:val="1"/>
          <w:iCs w:val="1"/>
          <w:color w:val="auto"/>
        </w:rPr>
        <w:t>Section 10.01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xml:space="preserve">” means, collectively, (a) the Subsidiaries of the Borrower as are or may from time to time become parties to this Agreement pursuant to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 xml:space="preserve">, and (b) with respect to Additional Secured Obligations owing by any Loan Party or any of its Subsidiaries and any Swap Obligation of a Specified Loan Party (determined before giving effect to </w:t>
      </w:r>
      <w:r>
        <w:rPr>
          <w:rFonts w:ascii="Times New Roman" w:cs="Times New Roman" w:eastAsia="Times New Roman" w:hAnsi="Times New Roman"/>
          <w:sz w:val="20"/>
          <w:szCs w:val="20"/>
          <w:b w:val="1"/>
          <w:bCs w:val="1"/>
          <w:i w:val="1"/>
          <w:iCs w:val="1"/>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10.11</w:t>
      </w:r>
      <w:r>
        <w:rPr>
          <w:rFonts w:ascii="Times New Roman" w:cs="Times New Roman" w:eastAsia="Times New Roman" w:hAnsi="Times New Roman"/>
          <w:sz w:val="20"/>
          <w:szCs w:val="20"/>
          <w:color w:val="auto"/>
        </w:rPr>
        <w:t>) under the Guaranty, the Borrower.</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Guaranty</w:t>
      </w:r>
      <w:r>
        <w:rPr>
          <w:rFonts w:ascii="Times New Roman" w:cs="Times New Roman" w:eastAsia="Times New Roman" w:hAnsi="Times New Roman"/>
          <w:sz w:val="20"/>
          <w:szCs w:val="20"/>
          <w:color w:val="auto"/>
        </w:rPr>
        <w:t xml:space="preserve">” means, collectively, the Guarantee made by the Guarantors under </w:t>
      </w:r>
      <w:r>
        <w:rPr>
          <w:rFonts w:ascii="Times New Roman" w:cs="Times New Roman" w:eastAsia="Times New Roman" w:hAnsi="Times New Roman"/>
          <w:sz w:val="20"/>
          <w:szCs w:val="20"/>
          <w:b w:val="1"/>
          <w:bCs w:val="1"/>
          <w:i w:val="1"/>
          <w:iCs w:val="1"/>
          <w:color w:val="auto"/>
        </w:rPr>
        <w:t>Article X</w:t>
      </w:r>
      <w:r>
        <w:rPr>
          <w:rFonts w:ascii="Times New Roman" w:cs="Times New Roman" w:eastAsia="Times New Roman" w:hAnsi="Times New Roman"/>
          <w:sz w:val="20"/>
          <w:szCs w:val="20"/>
          <w:color w:val="auto"/>
        </w:rPr>
        <w:t xml:space="preserve"> in favor of the Secured Parties, together with each other guaranty delivered pursuant to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Hedge Bank</w:t>
      </w:r>
      <w:r>
        <w:rPr>
          <w:rFonts w:ascii="Times New Roman" w:cs="Times New Roman" w:eastAsia="Times New Roman" w:hAnsi="Times New Roman"/>
          <w:sz w:val="20"/>
          <w:szCs w:val="20"/>
          <w:color w:val="auto"/>
        </w:rPr>
        <w:t xml:space="preserve">” means any Person in its capacity as a party to a Swap Contract that, at the time it enters into a Swap Contract not prohibited under </w:t>
      </w:r>
      <w:r>
        <w:rPr>
          <w:rFonts w:ascii="Times New Roman" w:cs="Times New Roman" w:eastAsia="Times New Roman" w:hAnsi="Times New Roman"/>
          <w:sz w:val="20"/>
          <w:szCs w:val="20"/>
          <w:b w:val="1"/>
          <w:bCs w:val="1"/>
          <w:i w:val="1"/>
          <w:iCs w:val="1"/>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VII</w:t>
      </w:r>
      <w:r>
        <w:rPr>
          <w:rFonts w:ascii="Times New Roman" w:cs="Times New Roman" w:eastAsia="Times New Roman" w:hAnsi="Times New Roman"/>
          <w:sz w:val="20"/>
          <w:szCs w:val="20"/>
          <w:color w:val="auto"/>
        </w:rPr>
        <w:t xml:space="preserve">, is a Lender or an Affiliate of a Lender, in its capacity as a party to such Swap Contract (even if such 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8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means international accounting standards within the meaning of IAS Regulation 1606/2002 to the extent applicable to the relevant financial statements delivered under or referred to herein.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Impacted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b w:val="1"/>
          <w:bCs w:val="1"/>
          <w:i w:val="1"/>
          <w:iCs w:val="1"/>
          <w:color w:val="auto"/>
        </w:rPr>
        <w:t>Section 3.03(a)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6" w:lineRule="exact"/>
        <w:rPr>
          <w:sz w:val="20"/>
          <w:szCs w:val="20"/>
          <w:color w:val="auto"/>
        </w:rPr>
      </w:pPr>
    </w:p>
    <w:p>
      <w:pPr>
        <w:ind w:left="660" w:firstLine="645"/>
        <w:spacing w:after="0" w:line="269" w:lineRule="auto"/>
        <w:tabs>
          <w:tab w:leader="none" w:pos="178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ectPr>
          <w:pgSz w:w="11900" w:h="16838" w:orient="portrait"/>
          <w:cols w:equalWidth="0" w:num="1">
            <w:col w:w="11420"/>
          </w:cols>
          <w:pgMar w:left="240" w:top="562" w:right="239" w:bottom="1440" w:gutter="0" w:footer="0" w:header="0"/>
        </w:sectPr>
      </w:pPr>
    </w:p>
    <w:bookmarkStart w:id="83" w:name="page84"/>
    <w:bookmarkEnd w:id="83"/>
    <w:p>
      <w:pPr>
        <w:ind w:left="660" w:firstLine="645"/>
        <w:spacing w:after="0" w:line="269" w:lineRule="auto"/>
        <w:tabs>
          <w:tab w:leader="none" w:pos="182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w:t>
      </w:r>
    </w:p>
    <w:p>
      <w:pPr>
        <w:spacing w:after="0" w:line="15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15"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4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81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Financing Leases and Synthetic Lease Obligations of such Person and all Synthetic Debt of such Person;</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83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pacing w:after="0" w:line="180"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7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Taxes</w:t>
      </w:r>
      <w:r>
        <w:rPr>
          <w:rFonts w:ascii="Times New Roman" w:cs="Times New Roman" w:eastAsia="Times New Roman" w:hAnsi="Times New Roman"/>
          <w:sz w:val="19"/>
          <w:szCs w:val="19"/>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Other Taxes.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11.04(b).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 has the meaning set forth in the Security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Intercompany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7.02(d)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Payment Date</w:t>
      </w:r>
      <w:r>
        <w:rPr>
          <w:rFonts w:ascii="Times New Roman" w:cs="Times New Roman" w:eastAsia="Times New Roman" w:hAnsi="Times New Roman"/>
          <w:sz w:val="20"/>
          <w:szCs w:val="20"/>
          <w:color w:val="auto"/>
        </w:rPr>
        <w:t>” means, (a) as to any Loan other than a Base Rate Loan, the last day of each Interest Period applicable to such Loan and the Maturity Date; provided, however, that if any Interest Period for a Eurocurrency Rate Loan exceeds three months, the respective dates that fall every three months after the beginning of such Interest Period shall also be Interest Payment Dates; and (b) as to any Base Rate Loan or Swingline Loan, the last Business Day of each March, June, September and December and the Maturity Date (with Swingline Loans being deemed made under the Revolving Facility for purposes of this definition).</w:t>
      </w:r>
    </w:p>
    <w:p>
      <w:pPr>
        <w:sectPr>
          <w:pgSz w:w="11900" w:h="16838" w:orient="portrait"/>
          <w:cols w:equalWidth="0" w:num="1">
            <w:col w:w="11420"/>
          </w:cols>
          <w:pgMar w:left="240" w:top="562" w:right="239" w:bottom="1440" w:gutter="0" w:footer="0" w:header="0"/>
        </w:sectPr>
      </w:pPr>
    </w:p>
    <w:bookmarkStart w:id="84" w:name="page85"/>
    <w:bookmarkEnd w:id="8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Period</w:t>
      </w:r>
      <w:r>
        <w:rPr>
          <w:rFonts w:ascii="Times New Roman" w:cs="Times New Roman" w:eastAsia="Times New Roman" w:hAnsi="Times New Roman"/>
          <w:sz w:val="20"/>
          <w:szCs w:val="20"/>
          <w:color w:val="auto"/>
        </w:rPr>
        <w:t xml:space="preserve">” means, as to each Eurocurrency Rate Loan, the period commencing on the date such Eurocurrency Rate Loan is disbursed or converted to or continued as a Eurocurrency Rate Loan and ending on the date one, two, three or six months thereafter (in each case, subject to availability for the interest rate applicable to the relevant currency), as selected by the Borrower in its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jc w:val="both"/>
        <w:ind w:left="660" w:firstLine="645"/>
        <w:spacing w:after="0" w:line="254" w:lineRule="auto"/>
        <w:tabs>
          <w:tab w:leader="none" w:pos="174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8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Investment</w:t>
      </w:r>
      <w:r>
        <w:rPr>
          <w:rFonts w:ascii="Times New Roman" w:cs="Times New Roman" w:eastAsia="Times New Roman" w:hAnsi="Times New Roman"/>
          <w:sz w:val="19"/>
          <w:szCs w:val="19"/>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spacing w:after="0" w:line="16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Involuntary Disposition</w:t>
      </w:r>
      <w:r>
        <w:rPr>
          <w:rFonts w:ascii="Times New Roman" w:cs="Times New Roman" w:eastAsia="Times New Roman" w:hAnsi="Times New Roman"/>
          <w:sz w:val="20"/>
          <w:szCs w:val="20"/>
          <w:color w:val="auto"/>
        </w:rPr>
        <w:t>” means any loss of, damage to or destruction of, or any condemnation or other taking for public use of, any property of any Loan Party or any Subsidiary.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b w:val="1"/>
          <w:bCs w:val="1"/>
          <w:i w:val="1"/>
          <w:iCs w:val="1"/>
          <w:color w:val="auto"/>
        </w:rPr>
        <w:t>Exhibit D</w:t>
      </w:r>
      <w:r>
        <w:rPr>
          <w:rFonts w:ascii="Times New Roman" w:cs="Times New Roman" w:eastAsia="Times New Roman" w:hAnsi="Times New Roman"/>
          <w:sz w:val="20"/>
          <w:szCs w:val="20"/>
          <w:color w:val="auto"/>
        </w:rPr>
        <w:t xml:space="preserve"> executed and delivered in accordance with the provisions of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ectPr>
          <w:pgSz w:w="11900" w:h="16838" w:orient="portrait"/>
          <w:cols w:equalWidth="0" w:num="1">
            <w:col w:w="11420"/>
          </w:cols>
          <w:pgMar w:left="240" w:top="558" w:right="239" w:bottom="1440" w:gutter="0" w:footer="0" w:header="0"/>
        </w:sectPr>
      </w:pPr>
    </w:p>
    <w:bookmarkStart w:id="85" w:name="page86"/>
    <w:bookmarkEnd w:id="85"/>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Applicable Revolving Percentage.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Borrowing.</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Commitment</w:t>
      </w:r>
      <w:r>
        <w:rPr>
          <w:rFonts w:ascii="Times New Roman" w:cs="Times New Roman" w:eastAsia="Times New Roman" w:hAnsi="Times New Roman"/>
          <w:sz w:val="20"/>
          <w:szCs w:val="20"/>
          <w:color w:val="auto"/>
        </w:rPr>
        <w:t xml:space="preserve">” means, with respect to the L/C Issuer, the commitment of the L/C Issuer to issue Letters of Credit hereunder. The initial amount of the L/C Issuer’s Letter of Credit Commitment is set forth on </w:t>
      </w:r>
      <w:r>
        <w:rPr>
          <w:rFonts w:ascii="Times New Roman" w:cs="Times New Roman" w:eastAsia="Times New Roman" w:hAnsi="Times New Roman"/>
          <w:sz w:val="20"/>
          <w:szCs w:val="20"/>
          <w:b w:val="1"/>
          <w:bCs w:val="1"/>
          <w:i w:val="1"/>
          <w:iCs w:val="1"/>
          <w:color w:val="auto"/>
        </w:rPr>
        <w:t>Schedule 2.03</w:t>
      </w:r>
      <w:r>
        <w:rPr>
          <w:rFonts w:ascii="Times New Roman" w:cs="Times New Roman" w:eastAsia="Times New Roman" w:hAnsi="Times New Roman"/>
          <w:sz w:val="20"/>
          <w:szCs w:val="20"/>
          <w:color w:val="auto"/>
        </w:rPr>
        <w:t>. The Letter of Credit Commitment of the L/C Issuer may be modified from time to time by agreement between the L/C Issuer and the Borrower, and notified to the Administrative Agent.</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Issuer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Bank of America in its capacity as issuer of Letters of Credit hereunder, or any successor issuer of Letters of Credit hereunder.</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b w:val="1"/>
          <w:bCs w:val="1"/>
          <w:i w:val="1"/>
          <w:iCs w:val="1"/>
          <w:color w:val="auto"/>
        </w:rPr>
        <w:t>Section 1.06</w:t>
      </w:r>
      <w:r>
        <w:rPr>
          <w:rFonts w:ascii="Times New Roman" w:cs="Times New Roman" w:eastAsia="Times New Roman" w:hAnsi="Times New Roman"/>
          <w:sz w:val="20"/>
          <w:szCs w:val="20"/>
          <w:color w:val="auto"/>
        </w:rPr>
        <w:t xml:space="preserve">. For all purposes of this Agreement, if on any date of determination a Letter of Credit has expired by its terms but any amount may still be drawn thereunder by reason of the operation of </w:t>
      </w:r>
      <w:r>
        <w:rPr>
          <w:rFonts w:ascii="Times New Roman" w:cs="Times New Roman" w:eastAsia="Times New Roman" w:hAnsi="Times New Roman"/>
          <w:sz w:val="20"/>
          <w:szCs w:val="20"/>
          <w:i w:val="1"/>
          <w:iCs w:val="1"/>
          <w:color w:val="auto"/>
        </w:rPr>
        <w:t>Rule 3.14</w:t>
      </w:r>
      <w:r>
        <w:rPr>
          <w:rFonts w:ascii="Times New Roman" w:cs="Times New Roman" w:eastAsia="Times New Roman" w:hAnsi="Times New Roman"/>
          <w:sz w:val="20"/>
          <w:szCs w:val="20"/>
          <w:color w:val="auto"/>
        </w:rPr>
        <w:t xml:space="preserve"> of the ISP, such Letter of Credit shall be deemed to be “outstanding” in the amount so remaining available to be drawn.</w:t>
      </w:r>
    </w:p>
    <w:p>
      <w:pPr>
        <w:spacing w:after="0" w:line="179"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means each of the Persons identified as a “Lender” on the signature pages hereto, each other Person that becomes a “Lender” in accordance with this Agreement and, their successors and assigns and, unless the context requires otherwise, includes the Swingline Lender.</w:t>
      </w:r>
    </w:p>
    <w:p>
      <w:pPr>
        <w:spacing w:after="0" w:line="1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Lending Office</w:t>
      </w:r>
      <w:r>
        <w:rPr>
          <w:rFonts w:ascii="Times New Roman" w:cs="Times New Roman" w:eastAsia="Times New Roman" w:hAnsi="Times New Roman"/>
          <w:sz w:val="20"/>
          <w:szCs w:val="20"/>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w:t>
      </w:r>
      <w:r>
        <w:rPr>
          <w:rFonts w:ascii="Times New Roman" w:cs="Times New Roman" w:eastAsia="Times New Roman" w:hAnsi="Times New Roman"/>
          <w:sz w:val="20"/>
          <w:szCs w:val="20"/>
          <w:color w:val="auto"/>
        </w:rPr>
        <w:t>” means any letter of credit issued hereunder and shall include the Existing Letters of Credit. A Letter of Credit shall be a standby letter of credit. Letters of Credit may be issued in Dollars or in an Alternative Currency.</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Cash Collateralization Date</w:t>
      </w:r>
      <w:r>
        <w:rPr>
          <w:rFonts w:ascii="Times New Roman" w:cs="Times New Roman" w:eastAsia="Times New Roman" w:hAnsi="Times New Roman"/>
          <w:sz w:val="20"/>
          <w:szCs w:val="20"/>
          <w:color w:val="auto"/>
        </w:rPr>
        <w:t>” means the day that is the earlier of: (a) 60 days prior to the Maturity Date then in effect (or, if such day is not a Business Day, the next preceding Business Day); or (b) the date upon which Administrative Agent declares the Obligations due and payable after the occurrence of an Event of Default.</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Expiration Date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the day that is seven days prior to the Maturity Date (or, if such day is not a Business Day, the next preceding Business Day).</w:t>
      </w:r>
    </w:p>
    <w:p>
      <w:pPr>
        <w:sectPr>
          <w:pgSz w:w="11900" w:h="16838" w:orient="portrait"/>
          <w:cols w:equalWidth="0" w:num="1">
            <w:col w:w="11420"/>
          </w:cols>
          <w:pgMar w:left="240" w:top="558" w:right="2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2.03(l)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Sublimit</w:t>
      </w:r>
      <w:r>
        <w:rPr>
          <w:rFonts w:ascii="Times New Roman" w:cs="Times New Roman" w:eastAsia="Times New Roman" w:hAnsi="Times New Roman"/>
          <w:sz w:val="20"/>
          <w:szCs w:val="20"/>
          <w:color w:val="auto"/>
        </w:rPr>
        <w:t>” means, as of any date of determination, an amount equal to the Revolving Facility. The Letter of Credit Sublimit is part of, and not in addition to, the Revolving Facility.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LIBOR</w:t>
      </w:r>
      <w:r>
        <w:rPr>
          <w:rFonts w:ascii="Times New Roman" w:cs="Times New Roman" w:eastAsia="Times New Roman" w:hAnsi="Times New Roman"/>
          <w:sz w:val="20"/>
          <w:szCs w:val="20"/>
          <w:color w:val="auto"/>
        </w:rPr>
        <w:t>” has the meaning specified in the definition of Eurocurrency Rate.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LIBOR Quoted Currency</w:t>
      </w:r>
      <w:r>
        <w:rPr>
          <w:rFonts w:ascii="Times New Roman" w:cs="Times New Roman" w:eastAsia="Times New Roman" w:hAnsi="Times New Roman"/>
          <w:sz w:val="19"/>
          <w:szCs w:val="19"/>
          <w:color w:val="auto"/>
        </w:rPr>
        <w:t>” means Dollars, Euro, Sterling, in each case as long as there is a published LIBOR rate with respect thereto.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LIBOR Screen Rate</w:t>
      </w:r>
      <w:r>
        <w:rPr>
          <w:rFonts w:ascii="Times New Roman" w:cs="Times New Roman" w:eastAsia="Times New Roman" w:hAnsi="Times New Roman"/>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LIBOR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LIBOR Successor Rate Conforming Changes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3.03(f)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Liquidity</w:t>
      </w:r>
      <w:r>
        <w:rPr>
          <w:rFonts w:ascii="Times New Roman" w:cs="Times New Roman" w:eastAsia="Times New Roman" w:hAnsi="Times New Roman"/>
          <w:sz w:val="20"/>
          <w:szCs w:val="20"/>
          <w:color w:val="auto"/>
        </w:rPr>
        <w:t xml:space="preserve">” means, when determined, the sum of readily and immediately available cash and Cash Equivalents held in deposit accounts of any Loan Party (other than Cash Collateral securing the L/C Obligations);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such deposit accounts and the funds therein shall be unencumbered and free and clear of all Liens and other third party rights other than a Lien in favor of the Administrative Agent pursuant to the Collateral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in the form of a Revolving Loan or a Swingline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xml:space="preserve">” means, collectively, (a) this Agreement, (b) the Notes, (c) the Guaranty, (d) the Collateral Documents, (e) the Fee Letter, (f) each Issuer Document, (g) each Joinder Agreement, (h) any agreement creating or perfecting rights in Cash Collateral pursuant to the provisions of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and (i) all other certificates, agreements, documents and instruments executed and delivered, in each case, by or on behalf of any Loan Party pursuant to the foregoing (but specifically excluding any Secured Hedge Agreement or any Secured Cash Management Agreement) and any amendments, modifications or supplements thereto or to any other Loan Document or waivers hereof or to any other Loan Document; provided, however, that for purposes of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Loan Documents</w:t>
      </w:r>
      <w:r>
        <w:rPr>
          <w:rFonts w:ascii="Times New Roman" w:cs="Times New Roman" w:eastAsia="Times New Roman" w:hAnsi="Times New Roman"/>
          <w:sz w:val="20"/>
          <w:szCs w:val="20"/>
          <w:color w:val="auto"/>
        </w:rPr>
        <w:t>” shall mean this Agreement, the Guaranty and the Collateral Documents.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Notice</w:t>
      </w:r>
      <w:r>
        <w:rPr>
          <w:rFonts w:ascii="Times New Roman" w:cs="Times New Roman" w:eastAsia="Times New Roman" w:hAnsi="Times New Roman"/>
          <w:sz w:val="20"/>
          <w:szCs w:val="20"/>
          <w:color w:val="auto"/>
        </w:rPr>
        <w:t xml:space="preserve">” means a notice of (a) a Borrowing, (b) a conversion of Loans from one Type to the other, or (c) a continuation of Eurocurrency Rate Loans, pursuant to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b w:val="1"/>
          <w:bCs w:val="1"/>
          <w:i w:val="1"/>
          <w:iCs w:val="1"/>
          <w:color w:val="auto"/>
        </w:rPr>
        <w:t>Exhibit E</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Parties</w:t>
      </w:r>
      <w:r>
        <w:rPr>
          <w:rFonts w:ascii="Times New Roman" w:cs="Times New Roman" w:eastAsia="Times New Roman" w:hAnsi="Times New Roman"/>
          <w:sz w:val="20"/>
          <w:szCs w:val="20"/>
          <w:color w:val="auto"/>
        </w:rPr>
        <w:t>” means, collectively, the Borrower and each Guarantor.</w:t>
      </w:r>
    </w:p>
    <w:p>
      <w:pPr>
        <w:sectPr>
          <w:pgSz w:w="11900" w:h="16838" w:orient="portrait"/>
          <w:cols w:equalWidth="0" w:num="1">
            <w:col w:w="11420"/>
          </w:cols>
          <w:pgMar w:left="240" w:top="558" w:right="239" w:bottom="1440" w:gutter="0" w:footer="0" w:header="0"/>
        </w:sectPr>
      </w:pPr>
    </w:p>
    <w:bookmarkStart w:id="87" w:name="page88"/>
    <w:bookmarkEnd w:id="87"/>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London Banking Day</w:t>
      </w:r>
      <w:r>
        <w:rPr>
          <w:rFonts w:ascii="Times New Roman" w:cs="Times New Roman" w:eastAsia="Times New Roman" w:hAnsi="Times New Roman"/>
          <w:sz w:val="20"/>
          <w:szCs w:val="20"/>
          <w:color w:val="auto"/>
        </w:rPr>
        <w:t>” means any day on which dealings in Dollar deposits are conducted by and between banks in the London interbank eurodollar market.</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Maintenance Capital Expenditures</w:t>
      </w:r>
      <w:r>
        <w:rPr>
          <w:rFonts w:ascii="Times New Roman" w:cs="Times New Roman" w:eastAsia="Times New Roman" w:hAnsi="Times New Roman"/>
          <w:sz w:val="20"/>
          <w:szCs w:val="20"/>
          <w:color w:val="auto"/>
        </w:rPr>
        <w:t>” means Capital Expenditures made by Borrower and its Subsidiaries that constitute normal replacements and maintenance which are properly charged to current operations of any such Person.</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Mandatory Cost</w:t>
      </w:r>
      <w:r>
        <w:rPr>
          <w:rFonts w:ascii="Times New Roman" w:cs="Times New Roman" w:eastAsia="Times New Roman" w:hAnsi="Times New Roman"/>
          <w:sz w:val="20"/>
          <w:szCs w:val="20"/>
          <w:color w:val="auto"/>
        </w:rPr>
        <w:t>” means any amount incurred periodically by any Lender during the term of the Revolving Facility which constitutes fees, costs or charges imposed on lenders generally in the jurisdiction in which such Lender is domiciled, subject to regulation, or has its Lending Office by any Governmental Authority.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Master Agreement</w:t>
      </w:r>
      <w:r>
        <w:rPr>
          <w:rFonts w:ascii="Times New Roman" w:cs="Times New Roman" w:eastAsia="Times New Roman" w:hAnsi="Times New Roman"/>
          <w:sz w:val="20"/>
          <w:szCs w:val="20"/>
          <w:color w:val="auto"/>
        </w:rPr>
        <w:t>” has the meaning set forth in the definition of “</w:t>
      </w:r>
      <w:r>
        <w:rPr>
          <w:rFonts w:ascii="Times New Roman" w:cs="Times New Roman" w:eastAsia="Times New Roman" w:hAnsi="Times New Roman"/>
          <w:sz w:val="20"/>
          <w:szCs w:val="20"/>
          <w:i w:val="1"/>
          <w:iCs w:val="1"/>
          <w:color w:val="auto"/>
        </w:rPr>
        <w:t>Swap Contract.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Adverse Effect</w:t>
      </w:r>
      <w:r>
        <w:rPr>
          <w:rFonts w:ascii="Times New Roman" w:cs="Times New Roman" w:eastAsia="Times New Roman" w:hAnsi="Times New Roman"/>
          <w:sz w:val="19"/>
          <w:szCs w:val="19"/>
          <w:color w:val="auto"/>
        </w:rPr>
        <w:t>” means (a) a material adverse change in, or a material adverse effect upon, the operations, business, properties, liabilities (actual or contingent), condition (financial or otherwise) or prospects of the Borrower or the Borrower and its Subsidiaries taken as a whole; or (b) a material adverse effect on (i) the ability of any Loan Party to perform its Obligations under any Loan Document to which it is a party, (ii) the legality, validity, binding effect or enforceability against any Loan Party of any Loan Document to which it is a party or (iii) the rights, remedies and benefits available to, or conferred upon, the Administrative Agent or any Lender under any Loan Documents.</w:t>
      </w:r>
    </w:p>
    <w:p>
      <w:pPr>
        <w:spacing w:after="0" w:line="16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Contract</w:t>
      </w:r>
      <w:r>
        <w:rPr>
          <w:rFonts w:ascii="Times New Roman" w:cs="Times New Roman" w:eastAsia="Times New Roman" w:hAnsi="Times New Roman"/>
          <w:sz w:val="20"/>
          <w:szCs w:val="20"/>
          <w:color w:val="auto"/>
        </w:rPr>
        <w:t>” means, with respect to any Person, each contract or agreement (a) to which such Person is a party involving aggregate consideration payable to or by such Person of $5,000,000 or more in any year or (b) otherwise material to the business, condition (financial or otherwise), operations, performance, properties or prospects of such Person or (c) any other contract, agreement, permit or license, written or oral, of the Borrower and its Subsidiaries as to which the breach, nonperformance, cancellation or failure to renew by any party thereto, individually or in the aggregate, could reasonably be expected to have a Material Adverse Effect.</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Maturity Date</w:t>
      </w:r>
      <w:r>
        <w:rPr>
          <w:rFonts w:ascii="Times New Roman" w:cs="Times New Roman" w:eastAsia="Times New Roman" w:hAnsi="Times New Roman"/>
          <w:sz w:val="20"/>
          <w:szCs w:val="20"/>
          <w:color w:val="auto"/>
        </w:rPr>
        <w:t xml:space="preserve">” means September 27, 2024;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each case, if such date is not a Business Day, the Maturity Date shall be the next preceding Business Day.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Measurement Period</w:t>
      </w:r>
      <w:r>
        <w:rPr>
          <w:rFonts w:ascii="Times New Roman" w:cs="Times New Roman" w:eastAsia="Times New Roman" w:hAnsi="Times New Roman"/>
          <w:sz w:val="20"/>
          <w:szCs w:val="20"/>
          <w:color w:val="auto"/>
        </w:rPr>
        <w:t xml:space="preserve">” means, at any date of determination, the most recently completed four fiscal quarters of the Borrower (or, for purposes of determining Pro Forma Compliance, the most recently completed four fiscal quarters of the Borrower for which financial statements have been delivered pursuant to </w:t>
      </w:r>
      <w:r>
        <w:rPr>
          <w:rFonts w:ascii="Times New Roman" w:cs="Times New Roman" w:eastAsia="Times New Roman" w:hAnsi="Times New Roman"/>
          <w:sz w:val="20"/>
          <w:szCs w:val="20"/>
          <w:b w:val="1"/>
          <w:bCs w:val="1"/>
          <w:i w:val="1"/>
          <w:iCs w:val="1"/>
          <w:color w:val="auto"/>
        </w:rPr>
        <w:t>Section 6.01</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105% of the Fronting Exposure of the L/C Issuer with respect to Letters of Credit issued and outstanding at such time and (b) otherwise, an amount determined by the Administrative Agent and the L/C Issuer in their sole discretion.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Multiemployer Plan</w:t>
      </w:r>
      <w:r>
        <w:rPr>
          <w:rFonts w:ascii="Times New Roman" w:cs="Times New Roman" w:eastAsia="Times New Roman" w:hAnsi="Times New Roman"/>
          <w:sz w:val="20"/>
          <w:szCs w:val="20"/>
          <w:color w:val="auto"/>
        </w:rPr>
        <w:t xml:space="preserve">” means any employee benefit plan of the type described in </w:t>
      </w:r>
      <w:r>
        <w:rPr>
          <w:rFonts w:ascii="Times New Roman" w:cs="Times New Roman" w:eastAsia="Times New Roman" w:hAnsi="Times New Roman"/>
          <w:sz w:val="20"/>
          <w:szCs w:val="20"/>
          <w:i w:val="1"/>
          <w:iCs w:val="1"/>
          <w:color w:val="auto"/>
        </w:rPr>
        <w:t>Section 4001(a)(3)</w:t>
      </w:r>
      <w:r>
        <w:rPr>
          <w:rFonts w:ascii="Times New Roman" w:cs="Times New Roman" w:eastAsia="Times New Roman" w:hAnsi="Times New Roman"/>
          <w:sz w:val="20"/>
          <w:szCs w:val="20"/>
          <w:color w:val="auto"/>
        </w:rPr>
        <w:t xml:space="preserve"> of ERISA, to which the Borrower or any ERISA Affiliate makes or is obligated to make contributions, or during the preceding five plan years, has made or been obligated to make contributions.</w:t>
      </w:r>
    </w:p>
    <w:p>
      <w:pPr>
        <w:sectPr>
          <w:pgSz w:w="11900" w:h="16838" w:orient="portrait"/>
          <w:cols w:equalWidth="0" w:num="1">
            <w:col w:w="11420"/>
          </w:cols>
          <w:pgMar w:left="240" w:top="558" w:right="239" w:bottom="1440" w:gutter="0" w:footer="0" w:header="0"/>
        </w:sectPr>
      </w:pPr>
    </w:p>
    <w:bookmarkStart w:id="88" w:name="page89"/>
    <w:bookmarkEnd w:id="88"/>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Multiple Employer Plan</w:t>
      </w:r>
      <w:r>
        <w:rPr>
          <w:rFonts w:ascii="Times New Roman" w:cs="Times New Roman" w:eastAsia="Times New Roman" w:hAnsi="Times New Roman"/>
          <w:sz w:val="20"/>
          <w:szCs w:val="20"/>
          <w:color w:val="auto"/>
        </w:rPr>
        <w:t xml:space="preserve">” means a Plan which has two or more contributing sponsors (including the Borrower or any ERISA Affiliate) at least two of whom are not under common control, as such a plan is described in </w:t>
      </w:r>
      <w:r>
        <w:rPr>
          <w:rFonts w:ascii="Times New Roman" w:cs="Times New Roman" w:eastAsia="Times New Roman" w:hAnsi="Times New Roman"/>
          <w:sz w:val="20"/>
          <w:szCs w:val="20"/>
          <w:i w:val="1"/>
          <w:iCs w:val="1"/>
          <w:color w:val="auto"/>
        </w:rPr>
        <w:t>Section 4064</w:t>
      </w:r>
      <w:r>
        <w:rPr>
          <w:rFonts w:ascii="Times New Roman" w:cs="Times New Roman" w:eastAsia="Times New Roman" w:hAnsi="Times New Roman"/>
          <w:sz w:val="20"/>
          <w:szCs w:val="20"/>
          <w:color w:val="auto"/>
        </w:rPr>
        <w:t xml:space="preserve"> of ERISA.</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Net Cash Proceeds</w:t>
      </w:r>
      <w:r>
        <w:rPr>
          <w:rFonts w:ascii="Times New Roman" w:cs="Times New Roman" w:eastAsia="Times New Roman" w:hAnsi="Times New Roman"/>
          <w:sz w:val="20"/>
          <w:szCs w:val="20"/>
          <w:color w:val="auto"/>
        </w:rPr>
        <w:t>” means the aggregate cash or Cash Equivalents proceeds received by any Loan Party or any Subsidiary in respect of any Disposition or Involuntary Disposition, net of (a) direct costs incurred in connection therewith (including, without limitation, legal, accounting and investment banking fees and sales commissions), (b) taxes paid or payable as a result thereof and (c) in the case of any Disposition or any Involuntary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any Loan Party or any Subsidiary in any Disposition or Involuntary Disposition.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New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2.16(c)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Nextron</w:t>
      </w:r>
      <w:r>
        <w:rPr>
          <w:rFonts w:ascii="Times New Roman" w:cs="Times New Roman" w:eastAsia="Times New Roman" w:hAnsi="Times New Roman"/>
          <w:sz w:val="20"/>
          <w:szCs w:val="20"/>
          <w:color w:val="auto"/>
        </w:rPr>
        <w:t>” means Nextron Limited, a Canada corporation.</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xml:space="preserve"> and (b) has been approved by the Required Lenders.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Non-Extension Notice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2.03(b)</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Non-LIBOR Quoted Currency</w:t>
      </w:r>
      <w:r>
        <w:rPr>
          <w:rFonts w:ascii="Times New Roman" w:cs="Times New Roman" w:eastAsia="Times New Roman" w:hAnsi="Times New Roman"/>
          <w:sz w:val="20"/>
          <w:szCs w:val="20"/>
          <w:color w:val="auto"/>
        </w:rPr>
        <w:t>” means any currency other than a LIBOR Quoted Currency.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means a Revolving Note.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b w:val="1"/>
          <w:bCs w:val="1"/>
          <w:i w:val="1"/>
          <w:iCs w:val="1"/>
          <w:color w:val="auto"/>
        </w:rPr>
        <w:t xml:space="preserve">Exhibit R </w:t>
      </w:r>
      <w:r>
        <w:rPr>
          <w:rFonts w:ascii="Times New Roman" w:cs="Times New Roman" w:eastAsia="Times New Roman" w:hAnsi="Times New Roman"/>
          <w:sz w:val="20"/>
          <w:szCs w:val="20"/>
          <w:color w:val="auto"/>
        </w:rPr>
        <w:t>or such other form as may be approved by the Administrative Agent (including any form on an electronic platform or electronic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transmission system as shall be approved by the Administrative Agent), appropriately completed and signed by a Responsible Officer.</w:t>
      </w:r>
    </w:p>
    <w:p>
      <w:pPr>
        <w:spacing w:after="0" w:line="16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without limiting the foregoing, the Obligations of a Guarantor shall exclude any Excluded Swap Obligations with respect to such Guarantor.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ectPr>
          <w:pgSz w:w="11900" w:h="16838" w:orient="portrait"/>
          <w:cols w:equalWidth="0" w:num="1">
            <w:col w:w="11420"/>
          </w:cols>
          <w:pgMar w:left="240" w:top="558" w:right="2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Officer’s Certificate</w:t>
      </w:r>
      <w:r>
        <w:rPr>
          <w:rFonts w:ascii="Times New Roman" w:cs="Times New Roman" w:eastAsia="Times New Roman" w:hAnsi="Times New Roman"/>
          <w:sz w:val="19"/>
          <w:szCs w:val="19"/>
          <w:color w:val="auto"/>
        </w:rPr>
        <w:t xml:space="preserve">” means a certificate substantially the form of </w:t>
      </w:r>
      <w:r>
        <w:rPr>
          <w:rFonts w:ascii="Times New Roman" w:cs="Times New Roman" w:eastAsia="Times New Roman" w:hAnsi="Times New Roman"/>
          <w:sz w:val="19"/>
          <w:szCs w:val="19"/>
          <w:b w:val="1"/>
          <w:bCs w:val="1"/>
          <w:i w:val="1"/>
          <w:iCs w:val="1"/>
          <w:color w:val="auto"/>
        </w:rPr>
        <w:t>Exhibit L</w:t>
      </w:r>
      <w:r>
        <w:rPr>
          <w:rFonts w:ascii="Times New Roman" w:cs="Times New Roman" w:eastAsia="Times New Roman" w:hAnsi="Times New Roman"/>
          <w:sz w:val="19"/>
          <w:szCs w:val="19"/>
          <w:color w:val="auto"/>
        </w:rPr>
        <w:t xml:space="preserve"> or any other form approved by the Administrative Agent.</w:t>
      </w:r>
    </w:p>
    <w:p>
      <w:pPr>
        <w:spacing w:after="0" w:line="22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b w:val="1"/>
          <w:bCs w:val="1"/>
          <w:i w:val="1"/>
          <w:iCs w:val="1"/>
          <w:color w:val="auto"/>
        </w:rPr>
        <w:t>Section 3.06</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Outstanding Amount</w:t>
      </w:r>
      <w:r>
        <w:rPr>
          <w:rFonts w:ascii="Times New Roman" w:cs="Times New Roman" w:eastAsia="Times New Roman" w:hAnsi="Times New Roman"/>
          <w:sz w:val="20"/>
          <w:szCs w:val="20"/>
          <w:color w:val="auto"/>
        </w:rPr>
        <w:t>” means (a) with respect to Revolving Loans and Swingline Loans on any date, the Dollar Equivalent amount of the aggregate outstanding principal amount thereof after giving effect to any Borrowings and prepayments or repayments of Revolving Loans and Swingline Loans, as the case may be,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the L/C Issuer, or the Swingline Lender, as the case may be, in accordance with banking industry rules on interbank compensation, and (b) with respect to any amount denominated in an Alternative Currency, an overnight rate determined by the Administrative Agent or the L/C Issuer, as the case may be, in accordance with banking industry rules on interbank compensation.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11.06(d)</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558" w:right="239" w:bottom="1440" w:gutter="0" w:footer="0" w:header="0"/>
        </w:sectPr>
      </w:pPr>
    </w:p>
    <w:bookmarkStart w:id="90" w:name="page91"/>
    <w:bookmarkEnd w:id="90"/>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PCG Northern</w:t>
      </w:r>
      <w:r>
        <w:rPr>
          <w:rFonts w:ascii="Times New Roman" w:cs="Times New Roman" w:eastAsia="Times New Roman" w:hAnsi="Times New Roman"/>
          <w:sz w:val="20"/>
          <w:szCs w:val="20"/>
          <w:color w:val="auto"/>
        </w:rPr>
        <w:t>” means PCG Northern Services Inc., an entity formed under the laws of Alberta.</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Funding Rules</w:t>
      </w:r>
      <w:r>
        <w:rPr>
          <w:rFonts w:ascii="Times New Roman" w:cs="Times New Roman" w:eastAsia="Times New Roman" w:hAnsi="Times New Roman"/>
          <w:sz w:val="20"/>
          <w:szCs w:val="20"/>
          <w:color w:val="auto"/>
        </w:rPr>
        <w:t xml:space="preserve">” means the rules of the Code and ERISA regarding minimum funding standards with respect to Pension Plans and set forth in </w:t>
      </w:r>
      <w:r>
        <w:rPr>
          <w:rFonts w:ascii="Times New Roman" w:cs="Times New Roman" w:eastAsia="Times New Roman" w:hAnsi="Times New Roman"/>
          <w:sz w:val="20"/>
          <w:szCs w:val="20"/>
          <w:i w:val="1"/>
          <w:iCs w:val="1"/>
          <w:color w:val="auto"/>
        </w:rPr>
        <w:t>Sections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430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436</w:t>
      </w:r>
      <w:r>
        <w:rPr>
          <w:rFonts w:ascii="Times New Roman" w:cs="Times New Roman" w:eastAsia="Times New Roman" w:hAnsi="Times New Roman"/>
          <w:sz w:val="20"/>
          <w:szCs w:val="20"/>
          <w:color w:val="auto"/>
        </w:rPr>
        <w:t xml:space="preserve"> of the Code and </w:t>
      </w:r>
      <w:r>
        <w:rPr>
          <w:rFonts w:ascii="Times New Roman" w:cs="Times New Roman" w:eastAsia="Times New Roman" w:hAnsi="Times New Roman"/>
          <w:sz w:val="20"/>
          <w:szCs w:val="20"/>
          <w:i w:val="1"/>
          <w:iCs w:val="1"/>
          <w:color w:val="auto"/>
        </w:rPr>
        <w:t>Sections 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303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305</w:t>
      </w:r>
      <w:r>
        <w:rPr>
          <w:rFonts w:ascii="Times New Roman" w:cs="Times New Roman" w:eastAsia="Times New Roman" w:hAnsi="Times New Roman"/>
          <w:sz w:val="20"/>
          <w:szCs w:val="20"/>
          <w:color w:val="auto"/>
        </w:rPr>
        <w:t xml:space="preserve"> of ERISA.</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Plan</w:t>
      </w:r>
      <w:r>
        <w:rPr>
          <w:rFonts w:ascii="Times New Roman" w:cs="Times New Roman" w:eastAsia="Times New Roman" w:hAnsi="Times New Roman"/>
          <w:sz w:val="20"/>
          <w:szCs w:val="20"/>
          <w:color w:val="auto"/>
        </w:rPr>
        <w:t xml:space="preserve">”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w:t>
      </w:r>
      <w:r>
        <w:rPr>
          <w:rFonts w:ascii="Times New Roman" w:cs="Times New Roman" w:eastAsia="Times New Roman" w:hAnsi="Times New Roman"/>
          <w:sz w:val="20"/>
          <w:szCs w:val="20"/>
          <w:i w:val="1"/>
          <w:iCs w:val="1"/>
          <w:color w:val="auto"/>
        </w:rPr>
        <w:t>Title IV</w:t>
      </w:r>
      <w:r>
        <w:rPr>
          <w:rFonts w:ascii="Times New Roman" w:cs="Times New Roman" w:eastAsia="Times New Roman" w:hAnsi="Times New Roman"/>
          <w:sz w:val="20"/>
          <w:szCs w:val="20"/>
          <w:color w:val="auto"/>
        </w:rPr>
        <w:t xml:space="preserve"> of ERISA or is subject to the minimum funding standards under </w:t>
      </w:r>
      <w:r>
        <w:rPr>
          <w:rFonts w:ascii="Times New Roman" w:cs="Times New Roman" w:eastAsia="Times New Roman" w:hAnsi="Times New Roman"/>
          <w:sz w:val="20"/>
          <w:szCs w:val="20"/>
          <w:i w:val="1"/>
          <w:iCs w:val="1"/>
          <w:color w:val="auto"/>
        </w:rPr>
        <w:t>Section 412</w:t>
      </w:r>
      <w:r>
        <w:rPr>
          <w:rFonts w:ascii="Times New Roman" w:cs="Times New Roman" w:eastAsia="Times New Roman" w:hAnsi="Times New Roman"/>
          <w:sz w:val="20"/>
          <w:szCs w:val="20"/>
          <w:color w:val="auto"/>
        </w:rPr>
        <w:t xml:space="preserve"> of the Code.</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means an Acquisition by a Loan Party (the Person or division, line of business or other business unit of the Person to be acquired in such Acquisition shall be referred to herein as the “</w:t>
      </w:r>
      <w:r>
        <w:rPr>
          <w:rFonts w:ascii="Times New Roman" w:cs="Times New Roman" w:eastAsia="Times New Roman" w:hAnsi="Times New Roman"/>
          <w:sz w:val="20"/>
          <w:szCs w:val="20"/>
          <w:b w:val="1"/>
          <w:bCs w:val="1"/>
          <w:i w:val="1"/>
          <w:iCs w:val="1"/>
          <w:color w:val="auto"/>
        </w:rPr>
        <w:t>Target</w:t>
      </w:r>
      <w:r>
        <w:rPr>
          <w:rFonts w:ascii="Times New Roman" w:cs="Times New Roman" w:eastAsia="Times New Roman" w:hAnsi="Times New Roman"/>
          <w:sz w:val="20"/>
          <w:szCs w:val="20"/>
          <w:color w:val="auto"/>
        </w:rPr>
        <w:t>”), in each case that is a type of business (or assets used in a type of business) permitted to be engaged in by the Borrower and its Subsidiaries pursuant to the terms of this Agreement, in each case so long as:</w:t>
      </w:r>
    </w:p>
    <w:p>
      <w:pPr>
        <w:spacing w:after="0" w:line="180" w:lineRule="exact"/>
        <w:rPr>
          <w:sz w:val="20"/>
          <w:szCs w:val="20"/>
          <w:color w:val="auto"/>
        </w:rPr>
      </w:pPr>
    </w:p>
    <w:p>
      <w:pPr>
        <w:ind w:left="1720" w:hanging="415"/>
        <w:spacing w:after="0"/>
        <w:tabs>
          <w:tab w:leader="none" w:pos="1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then exist or would exist after giving effect thereto;</w:t>
      </w:r>
    </w:p>
    <w:p>
      <w:pPr>
        <w:spacing w:after="0" w:line="215" w:lineRule="exact"/>
        <w:rPr>
          <w:rFonts w:ascii="Times New Roman" w:cs="Times New Roman" w:eastAsia="Times New Roman" w:hAnsi="Times New Roman"/>
          <w:sz w:val="20"/>
          <w:szCs w:val="20"/>
          <w:color w:val="auto"/>
        </w:rPr>
      </w:pPr>
    </w:p>
    <w:p>
      <w:pPr>
        <w:jc w:val="both"/>
        <w:ind w:left="660" w:right="20" w:firstLine="645"/>
        <w:spacing w:after="0" w:line="254" w:lineRule="auto"/>
        <w:tabs>
          <w:tab w:leader="none" w:pos="178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shall demonstrate to the reasonable satisfaction of the Administrative Agent that, after giving effect to the Acquisition on a Pro Forma Basis, (i) the Loan Parties are in Pro Forma Compliance (including, without limitation, Pro Forma Compliance with </w:t>
      </w:r>
      <w:r>
        <w:rPr>
          <w:rFonts w:ascii="Times New Roman" w:cs="Times New Roman" w:eastAsia="Times New Roman" w:hAnsi="Times New Roman"/>
          <w:sz w:val="20"/>
          <w:szCs w:val="20"/>
          <w:b w:val="1"/>
          <w:bCs w:val="1"/>
          <w:i w:val="1"/>
          <w:iCs w:val="1"/>
          <w:color w:val="auto"/>
        </w:rPr>
        <w:t>Section 7.11(c)</w:t>
      </w:r>
      <w:r>
        <w:rPr>
          <w:rFonts w:ascii="Times New Roman" w:cs="Times New Roman" w:eastAsia="Times New Roman" w:hAnsi="Times New Roman"/>
          <w:sz w:val="20"/>
          <w:szCs w:val="20"/>
          <w:color w:val="auto"/>
        </w:rPr>
        <w:t xml:space="preserve">), and (ii) the Consolidated Leverage Ratio shall not be </w:t>
      </w:r>
      <w:r>
        <w:rPr>
          <w:rFonts w:ascii="Times New Roman" w:cs="Times New Roman" w:eastAsia="Times New Roman" w:hAnsi="Times New Roman"/>
          <w:sz w:val="20"/>
          <w:szCs w:val="20"/>
          <w:i w:val="1"/>
          <w:iCs w:val="1"/>
          <w:color w:val="auto"/>
        </w:rPr>
        <w:t>greater</w:t>
      </w:r>
      <w:r>
        <w:rPr>
          <w:rFonts w:ascii="Times New Roman" w:cs="Times New Roman" w:eastAsia="Times New Roman" w:hAnsi="Times New Roman"/>
          <w:sz w:val="20"/>
          <w:szCs w:val="20"/>
          <w:color w:val="auto"/>
        </w:rPr>
        <w:t xml:space="preserve"> than 2.50 to 1.00;</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on behalf of the Secured Parties, shall have received (or shall receive in connection with the closing of such Acquisition) a first priority perfected security interest in all Equity Interests of the Target that constitutes a Domestic Subsidiary of Borrower in accordance with the terms of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 xml:space="preserve"> and the Target, if a Domestic Subsidiary of Borrower, shall have executed a Joinder Agreement in accordance with the terms of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 and</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44" w:lineRule="auto"/>
        <w:tabs>
          <w:tab w:leader="none" w:pos="180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have received not less than 30 days prior to the consummation of any such Acquisition (i) a description of the material terms of such Acquisition, (ii) audited financial statements (or, if unavailable, management-prepared financial statements) of the Target for its two most recent fiscal years and for any fiscal quarters ended within the fiscal year to date, (iii) Consolidated projected income statements of the Borrower and its Subsidiaries (giving effect to such Acquisition), and (iv) not less than five Business Days prior to the consummation of any Permitted Acquisition, a Permitted Acquisition Certificate, executed by a Responsible Officer of the Borrower certifying that such Permitted Acquisition complies with the requirements of this Agreement;</w:t>
      </w:r>
    </w:p>
    <w:p>
      <w:pPr>
        <w:spacing w:after="0" w:line="186"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ectPr>
          <w:pgSz w:w="11900" w:h="16838" w:orient="portrait"/>
          <w:cols w:equalWidth="0" w:num="1">
            <w:col w:w="11420"/>
          </w:cols>
          <w:pgMar w:left="240" w:top="558" w:right="239" w:bottom="1440" w:gutter="0" w:footer="0" w:header="0"/>
        </w:sectPr>
      </w:pPr>
    </w:p>
    <w:bookmarkStart w:id="91" w:name="page92"/>
    <w:bookmarkEnd w:id="91"/>
    <w:p>
      <w:pPr>
        <w:ind w:left="660" w:firstLine="645"/>
        <w:spacing w:after="0" w:line="269" w:lineRule="auto"/>
        <w:tabs>
          <w:tab w:leader="none" w:pos="186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a “hostile” Acquisition and shall have been approved by the board of directors (or equivalent) and/or shareholders (or equivalent) of the applicable Loan Party and the Target; and</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7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Cost of Acquisition paid by the Loan Parties and their Subsidiaries for all Acquisitions made during the term of this Agreement shall not exceed $75,000,000;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earnouts or similar deferred or contingent obligations of the Borrower in connection with such Acquisition shall be subordinated to the Obligations in a manner and to the extent reasonably satisfactory to the Administrative Agent.</w:t>
      </w:r>
    </w:p>
    <w:p>
      <w:pPr>
        <w:spacing w:after="0" w:line="176"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 Certificate</w:t>
      </w:r>
      <w:r>
        <w:rPr>
          <w:rFonts w:ascii="Times New Roman" w:cs="Times New Roman" w:eastAsia="Times New Roman" w:hAnsi="Times New Roman"/>
          <w:sz w:val="20"/>
          <w:szCs w:val="20"/>
          <w:color w:val="auto"/>
        </w:rPr>
        <w:t xml:space="preserve">” means a certificate substantially the form of </w:t>
      </w:r>
      <w:r>
        <w:rPr>
          <w:rFonts w:ascii="Times New Roman" w:cs="Times New Roman" w:eastAsia="Times New Roman" w:hAnsi="Times New Roman"/>
          <w:sz w:val="20"/>
          <w:szCs w:val="20"/>
          <w:b w:val="1"/>
          <w:bCs w:val="1"/>
          <w:i w:val="1"/>
          <w:iCs w:val="1"/>
          <w:color w:val="auto"/>
        </w:rPr>
        <w:t>Exhibit F</w:t>
      </w:r>
      <w:r>
        <w:rPr>
          <w:rFonts w:ascii="Times New Roman" w:cs="Times New Roman" w:eastAsia="Times New Roman" w:hAnsi="Times New Roman"/>
          <w:sz w:val="20"/>
          <w:szCs w:val="20"/>
          <w:color w:val="auto"/>
        </w:rPr>
        <w:t xml:space="preserve"> or any other form approved by the Administrative Agent.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Liens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i w:val="1"/>
          <w:iCs w:val="1"/>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Transfers</w:t>
      </w:r>
      <w:r>
        <w:rPr>
          <w:rFonts w:ascii="Times New Roman" w:cs="Times New Roman" w:eastAsia="Times New Roman" w:hAnsi="Times New Roman"/>
          <w:sz w:val="20"/>
          <w:szCs w:val="20"/>
          <w:color w:val="auto"/>
        </w:rPr>
        <w:t xml:space="preserve">” means (a) Dispositions of inventory in the ordinary course of business; (b) Dispositions of property to the Borrower or any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the transferor of such property is a Loan Party then the transferee thereof must be a Loan Party;</w:t>
      </w:r>
    </w:p>
    <w:p>
      <w:pPr>
        <w:jc w:val="both"/>
        <w:ind w:firstLine="8"/>
        <w:spacing w:after="0" w:line="242" w:lineRule="auto"/>
        <w:tabs>
          <w:tab w:leader="none" w:pos="28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collection or compromise thereof; (d) licenses, sublicenses, leases or subleases granted to others not interfering in any material respect with the business of the Borrower and its Subsidiaries; and (e) the sale or disposition of Cash Equivalents for fair market value.</w:t>
      </w:r>
    </w:p>
    <w:p>
      <w:pPr>
        <w:spacing w:after="0" w:line="18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means any employee benefit plan within the meaning of </w:t>
      </w:r>
      <w:r>
        <w:rPr>
          <w:rFonts w:ascii="Times New Roman" w:cs="Times New Roman" w:eastAsia="Times New Roman" w:hAnsi="Times New Roman"/>
          <w:sz w:val="20"/>
          <w:szCs w:val="20"/>
          <w:i w:val="1"/>
          <w:iCs w:val="1"/>
          <w:color w:val="auto"/>
        </w:rPr>
        <w:t>Section 3(3)</w:t>
      </w:r>
      <w:r>
        <w:rPr>
          <w:rFonts w:ascii="Times New Roman" w:cs="Times New Roman" w:eastAsia="Times New Roman" w:hAnsi="Times New Roman"/>
          <w:sz w:val="20"/>
          <w:szCs w:val="20"/>
          <w:color w:val="auto"/>
        </w:rPr>
        <w:t xml:space="preserve"> of ERISA (including a Pension Plan), maintained for employees of the Borrower or any ERISA Affiliate or any such Plan to which the Borrower or any ERISA Affiliate is required to contribute on behalf of any of its employees.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6.02(n)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Pledged Equity</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Pro Forma Effect</w:t>
      </w:r>
      <w:r>
        <w:rPr>
          <w:rFonts w:ascii="Times New Roman" w:cs="Times New Roman" w:eastAsia="Times New Roman" w:hAnsi="Times New Roman"/>
          <w:sz w:val="20"/>
          <w:szCs w:val="20"/>
          <w:color w:val="auto"/>
        </w:rPr>
        <w:t xml:space="preserve">” means, for any Disposition of all or substantially all of a division or a line of business or for any Acquisition, whether actual or proposed, for purposes of determining compliance with the financial covenants set forth in </w:t>
      </w:r>
      <w:r>
        <w:rPr>
          <w:rFonts w:ascii="Times New Roman" w:cs="Times New Roman" w:eastAsia="Times New Roman" w:hAnsi="Times New Roman"/>
          <w:sz w:val="20"/>
          <w:szCs w:val="20"/>
          <w:b w:val="1"/>
          <w:bCs w:val="1"/>
          <w:i w:val="1"/>
          <w:iCs w:val="1"/>
          <w:color w:val="auto"/>
        </w:rPr>
        <w:t>Section 7.11</w:t>
      </w:r>
      <w:r>
        <w:rPr>
          <w:rFonts w:ascii="Times New Roman" w:cs="Times New Roman" w:eastAsia="Times New Roman" w:hAnsi="Times New Roman"/>
          <w:sz w:val="20"/>
          <w:szCs w:val="20"/>
          <w:color w:val="auto"/>
        </w:rPr>
        <w:t>, each such transaction or proposed transaction shall be deemed to have occurred on and as of the first day of the relevant Measurement Period, and the following pro forma adjustments shall be made:</w:t>
      </w:r>
    </w:p>
    <w:p>
      <w:pPr>
        <w:spacing w:after="0" w:line="180" w:lineRule="exact"/>
        <w:rPr>
          <w:sz w:val="20"/>
          <w:szCs w:val="20"/>
          <w:color w:val="auto"/>
        </w:rPr>
      </w:pPr>
    </w:p>
    <w:p>
      <w:pPr>
        <w:jc w:val="both"/>
        <w:ind w:left="660" w:firstLine="645"/>
        <w:spacing w:after="0" w:line="254" w:lineRule="auto"/>
        <w:tabs>
          <w:tab w:leader="none" w:pos="175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ectPr>
          <w:pgSz w:w="11900" w:h="16838" w:orient="portrait"/>
          <w:cols w:equalWidth="0" w:num="1">
            <w:col w:w="11420"/>
          </w:cols>
          <w:pgMar w:left="240" w:top="562" w:right="239" w:bottom="1440" w:gutter="0" w:footer="0" w:header="0"/>
        </w:sectPr>
      </w:pPr>
    </w:p>
    <w:bookmarkStart w:id="92" w:name="page93"/>
    <w:bookmarkEnd w:id="92"/>
    <w:p>
      <w:pPr>
        <w:ind w:left="660" w:firstLine="645"/>
        <w:spacing w:after="0" w:line="269" w:lineRule="auto"/>
        <w:tabs>
          <w:tab w:leader="none" w:pos="176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Restricted Payment, all cash to be paid to consummate such Restricted Payment shall be included in the results of the Borrower and its Subsidiaries for such Measurement Period;</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5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accrued during the relevant Measurement Period on, and the principal of, any Indebtedness repaid or to be repaid or refinanced in such transaction shall be excluded from the results of the Borrower and its Subsidiaries for such Measurement Period; and</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84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Compliance</w:t>
      </w:r>
      <w:r>
        <w:rPr>
          <w:rFonts w:ascii="Times New Roman" w:cs="Times New Roman" w:eastAsia="Times New Roman" w:hAnsi="Times New Roman"/>
          <w:sz w:val="20"/>
          <w:szCs w:val="20"/>
          <w:color w:val="auto"/>
        </w:rPr>
        <w:t>” means, with respect to any transaction, that such transaction does not cause, create or result in a Default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6.02(n)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ECP Guarantor</w:t>
      </w:r>
      <w:r>
        <w:rPr>
          <w:rFonts w:ascii="Times New Roman" w:cs="Times New Roman" w:eastAsia="Times New Roman" w:hAnsi="Times New Roman"/>
          <w:sz w:val="20"/>
          <w:szCs w:val="20"/>
          <w:color w:val="auto"/>
        </w:rPr>
        <w:t xml:space="preserve">” means, at any time, each Loan Party with total assets exceeding $10,000,000 or that qualifies at such time as an “eligible contract participant” under the Commodity Exchange Act and can cause another Person to qualify as an “eligible contract participant” at such time under </w:t>
      </w:r>
      <w:r>
        <w:rPr>
          <w:rFonts w:ascii="Times New Roman" w:cs="Times New Roman" w:eastAsia="Times New Roman" w:hAnsi="Times New Roman"/>
          <w:sz w:val="20"/>
          <w:szCs w:val="20"/>
          <w:i w:val="1"/>
          <w:iCs w:val="1"/>
          <w:color w:val="auto"/>
        </w:rPr>
        <w:t>Section 1a(18)(A)(v)(II)</w:t>
      </w:r>
      <w:r>
        <w:rPr>
          <w:rFonts w:ascii="Times New Roman" w:cs="Times New Roman" w:eastAsia="Times New Roman" w:hAnsi="Times New Roman"/>
          <w:sz w:val="20"/>
          <w:szCs w:val="20"/>
          <w:color w:val="auto"/>
        </w:rPr>
        <w:t xml:space="preserve"> of the Commodity Exchange Act.</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Qualifying Control Agreement</w:t>
      </w:r>
      <w:r>
        <w:rPr>
          <w:rFonts w:ascii="Times New Roman" w:cs="Times New Roman" w:eastAsia="Times New Roman" w:hAnsi="Times New Roman"/>
          <w:sz w:val="20"/>
          <w:szCs w:val="20"/>
          <w:color w:val="auto"/>
        </w:rPr>
        <w:t>” means an agreement, among a Loan Party, a depository institution or securities intermediary and the Administrative Agent, which agreement is in form and substance acceptable to the Administrative Agent and which provides the Administrative Agent with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xml:space="preserve">” (as such term is used in </w:t>
      </w:r>
      <w:r>
        <w:rPr>
          <w:rFonts w:ascii="Times New Roman" w:cs="Times New Roman" w:eastAsia="Times New Roman" w:hAnsi="Times New Roman"/>
          <w:sz w:val="20"/>
          <w:szCs w:val="20"/>
          <w:i w:val="1"/>
          <w:iCs w:val="1"/>
          <w:color w:val="auto"/>
        </w:rPr>
        <w:t>Article 9</w:t>
      </w:r>
      <w:r>
        <w:rPr>
          <w:rFonts w:ascii="Times New Roman" w:cs="Times New Roman" w:eastAsia="Times New Roman" w:hAnsi="Times New Roman"/>
          <w:sz w:val="20"/>
          <w:szCs w:val="20"/>
          <w:color w:val="auto"/>
        </w:rPr>
        <w:t xml:space="preserve"> of the UCC) over the deposit account(s) or securities account(s) described therein.</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Rate Determination Date</w:t>
      </w:r>
      <w:r>
        <w:rPr>
          <w:rFonts w:ascii="Times New Roman" w:cs="Times New Roman" w:eastAsia="Times New Roman" w:hAnsi="Times New Roman"/>
          <w:sz w:val="20"/>
          <w:szCs w:val="20"/>
          <w:color w:val="auto"/>
        </w:rPr>
        <w:t xml:space="preserve">” means two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then “</w:t>
      </w:r>
      <w:r>
        <w:rPr>
          <w:rFonts w:ascii="Times New Roman" w:cs="Times New Roman" w:eastAsia="Times New Roman" w:hAnsi="Times New Roman"/>
          <w:sz w:val="20"/>
          <w:szCs w:val="20"/>
          <w:b w:val="1"/>
          <w:bCs w:val="1"/>
          <w:i w:val="1"/>
          <w:iCs w:val="1"/>
          <w:color w:val="auto"/>
        </w:rPr>
        <w:t>Rate Determination Date</w:t>
      </w:r>
      <w:r>
        <w:rPr>
          <w:rFonts w:ascii="Times New Roman" w:cs="Times New Roman" w:eastAsia="Times New Roman" w:hAnsi="Times New Roman"/>
          <w:sz w:val="20"/>
          <w:szCs w:val="20"/>
          <w:color w:val="auto"/>
        </w:rPr>
        <w:t>” means such other day as otherwise reasonably determined by the Administrative Agent).</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ectPr>
          <w:pgSz w:w="11900" w:h="16838" w:orient="portrait"/>
          <w:cols w:equalWidth="0" w:num="1">
            <w:col w:w="11420"/>
          </w:cols>
          <w:pgMar w:left="240" w:top="562" w:right="2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Regulation U</w:t>
      </w:r>
      <w:r>
        <w:rPr>
          <w:rFonts w:ascii="Times New Roman" w:cs="Times New Roman" w:eastAsia="Times New Roman" w:hAnsi="Times New Roman"/>
          <w:sz w:val="19"/>
          <w:szCs w:val="19"/>
          <w:color w:val="auto"/>
        </w:rPr>
        <w:t>” means Regulation U of the FRB, as in effect from time to time and all official rulings and interpretations thereunder or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means any release, spill, emission, discharge, deposit, disposal, leaking, pumping, pouring, dumping, emptying, injection or leaching into the Environment, or into, from or through any building, structure or facility.</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Reportable Event</w:t>
      </w:r>
      <w:r>
        <w:rPr>
          <w:rFonts w:ascii="Times New Roman" w:cs="Times New Roman" w:eastAsia="Times New Roman" w:hAnsi="Times New Roman"/>
          <w:sz w:val="20"/>
          <w:szCs w:val="20"/>
          <w:color w:val="auto"/>
        </w:rPr>
        <w:t xml:space="preserve">” means any of the events set forth in </w:t>
      </w:r>
      <w:r>
        <w:rPr>
          <w:rFonts w:ascii="Times New Roman" w:cs="Times New Roman" w:eastAsia="Times New Roman" w:hAnsi="Times New Roman"/>
          <w:sz w:val="20"/>
          <w:szCs w:val="20"/>
          <w:i w:val="1"/>
          <w:iCs w:val="1"/>
          <w:color w:val="auto"/>
        </w:rPr>
        <w:t>Section 4043(c)</w:t>
      </w:r>
      <w:r>
        <w:rPr>
          <w:rFonts w:ascii="Times New Roman" w:cs="Times New Roman" w:eastAsia="Times New Roman" w:hAnsi="Times New Roman"/>
          <w:sz w:val="20"/>
          <w:szCs w:val="20"/>
          <w:color w:val="auto"/>
        </w:rPr>
        <w:t xml:space="preserve"> of ERISA, other than events for which the 30 day notice period has been waived.</w:t>
      </w:r>
    </w:p>
    <w:p>
      <w:pPr>
        <w:spacing w:after="0" w:line="152" w:lineRule="exact"/>
        <w:rPr>
          <w:sz w:val="20"/>
          <w:szCs w:val="20"/>
          <w:color w:val="auto"/>
        </w:rPr>
      </w:pPr>
    </w:p>
    <w:p>
      <w:pPr>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Request for Credit Extension</w:t>
      </w:r>
      <w:r>
        <w:rPr>
          <w:rFonts w:ascii="Times New Roman" w:cs="Times New Roman" w:eastAsia="Times New Roman" w:hAnsi="Times New Roman"/>
          <w:sz w:val="19"/>
          <w:szCs w:val="19"/>
          <w:color w:val="auto"/>
        </w:rPr>
        <w:t>” means (a) with respect to a Borrowing, conversion or continuation of Revolving Loans, a Loan Notice, (b) with respect to an L/C Credit Extension, a Letter of Credit Application, and (c) with respect to a Swingline Loan, a Swingline Loan Notice.</w:t>
      </w:r>
    </w:p>
    <w:p>
      <w:pPr>
        <w:spacing w:after="0" w:line="1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xml:space="preserve">” means, at any time, Lenders having Total Credit Exposures representing more than 66⅔%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i w:val="1"/>
          <w:iCs w:val="1"/>
          <w:color w:val="auto"/>
        </w:rPr>
        <w:t>Section 9.06(a)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20"/>
          <w:szCs w:val="20"/>
          <w:b w:val="1"/>
          <w:bCs w:val="1"/>
          <w:i w:val="1"/>
          <w:iCs w:val="1"/>
          <w:color w:val="auto"/>
        </w:rPr>
        <w:t>Section 4.01(b)</w:t>
      </w:r>
      <w:r>
        <w:rPr>
          <w:rFonts w:ascii="Times New Roman" w:cs="Times New Roman" w:eastAsia="Times New Roman" w:hAnsi="Times New Roman"/>
          <w:sz w:val="20"/>
          <w:szCs w:val="20"/>
          <w:color w:val="auto"/>
        </w:rPr>
        <w:t xml:space="preserve">, the secretary or any assistant secretary of a Loan Party and, solely for purposes of notices given pursuant to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Payment</w:t>
      </w:r>
      <w:r>
        <w:rPr>
          <w:rFonts w:ascii="Times New Roman" w:cs="Times New Roman" w:eastAsia="Times New Roman" w:hAnsi="Times New Roman"/>
          <w:sz w:val="20"/>
          <w:szCs w:val="20"/>
          <w:color w:val="auto"/>
        </w:rPr>
        <w:t>” means (a) any dividend or other distribution (including, without limitation, Permitted Tax Distributions), direct or indirect, on account of any shares (or equivalent) of any class of Equity Interests of the Borrower or any of its 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and (c) any payment made to retire, or to obtain the surrender of, any outstanding</w:t>
      </w:r>
    </w:p>
    <w:p>
      <w:pPr>
        <w:sectPr>
          <w:pgSz w:w="11900" w:h="16838" w:orient="portrait"/>
          <w:cols w:equalWidth="0" w:num="1">
            <w:col w:w="11420"/>
          </w:cols>
          <w:pgMar w:left="240" w:top="558" w:right="239" w:bottom="1440" w:gutter="0" w:footer="0" w:header="0"/>
        </w:sectPr>
      </w:pPr>
    </w:p>
    <w:bookmarkStart w:id="94" w:name="page95"/>
    <w:bookmarkEnd w:id="9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warrants, options or other rights to acquire shares of any class of Equity Interests of any Loan Party or any of its Subsidiaries, now or hereafter outstanding.</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Revaluation Date</w:t>
      </w:r>
      <w:r>
        <w:rPr>
          <w:rFonts w:ascii="Times New Roman" w:cs="Times New Roman" w:eastAsia="Times New Roman" w:hAnsi="Times New Roman"/>
          <w:sz w:val="20"/>
          <w:szCs w:val="20"/>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and (iii) such additional dates as the Administrative Agent shall determine or the Required Lenders shall require; and (b) with respect to any Letter of Credit, each of the following: (i) each date of issuance, amendment and/or extension of a Letter of Credit denominated in an Alternative Currency, (ii) each date of any payment by the L/C Issuer under any Letter of Credit denominated in an Alternative Currency, (iii) in the case of all Existing Letters of Credit denominated in Alternative Currencies, the Closing Date, and (iv) such additional dates as the Administrative Agent or the L/C Issuer shall determine or the Required Lenders shall require.</w:t>
      </w:r>
    </w:p>
    <w:p>
      <w:pPr>
        <w:spacing w:after="0" w:line="18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Borrowing</w:t>
      </w:r>
      <w:r>
        <w:rPr>
          <w:rFonts w:ascii="Times New Roman" w:cs="Times New Roman" w:eastAsia="Times New Roman" w:hAnsi="Times New Roman"/>
          <w:sz w:val="20"/>
          <w:szCs w:val="20"/>
          <w:color w:val="auto"/>
        </w:rPr>
        <w:t xml:space="preserve">” means a borrowing consisting of simultaneous Revolving Loans of the same Type and, in the case of Eurocurrency Rate Loans, having the same Interest Period made by each of the Lenders pursuant to </w:t>
      </w:r>
      <w:r>
        <w:rPr>
          <w:rFonts w:ascii="Times New Roman" w:cs="Times New Roman" w:eastAsia="Times New Roman" w:hAnsi="Times New Roman"/>
          <w:sz w:val="20"/>
          <w:szCs w:val="20"/>
          <w:b w:val="1"/>
          <w:bCs w:val="1"/>
          <w:i w:val="1"/>
          <w:iCs w:val="1"/>
          <w:color w:val="auto"/>
        </w:rPr>
        <w:t>Section 2.01</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w:t>
      </w:r>
      <w:r>
        <w:rPr>
          <w:rFonts w:ascii="Times New Roman" w:cs="Times New Roman" w:eastAsia="Times New Roman" w:hAnsi="Times New Roman"/>
          <w:sz w:val="20"/>
          <w:szCs w:val="20"/>
          <w:color w:val="auto"/>
        </w:rPr>
        <w:t xml:space="preserve">” means, as to each Lender, its obligation to (a) make Revolving Loans to the Borrower pursuant to </w:t>
      </w:r>
      <w:r>
        <w:rPr>
          <w:rFonts w:ascii="Times New Roman" w:cs="Times New Roman" w:eastAsia="Times New Roman" w:hAnsi="Times New Roman"/>
          <w:sz w:val="20"/>
          <w:szCs w:val="20"/>
          <w:b w:val="1"/>
          <w:bCs w:val="1"/>
          <w:i w:val="1"/>
          <w:iCs w:val="1"/>
          <w:color w:val="auto"/>
        </w:rPr>
        <w:t>Section 2.01</w:t>
      </w:r>
      <w:r>
        <w:rPr>
          <w:rFonts w:ascii="Times New Roman" w:cs="Times New Roman" w:eastAsia="Times New Roman" w:hAnsi="Times New Roman"/>
          <w:sz w:val="20"/>
          <w:szCs w:val="20"/>
          <w:color w:val="auto"/>
        </w:rPr>
        <w:t>, (b) purchase participations in L/C Obligations, and (c) purchase participations in Swingline Loans, in an aggregate principal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amount at any one time outstanding not to exceed the amount set forth opposite such Lender’s name on </w:t>
      </w:r>
      <w:r>
        <w:rPr>
          <w:rFonts w:ascii="Times New Roman" w:cs="Times New Roman" w:eastAsia="Times New Roman" w:hAnsi="Times New Roman"/>
          <w:sz w:val="20"/>
          <w:szCs w:val="20"/>
          <w:b w:val="1"/>
          <w:bCs w:val="1"/>
          <w:i w:val="1"/>
          <w:iCs w:val="1"/>
          <w:color w:val="auto"/>
        </w:rPr>
        <w:t>Schedule 1.01(b)</w:t>
      </w:r>
      <w:r>
        <w:rPr>
          <w:rFonts w:ascii="Times New Roman" w:cs="Times New Roman" w:eastAsia="Times New Roman" w:hAnsi="Times New Roman"/>
          <w:sz w:val="20"/>
          <w:szCs w:val="20"/>
          <w:color w:val="auto"/>
        </w:rPr>
        <w:t xml:space="preserve">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Lenders on the Closing Date shall be $75,000,000.</w:t>
      </w:r>
    </w:p>
    <w:p>
      <w:pPr>
        <w:spacing w:after="0" w:line="17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Exposure</w:t>
      </w:r>
      <w:r>
        <w:rPr>
          <w:rFonts w:ascii="Times New Roman" w:cs="Times New Roman" w:eastAsia="Times New Roman" w:hAnsi="Times New Roman"/>
          <w:sz w:val="20"/>
          <w:szCs w:val="20"/>
          <w:color w:val="auto"/>
        </w:rPr>
        <w:t>” means, as to any Lender at any time, the aggregate principal amount at such time of its outstanding Revolving Loans and such Lender’s participation in L/C Obligations and Swingline Loans at such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Facility</w:t>
      </w:r>
      <w:r>
        <w:rPr>
          <w:rFonts w:ascii="Times New Roman" w:cs="Times New Roman" w:eastAsia="Times New Roman" w:hAnsi="Times New Roman"/>
          <w:sz w:val="20"/>
          <w:szCs w:val="20"/>
          <w:color w:val="auto"/>
        </w:rPr>
        <w:t>” means, at any time, the aggregate amount of the Lenders’ Revolving Commitments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Note</w:t>
      </w:r>
      <w:r>
        <w:rPr>
          <w:rFonts w:ascii="Times New Roman" w:cs="Times New Roman" w:eastAsia="Times New Roman" w:hAnsi="Times New Roman"/>
          <w:sz w:val="20"/>
          <w:szCs w:val="20"/>
          <w:color w:val="auto"/>
        </w:rPr>
        <w:t xml:space="preserve">” means a promissory note made by the Borrower in favor of a Lender evidencing Revolving Loans or Swingline Loans, as the case may be, made by such Lender, substantially in the form of </w:t>
      </w:r>
      <w:r>
        <w:rPr>
          <w:rFonts w:ascii="Times New Roman" w:cs="Times New Roman" w:eastAsia="Times New Roman" w:hAnsi="Times New Roman"/>
          <w:sz w:val="20"/>
          <w:szCs w:val="20"/>
          <w:b w:val="1"/>
          <w:bCs w:val="1"/>
          <w:i w:val="1"/>
          <w:iCs w:val="1"/>
          <w:color w:val="auto"/>
        </w:rPr>
        <w:t>Exhibit G</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Sale and Leaseback Transaction</w:t>
      </w:r>
      <w:r>
        <w:rPr>
          <w:rFonts w:ascii="Times New Roman" w:cs="Times New Roman" w:eastAsia="Times New Roman" w:hAnsi="Times New Roman"/>
          <w:sz w:val="20"/>
          <w:szCs w:val="20"/>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w:t>
      </w:r>
    </w:p>
    <w:p>
      <w:pPr>
        <w:sectPr>
          <w:pgSz w:w="11900" w:h="16838" w:orient="portrait"/>
          <w:cols w:equalWidth="0" w:num="1">
            <w:col w:w="11420"/>
          </w:cols>
          <w:pgMar w:left="240" w:top="562" w:right="239" w:bottom="1440" w:gutter="0" w:footer="0" w:header="0"/>
        </w:sectPr>
      </w:pPr>
    </w:p>
    <w:bookmarkStart w:id="95" w:name="page96"/>
    <w:bookmarkEnd w:id="95"/>
    <w:p>
      <w:pPr>
        <w:jc w:val="both"/>
        <w:spacing w:after="0" w:line="269" w:lineRule="auto"/>
        <w:rPr>
          <w:sz w:val="20"/>
          <w:szCs w:val="20"/>
          <w:color w:val="auto"/>
        </w:rPr>
      </w:pPr>
      <w:r>
        <w:rPr>
          <w:rFonts w:ascii="Times New Roman" w:cs="Times New Roman" w:eastAsia="Times New Roman" w:hAnsi="Times New Roman"/>
          <w:sz w:val="20"/>
          <w:szCs w:val="20"/>
          <w:color w:val="auto"/>
        </w:rPr>
        <w:t>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Her Majesty’s Treasury (“</w:t>
      </w:r>
      <w:r>
        <w:rPr>
          <w:rFonts w:ascii="Times New Roman" w:cs="Times New Roman" w:eastAsia="Times New Roman" w:hAnsi="Times New Roman"/>
          <w:sz w:val="20"/>
          <w:szCs w:val="20"/>
          <w:b w:val="1"/>
          <w:bCs w:val="1"/>
          <w:i w:val="1"/>
          <w:iCs w:val="1"/>
          <w:color w:val="auto"/>
        </w:rPr>
        <w:t>HMT</w:t>
      </w:r>
      <w:r>
        <w:rPr>
          <w:rFonts w:ascii="Times New Roman" w:cs="Times New Roman" w:eastAsia="Times New Roman" w:hAnsi="Times New Roman"/>
          <w:sz w:val="20"/>
          <w:szCs w:val="20"/>
          <w:color w:val="auto"/>
        </w:rPr>
        <w:t>”) or other relevant sanctions authority.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Cash Management Agreement</w:t>
      </w:r>
      <w:r>
        <w:rPr>
          <w:rFonts w:ascii="Times New Roman" w:cs="Times New Roman" w:eastAsia="Times New Roman" w:hAnsi="Times New Roman"/>
          <w:sz w:val="20"/>
          <w:szCs w:val="20"/>
          <w:color w:val="auto"/>
        </w:rPr>
        <w:t>” means any Cash Management Agreement between the any Loan Party and any of its Subsidiaries and any Cash Management Bank.</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Hedge Agreement</w:t>
      </w:r>
      <w:r>
        <w:rPr>
          <w:rFonts w:ascii="Times New Roman" w:cs="Times New Roman" w:eastAsia="Times New Roman" w:hAnsi="Times New Roman"/>
          <w:sz w:val="20"/>
          <w:szCs w:val="20"/>
          <w:color w:val="auto"/>
        </w:rPr>
        <w:t xml:space="preserve">” means any interest rate, currency, foreign exchange, or commodity Swap Contract required by or not prohibited under </w:t>
      </w:r>
      <w:r>
        <w:rPr>
          <w:rFonts w:ascii="Times New Roman" w:cs="Times New Roman" w:eastAsia="Times New Roman" w:hAnsi="Times New Roman"/>
          <w:sz w:val="20"/>
          <w:szCs w:val="20"/>
          <w:b w:val="1"/>
          <w:bCs w:val="1"/>
          <w:i w:val="1"/>
          <w:iCs w:val="1"/>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VII</w:t>
      </w:r>
      <w:r>
        <w:rPr>
          <w:rFonts w:ascii="Times New Roman" w:cs="Times New Roman" w:eastAsia="Times New Roman" w:hAnsi="Times New Roman"/>
          <w:sz w:val="20"/>
          <w:szCs w:val="20"/>
          <w:color w:val="auto"/>
        </w:rPr>
        <w:t xml:space="preserve"> between any Loan Party and any of its Subsidiaries and any Hedge Bank.</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Obligations</w:t>
      </w:r>
      <w:r>
        <w:rPr>
          <w:rFonts w:ascii="Times New Roman" w:cs="Times New Roman" w:eastAsia="Times New Roman" w:hAnsi="Times New Roman"/>
          <w:sz w:val="20"/>
          <w:szCs w:val="20"/>
          <w:color w:val="auto"/>
        </w:rPr>
        <w:t>” means all Obligations and all Additional Secured Obligations.</w:t>
      </w:r>
    </w:p>
    <w:p>
      <w:pPr>
        <w:spacing w:after="0" w:line="21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Secured Parties</w:t>
      </w:r>
      <w:r>
        <w:rPr>
          <w:rFonts w:ascii="Times New Roman" w:cs="Times New Roman" w:eastAsia="Times New Roman" w:hAnsi="Times New Roman"/>
          <w:sz w:val="19"/>
          <w:szCs w:val="19"/>
          <w:color w:val="auto"/>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 w:cs="Times New Roman" w:eastAsia="Times New Roman" w:hAnsi="Times New Roman"/>
          <w:sz w:val="19"/>
          <w:szCs w:val="19"/>
          <w:b w:val="1"/>
          <w:bCs w:val="1"/>
          <w:i w:val="1"/>
          <w:iCs w:val="1"/>
          <w:color w:val="auto"/>
        </w:rPr>
        <w:t>Section 9.05</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Party Designation Notice</w:t>
      </w:r>
      <w:r>
        <w:rPr>
          <w:rFonts w:ascii="Times New Roman" w:cs="Times New Roman" w:eastAsia="Times New Roman" w:hAnsi="Times New Roman"/>
          <w:sz w:val="20"/>
          <w:szCs w:val="20"/>
          <w:color w:val="auto"/>
        </w:rPr>
        <w:t xml:space="preserve">” means a notice from any Lender or an Affiliate of a Lender substantially in the form of </w:t>
      </w:r>
      <w:r>
        <w:rPr>
          <w:rFonts w:ascii="Times New Roman" w:cs="Times New Roman" w:eastAsia="Times New Roman" w:hAnsi="Times New Roman"/>
          <w:sz w:val="20"/>
          <w:szCs w:val="20"/>
          <w:b w:val="1"/>
          <w:bCs w:val="1"/>
          <w:i w:val="1"/>
          <w:iCs w:val="1"/>
          <w:color w:val="auto"/>
        </w:rPr>
        <w:t>Exhibit H</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Securities Act of 1933, including all amendments thereto and regulations promulgated thereunder.</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Agreement</w:t>
      </w:r>
      <w:r>
        <w:rPr>
          <w:rFonts w:ascii="Times New Roman" w:cs="Times New Roman" w:eastAsia="Times New Roman" w:hAnsi="Times New Roman"/>
          <w:sz w:val="20"/>
          <w:szCs w:val="20"/>
          <w:color w:val="auto"/>
        </w:rPr>
        <w:t>” means the security and pledge agreement, dated as of the Closing Date, executed in favor of the Administrative Agent by each of the Loan Parties.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Shareholders’ Equity</w:t>
      </w:r>
      <w:r>
        <w:rPr>
          <w:rFonts w:ascii="Times New Roman" w:cs="Times New Roman" w:eastAsia="Times New Roman" w:hAnsi="Times New Roman"/>
          <w:sz w:val="20"/>
          <w:szCs w:val="20"/>
          <w:color w:val="auto"/>
        </w:rPr>
        <w:t>” means, as of any date of determination, consolidated shareholders’ equity of the Borrower and its Subsidiaries as of such date, determined in accordance with GAAP.</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Solvency Certificate</w:t>
      </w:r>
      <w:r>
        <w:rPr>
          <w:rFonts w:ascii="Times New Roman" w:cs="Times New Roman" w:eastAsia="Times New Roman" w:hAnsi="Times New Roman"/>
          <w:sz w:val="20"/>
          <w:szCs w:val="20"/>
          <w:color w:val="auto"/>
        </w:rPr>
        <w:t xml:space="preserve">” means a solvency certificate in substantially in the form of </w:t>
      </w:r>
      <w:r>
        <w:rPr>
          <w:rFonts w:ascii="Times New Roman" w:cs="Times New Roman" w:eastAsia="Times New Roman" w:hAnsi="Times New Roman"/>
          <w:sz w:val="20"/>
          <w:szCs w:val="20"/>
          <w:b w:val="1"/>
          <w:bCs w:val="1"/>
          <w:i w:val="1"/>
          <w:iCs w:val="1"/>
          <w:color w:val="auto"/>
        </w:rPr>
        <w:t>Exhibit 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ectPr>
          <w:pgSz w:w="11900" w:h="16838" w:orient="portrait"/>
          <w:cols w:equalWidth="0" w:num="1">
            <w:col w:w="11420"/>
          </w:cols>
          <w:pgMar w:left="240" w:top="562" w:right="239" w:bottom="1440" w:gutter="0" w:footer="0" w:header="0"/>
        </w:sectPr>
      </w:pPr>
    </w:p>
    <w:bookmarkStart w:id="96" w:name="page97"/>
    <w:bookmarkEnd w:id="96"/>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Loan Party</w:t>
      </w:r>
      <w:r>
        <w:rPr>
          <w:rFonts w:ascii="Times New Roman" w:cs="Times New Roman" w:eastAsia="Times New Roman" w:hAnsi="Times New Roman"/>
          <w:sz w:val="20"/>
          <w:szCs w:val="20"/>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mean the lawful currency of the United Kingdom.</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“Surety Bond” </w:t>
      </w:r>
      <w:r>
        <w:rPr>
          <w:rFonts w:ascii="Times New Roman" w:cs="Times New Roman" w:eastAsia="Times New Roman" w:hAnsi="Times New Roman"/>
          <w:sz w:val="20"/>
          <w:szCs w:val="20"/>
          <w:color w:val="auto"/>
        </w:rPr>
        <w:t>means indemnity or performance bonds a Loan Party causes to be issued in the ordinary course of its business.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b w:val="1"/>
          <w:bCs w:val="1"/>
          <w:i w:val="1"/>
          <w:iCs w:val="1"/>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w:t>
      </w:r>
      <w:r>
        <w:rPr>
          <w:rFonts w:ascii="Times New Roman" w:cs="Times New Roman" w:eastAsia="Times New Roman" w:hAnsi="Times New Roman"/>
          <w:sz w:val="20"/>
          <w:szCs w:val="20"/>
          <w:i w:val="1"/>
          <w:iCs w:val="1"/>
          <w:color w:val="auto"/>
        </w:rPr>
        <w:t>swap</w:t>
      </w:r>
      <w:r>
        <w:rPr>
          <w:rFonts w:ascii="Times New Roman" w:cs="Times New Roman" w:eastAsia="Times New Roman" w:hAnsi="Times New Roman"/>
          <w:sz w:val="20"/>
          <w:szCs w:val="20"/>
          <w:color w:val="auto"/>
        </w:rPr>
        <w:t xml:space="preserve">” within the meaning of </w:t>
      </w:r>
      <w:r>
        <w:rPr>
          <w:rFonts w:ascii="Times New Roman" w:cs="Times New Roman" w:eastAsia="Times New Roman" w:hAnsi="Times New Roman"/>
          <w:sz w:val="20"/>
          <w:szCs w:val="20"/>
          <w:i w:val="1"/>
          <w:iCs w:val="1"/>
          <w:color w:val="auto"/>
        </w:rPr>
        <w:t>Section 1a(47)</w:t>
      </w:r>
      <w:r>
        <w:rPr>
          <w:rFonts w:ascii="Times New Roman" w:cs="Times New Roman" w:eastAsia="Times New Roman" w:hAnsi="Times New Roman"/>
          <w:sz w:val="20"/>
          <w:szCs w:val="20"/>
          <w:color w:val="auto"/>
        </w:rPr>
        <w:t xml:space="preserve"> of the Commodity Exchange Act.</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Termination Value</w:t>
      </w:r>
      <w:r>
        <w:rPr>
          <w:rFonts w:ascii="Times New Roman" w:cs="Times New Roman" w:eastAsia="Times New Roman" w:hAnsi="Times New Roman"/>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b w:val="1"/>
          <w:bCs w:val="1"/>
          <w:i w:val="1"/>
          <w:iCs w:val="1"/>
          <w:color w:val="auto"/>
        </w:rPr>
        <w:t>clause (a)</w:t>
      </w:r>
      <w:r>
        <w:rPr>
          <w:rFonts w:ascii="Times New Roman" w:cs="Times New Roman" w:eastAsia="Times New Roman" w:hAnsi="Times New Roman"/>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Borrowing</w:t>
      </w:r>
      <w:r>
        <w:rPr>
          <w:rFonts w:ascii="Times New Roman" w:cs="Times New Roman" w:eastAsia="Times New Roman" w:hAnsi="Times New Roman"/>
          <w:sz w:val="20"/>
          <w:szCs w:val="20"/>
          <w:color w:val="auto"/>
        </w:rPr>
        <w:t xml:space="preserve">” means a borrowing of a Swingline Loan pursuant to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Commitment</w:t>
      </w:r>
      <w:r>
        <w:rPr>
          <w:rFonts w:ascii="Times New Roman" w:cs="Times New Roman" w:eastAsia="Times New Roman" w:hAnsi="Times New Roman"/>
          <w:sz w:val="20"/>
          <w:szCs w:val="20"/>
          <w:color w:val="auto"/>
        </w:rPr>
        <w:t xml:space="preserve">” means, as to any Lender (a) the amount set forth opposite such Lender’s name on </w:t>
      </w:r>
      <w:r>
        <w:rPr>
          <w:rFonts w:ascii="Times New Roman" w:cs="Times New Roman" w:eastAsia="Times New Roman" w:hAnsi="Times New Roman"/>
          <w:sz w:val="20"/>
          <w:szCs w:val="20"/>
          <w:b w:val="1"/>
          <w:bCs w:val="1"/>
          <w:i w:val="1"/>
          <w:iCs w:val="1"/>
          <w:color w:val="auto"/>
        </w:rPr>
        <w:t>Schedule 2.01</w:t>
      </w:r>
      <w:r>
        <w:rPr>
          <w:rFonts w:ascii="Times New Roman" w:cs="Times New Roman" w:eastAsia="Times New Roman" w:hAnsi="Times New Roman"/>
          <w:sz w:val="20"/>
          <w:szCs w:val="20"/>
          <w:color w:val="auto"/>
        </w:rPr>
        <w:t xml:space="preserve"> hereof or (b) if such Lender has entered into an Assignment and Assumption or has</w:t>
      </w:r>
    </w:p>
    <w:p>
      <w:pPr>
        <w:sectPr>
          <w:pgSz w:w="11900" w:h="16838" w:orient="portrait"/>
          <w:cols w:equalWidth="0" w:num="1">
            <w:col w:w="11420"/>
          </w:cols>
          <w:pgMar w:left="240" w:top="558" w:right="239" w:bottom="1440" w:gutter="0" w:footer="0" w:header="0"/>
        </w:sectPr>
      </w:pPr>
    </w:p>
    <w:bookmarkStart w:id="97" w:name="page98"/>
    <w:bookmarkEnd w:id="97"/>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otherwise assumed a Swingline Commitment after the Closing Date, the amount set forth for such Lender as its Swingline Commitment in the Register maintained by the Administrative Agent pursuant to </w:t>
      </w:r>
      <w:r>
        <w:rPr>
          <w:rFonts w:ascii="Times New Roman" w:cs="Times New Roman" w:eastAsia="Times New Roman" w:hAnsi="Times New Roman"/>
          <w:sz w:val="20"/>
          <w:szCs w:val="20"/>
          <w:b w:val="1"/>
          <w:bCs w:val="1"/>
          <w:i w:val="1"/>
          <w:iCs w:val="1"/>
          <w:color w:val="auto"/>
        </w:rPr>
        <w:t>Section 11.06(c)</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Lender</w:t>
      </w:r>
      <w:r>
        <w:rPr>
          <w:rFonts w:ascii="Times New Roman" w:cs="Times New Roman" w:eastAsia="Times New Roman" w:hAnsi="Times New Roman"/>
          <w:sz w:val="20"/>
          <w:szCs w:val="20"/>
          <w:color w:val="auto"/>
        </w:rPr>
        <w:t>” means Bank of America, in its capacity as provider of Swingline Loans, or any successor swingline lender hereunder.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 Notice</w:t>
      </w:r>
      <w:r>
        <w:rPr>
          <w:rFonts w:ascii="Times New Roman" w:cs="Times New Roman" w:eastAsia="Times New Roman" w:hAnsi="Times New Roman"/>
          <w:sz w:val="20"/>
          <w:szCs w:val="20"/>
          <w:color w:val="auto"/>
        </w:rPr>
        <w:t xml:space="preserve">” means a notice of a Swingline Borrowing pursuant to </w:t>
      </w:r>
      <w:r>
        <w:rPr>
          <w:rFonts w:ascii="Times New Roman" w:cs="Times New Roman" w:eastAsia="Times New Roman" w:hAnsi="Times New Roman"/>
          <w:sz w:val="20"/>
          <w:szCs w:val="20"/>
          <w:b w:val="1"/>
          <w:bCs w:val="1"/>
          <w:i w:val="1"/>
          <w:iCs w:val="1"/>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b w:val="1"/>
          <w:bCs w:val="1"/>
          <w:i w:val="1"/>
          <w:iCs w:val="1"/>
          <w:color w:val="auto"/>
        </w:rPr>
        <w:t>Exhibit J</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Sublimit</w:t>
      </w:r>
      <w:r>
        <w:rPr>
          <w:rFonts w:ascii="Times New Roman" w:cs="Times New Roman" w:eastAsia="Times New Roman" w:hAnsi="Times New Roman"/>
          <w:sz w:val="20"/>
          <w:szCs w:val="20"/>
          <w:color w:val="auto"/>
        </w:rPr>
        <w:t>” means an amount equal to the lesser of (a) $3,000,000 and (b) the Revolving Facility. The Swingline Sublimit is part of, and not in addition to, the Revolving Facility.</w:t>
      </w:r>
    </w:p>
    <w:p>
      <w:pPr>
        <w:spacing w:after="0" w:line="15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Synthetic Debt</w:t>
      </w:r>
      <w:r>
        <w:rPr>
          <w:rFonts w:ascii="Times New Roman" w:cs="Times New Roman" w:eastAsia="Times New Roman" w:hAnsi="Times New Roman"/>
          <w:sz w:val="19"/>
          <w:szCs w:val="19"/>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Times New Roman" w:cs="Times New Roman" w:eastAsia="Times New Roman" w:hAnsi="Times New Roman"/>
          <w:sz w:val="19"/>
          <w:szCs w:val="19"/>
          <w:i w:val="1"/>
          <w:iCs w:val="1"/>
          <w:color w:val="auto"/>
        </w:rPr>
        <w:t>Indebtedness</w:t>
      </w:r>
      <w:r>
        <w:rPr>
          <w:rFonts w:ascii="Times New Roman" w:cs="Times New Roman" w:eastAsia="Times New Roman" w:hAnsi="Times New Roman"/>
          <w:sz w:val="19"/>
          <w:szCs w:val="19"/>
          <w:color w:val="auto"/>
        </w:rPr>
        <w:t>” or as a liability on the Consolidated balance sheet of such Person and its Subsidiaries in accordance with GAAP.</w:t>
      </w:r>
    </w:p>
    <w:p>
      <w:pPr>
        <w:spacing w:after="0" w:line="1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Target</w:t>
      </w:r>
      <w:r>
        <w:rPr>
          <w:rFonts w:ascii="Times New Roman" w:cs="Times New Roman" w:eastAsia="Times New Roman" w:hAnsi="Times New Roman"/>
          <w:sz w:val="20"/>
          <w:szCs w:val="20"/>
          <w:color w:val="auto"/>
        </w:rPr>
        <w:t>” has the meaning set forth in the definition of “</w:t>
      </w:r>
      <w:r>
        <w:rPr>
          <w:rFonts w:ascii="Times New Roman" w:cs="Times New Roman" w:eastAsia="Times New Roman" w:hAnsi="Times New Roman"/>
          <w:sz w:val="20"/>
          <w:szCs w:val="20"/>
          <w:i w:val="1"/>
          <w:iCs w:val="1"/>
          <w:color w:val="auto"/>
        </w:rPr>
        <w:t>Permitted Acquisition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Threshold Amount</w:t>
      </w:r>
      <w:r>
        <w:rPr>
          <w:rFonts w:ascii="Times New Roman" w:cs="Times New Roman" w:eastAsia="Times New Roman" w:hAnsi="Times New Roman"/>
          <w:sz w:val="20"/>
          <w:szCs w:val="20"/>
          <w:color w:val="auto"/>
        </w:rPr>
        <w:t>” means $1,000,000.</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Credit Exposure</w:t>
      </w:r>
      <w:r>
        <w:rPr>
          <w:rFonts w:ascii="Times New Roman" w:cs="Times New Roman" w:eastAsia="Times New Roman" w:hAnsi="Times New Roman"/>
          <w:sz w:val="20"/>
          <w:szCs w:val="20"/>
          <w:color w:val="auto"/>
        </w:rPr>
        <w:t>” means, as to any Lender at any time, the unused Commitments and Revolving Exposure of such Lender at such time.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Exposure</w:t>
      </w:r>
      <w:r>
        <w:rPr>
          <w:rFonts w:ascii="Times New Roman" w:cs="Times New Roman" w:eastAsia="Times New Roman" w:hAnsi="Times New Roman"/>
          <w:sz w:val="20"/>
          <w:szCs w:val="20"/>
          <w:color w:val="auto"/>
        </w:rPr>
        <w:t>” means, as to any Lender at any time, the unused Commitments and Revolving Exposure of such Lender at such time.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Outstandings</w:t>
      </w:r>
      <w:r>
        <w:rPr>
          <w:rFonts w:ascii="Times New Roman" w:cs="Times New Roman" w:eastAsia="Times New Roman" w:hAnsi="Times New Roman"/>
          <w:sz w:val="20"/>
          <w:szCs w:val="20"/>
          <w:color w:val="auto"/>
        </w:rPr>
        <w:t>” means the aggregate Outstanding Amount of all Revolving Loans, Swingline Loans and L/C Obligations.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Type</w:t>
      </w:r>
      <w:r>
        <w:rPr>
          <w:rFonts w:ascii="Times New Roman" w:cs="Times New Roman" w:eastAsia="Times New Roman" w:hAnsi="Times New Roman"/>
          <w:sz w:val="20"/>
          <w:szCs w:val="20"/>
          <w:color w:val="auto"/>
        </w:rPr>
        <w:t>” means, with respect to a Loan, its character as a Base Rate Loan or a Eurocurrency Rate Loan.</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xml:space="preserve">” means the Uniform Commercial Code as in effect in the State of New York;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w:t>
      </w:r>
    </w:p>
    <w:p>
      <w:pPr>
        <w:sectPr>
          <w:pgSz w:w="11900" w:h="16838" w:orient="portrait"/>
          <w:cols w:equalWidth="0" w:num="1">
            <w:col w:w="11420"/>
          </w:cols>
          <w:pgMar w:left="240" w:top="562" w:right="239" w:bottom="1440" w:gutter="0" w:footer="0" w:header="0"/>
        </w:sectPr>
      </w:pPr>
    </w:p>
    <w:bookmarkStart w:id="98" w:name="page99"/>
    <w:bookmarkEnd w:id="98"/>
    <w:p>
      <w:pPr>
        <w:jc w:val="both"/>
        <w:spacing w:after="0" w:line="256" w:lineRule="auto"/>
        <w:rPr>
          <w:sz w:val="20"/>
          <w:szCs w:val="20"/>
          <w:color w:val="auto"/>
        </w:rPr>
      </w:pPr>
      <w:r>
        <w:rPr>
          <w:rFonts w:ascii="Times New Roman" w:cs="Times New Roman" w:eastAsia="Times New Roman" w:hAnsi="Times New Roman"/>
          <w:sz w:val="20"/>
          <w:szCs w:val="20"/>
          <w:color w:val="auto"/>
        </w:rPr>
        <w:t>is governed by the Uniform Commercial Code as in effect in a jurisdiction other than the State of New York,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UCP</w:t>
      </w:r>
      <w:r>
        <w:rPr>
          <w:rFonts w:ascii="Times New Roman" w:cs="Times New Roman" w:eastAsia="Times New Roman" w:hAnsi="Times New Roman"/>
          <w:sz w:val="20"/>
          <w:szCs w:val="20"/>
          <w:color w:val="auto"/>
        </w:rPr>
        <w:t>” means the Uniform Customs and Practice for Documentary Credits, International Chamber of Commerce Publication No. 600 (or such later version thereof as may be in effect at the applicable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2.03(f).</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Loan Party</w:t>
      </w:r>
      <w:r>
        <w:rPr>
          <w:rFonts w:ascii="Times New Roman" w:cs="Times New Roman" w:eastAsia="Times New Roman" w:hAnsi="Times New Roman"/>
          <w:sz w:val="20"/>
          <w:szCs w:val="20"/>
          <w:color w:val="auto"/>
        </w:rPr>
        <w:t>” means any Loan Party that is organized under the laws of the United States, any state thereof for the District of Columbia.</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means any Person that is a “</w:t>
      </w:r>
      <w:r>
        <w:rPr>
          <w:rFonts w:ascii="Times New Roman" w:cs="Times New Roman" w:eastAsia="Times New Roman" w:hAnsi="Times New Roman"/>
          <w:sz w:val="20"/>
          <w:szCs w:val="20"/>
          <w:i w:val="1"/>
          <w:iCs w:val="1"/>
          <w:color w:val="auto"/>
        </w:rPr>
        <w:t>United States Person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i w:val="1"/>
          <w:iCs w:val="1"/>
          <w:color w:val="auto"/>
        </w:rPr>
        <w:t>Section 7701(a)(30)</w:t>
      </w:r>
      <w:r>
        <w:rPr>
          <w:rFonts w:ascii="Times New Roman" w:cs="Times New Roman" w:eastAsia="Times New Roman" w:hAnsi="Times New Roman"/>
          <w:sz w:val="20"/>
          <w:szCs w:val="20"/>
          <w:color w:val="auto"/>
        </w:rPr>
        <w:t xml:space="preserve"> of the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3.01(f)(ii)(B)(3)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Voting Stock</w:t>
      </w:r>
      <w:r>
        <w:rPr>
          <w:rFonts w:ascii="Times New Roman" w:cs="Times New Roman" w:eastAsia="Times New Roman" w:hAnsi="Times New Roman"/>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Withholding Agent</w:t>
      </w:r>
      <w:r>
        <w:rPr>
          <w:rFonts w:ascii="Times New Roman" w:cs="Times New Roman" w:eastAsia="Times New Roman" w:hAnsi="Times New Roman"/>
          <w:sz w:val="20"/>
          <w:szCs w:val="20"/>
          <w:color w:val="auto"/>
        </w:rPr>
        <w:t>” means the Borrower and the Administrative Agent.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Write-Down and Conversion Powers</w:t>
      </w:r>
      <w:r>
        <w:rPr>
          <w:rFonts w:ascii="Times New Roman" w:cs="Times New Roman" w:eastAsia="Times New Roman" w:hAnsi="Times New Roman"/>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color w:val="auto"/>
        </w:rPr>
        <w:t>Other Interpretive Provisions</w:t>
      </w:r>
      <w:r>
        <w:rPr>
          <w:rFonts w:ascii="Times New Roman" w:cs="Times New Roman" w:eastAsia="Times New Roman" w:hAnsi="Times New Roman"/>
          <w:sz w:val="20"/>
          <w:szCs w:val="20"/>
          <w:color w:val="auto"/>
        </w:rPr>
        <w:t>. With reference to this Agreement and each other Loan Document, unless otherwise specified herein or in such other Loan Document:</w:t>
      </w:r>
    </w:p>
    <w:p>
      <w:pPr>
        <w:spacing w:after="0" w:line="156" w:lineRule="exact"/>
        <w:rPr>
          <w:sz w:val="20"/>
          <w:szCs w:val="20"/>
          <w:color w:val="auto"/>
        </w:rPr>
      </w:pPr>
    </w:p>
    <w:p>
      <w:pPr>
        <w:jc w:val="both"/>
        <w:ind w:left="660" w:firstLine="645"/>
        <w:spacing w:after="0" w:line="242" w:lineRule="auto"/>
        <w:tabs>
          <w:tab w:leader="none" w:pos="176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w:t>
      </w:r>
    </w:p>
    <w:p>
      <w:pPr>
        <w:sectPr>
          <w:pgSz w:w="11900" w:h="16838" w:orient="portrait"/>
          <w:cols w:equalWidth="0" w:num="1">
            <w:col w:w="11420"/>
          </w:cols>
          <w:pgMar w:left="240" w:top="558" w:right="239" w:bottom="1440" w:gutter="0" w:footer="0" w:header="0"/>
        </w:sectPr>
      </w:pPr>
    </w:p>
    <w:bookmarkStart w:id="99" w:name="page100"/>
    <w:bookmarkEnd w:id="99"/>
    <w:p>
      <w:pPr>
        <w:jc w:val="both"/>
        <w:spacing w:after="0" w:line="244" w:lineRule="auto"/>
        <w:rPr>
          <w:sz w:val="20"/>
          <w:szCs w:val="20"/>
          <w:color w:val="auto"/>
        </w:rPr>
      </w:pPr>
      <w:r>
        <w:rPr>
          <w:rFonts w:ascii="Times New Roman" w:cs="Times New Roman" w:eastAsia="Times New Roman" w:hAnsi="Times New Roman"/>
          <w:sz w:val="20"/>
          <w:szCs w:val="20"/>
          <w:color w:val="auto"/>
        </w:rPr>
        <w:t>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3" w:lineRule="exact"/>
        <w:rPr>
          <w:sz w:val="20"/>
          <w:szCs w:val="20"/>
          <w:color w:val="auto"/>
        </w:rPr>
      </w:pPr>
    </w:p>
    <w:p>
      <w:pPr>
        <w:ind w:firstLine="645"/>
        <w:spacing w:after="0" w:line="273" w:lineRule="auto"/>
        <w:tabs>
          <w:tab w:leader="none" w:pos="11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b w:val="1"/>
          <w:bCs w:val="1"/>
          <w:i w:val="1"/>
          <w:iCs w:val="1"/>
          <w:color w:val="auto"/>
        </w:rPr>
        <w:t>from</w:t>
      </w:r>
      <w:r>
        <w:rPr>
          <w:rFonts w:ascii="Times New Roman" w:cs="Times New Roman" w:eastAsia="Times New Roman" w:hAnsi="Times New Roman"/>
          <w:sz w:val="20"/>
          <w:szCs w:val="20"/>
          <w:color w:val="auto"/>
        </w:rPr>
        <w:t>” means “from and including;” the words “</w:t>
      </w:r>
      <w:r>
        <w:rPr>
          <w:rFonts w:ascii="Times New Roman" w:cs="Times New Roman" w:eastAsia="Times New Roman" w:hAnsi="Times New Roman"/>
          <w:sz w:val="20"/>
          <w:szCs w:val="20"/>
          <w:b w:val="1"/>
          <w:bCs w:val="1"/>
          <w:i w:val="1"/>
          <w:iCs w:val="1"/>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until</w:t>
      </w:r>
      <w:r>
        <w:rPr>
          <w:rFonts w:ascii="Times New Roman" w:cs="Times New Roman" w:eastAsia="Times New Roman" w:hAnsi="Times New Roman"/>
          <w:sz w:val="20"/>
          <w:szCs w:val="20"/>
          <w:color w:val="auto"/>
        </w:rPr>
        <w:t>” each mean “to but excluding;” and the word “</w:t>
      </w:r>
      <w:r>
        <w:rPr>
          <w:rFonts w:ascii="Times New Roman" w:cs="Times New Roman" w:eastAsia="Times New Roman" w:hAnsi="Times New Roman"/>
          <w:sz w:val="20"/>
          <w:szCs w:val="20"/>
          <w:b w:val="1"/>
          <w:bCs w:val="1"/>
          <w:i w:val="1"/>
          <w:iCs w:val="1"/>
          <w:color w:val="auto"/>
        </w:rPr>
        <w:t>through</w:t>
      </w:r>
      <w:r>
        <w:rPr>
          <w:rFonts w:ascii="Times New Roman" w:cs="Times New Roman" w:eastAsia="Times New Roman" w:hAnsi="Times New Roman"/>
          <w:sz w:val="20"/>
          <w:szCs w:val="20"/>
          <w:color w:val="auto"/>
        </w:rPr>
        <w:t>” means “to and including.”</w:t>
      </w:r>
    </w:p>
    <w:p>
      <w:pPr>
        <w:spacing w:after="0" w:line="156" w:lineRule="exact"/>
        <w:rPr>
          <w:rFonts w:ascii="Times New Roman" w:cs="Times New Roman" w:eastAsia="Times New Roman" w:hAnsi="Times New Roman"/>
          <w:sz w:val="20"/>
          <w:szCs w:val="20"/>
          <w:color w:val="auto"/>
        </w:rPr>
      </w:pPr>
    </w:p>
    <w:p>
      <w:pPr>
        <w:ind w:firstLine="645"/>
        <w:spacing w:after="0" w:line="269" w:lineRule="auto"/>
        <w:tabs>
          <w:tab w:leader="none" w:pos="110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firstLine="645"/>
        <w:spacing w:after="0" w:line="245" w:lineRule="auto"/>
        <w:tabs>
          <w:tab w:leader="none" w:pos="116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b w:val="1"/>
          <w:bCs w:val="1"/>
          <w:color w:val="auto"/>
        </w:rPr>
        <w:t>Accounting Terms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2" w:lineRule="auto"/>
        <w:tabs>
          <w:tab w:leader="none" w:pos="106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Borrower and its Subsidiaries shall be deemed to be carried at 100% of the outstanding principal amount thereof, and the effects of FASB ASC 825 on financial liabilities shall be disregarded and (ii)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w:t>
      </w:r>
      <w:r>
        <w:rPr>
          <w:rFonts w:ascii="Times New Roman" w:cs="Times New Roman" w:eastAsia="Times New Roman" w:hAnsi="Times New Roman"/>
          <w:sz w:val="20"/>
          <w:szCs w:val="20"/>
          <w:i w:val="1"/>
          <w:iCs w:val="1"/>
          <w:color w:val="auto"/>
        </w:rPr>
        <w:t>fair value</w:t>
      </w:r>
      <w:r>
        <w:rPr>
          <w:rFonts w:ascii="Times New Roman" w:cs="Times New Roman" w:eastAsia="Times New Roman" w:hAnsi="Times New Roman"/>
          <w:sz w:val="20"/>
          <w:szCs w:val="20"/>
          <w:color w:val="auto"/>
        </w:rPr>
        <w:t>”, as defined therein. For purposes of determining the amount of any outstanding Indebtedness, no effect shall be given to (x) any election by the Borrower to measure an item of Indebtedness using fair value (as permitted by Financial Accounting Standards Board Accounting Standards Codification 825-10-25 (formerly known as FASB 159) or any similar accounting standard) or (y) any change in accounting for leases pursuant to GAAP resulting from the implementation of Financial Accounting Standards Board ASU No. 2016-02, Leases (Topic 842), to the extent such adoption would require</w:t>
      </w:r>
    </w:p>
    <w:p>
      <w:pPr>
        <w:sectPr>
          <w:pgSz w:w="11900" w:h="16838" w:orient="portrait"/>
          <w:cols w:equalWidth="0" w:num="1">
            <w:col w:w="10760"/>
          </w:cols>
          <w:pgMar w:left="900" w:top="562" w:right="239" w:bottom="1440" w:gutter="0" w:footer="0" w:header="0"/>
        </w:sectPr>
      </w:pPr>
    </w:p>
    <w:bookmarkStart w:id="100" w:name="page101"/>
    <w:bookmarkEnd w:id="100"/>
    <w:p>
      <w:pPr>
        <w:ind w:left="660"/>
        <w:spacing w:after="0" w:line="269" w:lineRule="auto"/>
        <w:rPr>
          <w:sz w:val="20"/>
          <w:szCs w:val="20"/>
          <w:color w:val="auto"/>
        </w:rPr>
      </w:pPr>
      <w:r>
        <w:rPr>
          <w:rFonts w:ascii="Times New Roman" w:cs="Times New Roman" w:eastAsia="Times New Roman" w:hAnsi="Times New Roman"/>
          <w:sz w:val="20"/>
          <w:szCs w:val="20"/>
          <w:color w:val="auto"/>
        </w:rPr>
        <w:t>recognition of a lease liability where such lease (or similar arrangement) would not have required a lease liability under GAAP as in effect on December 31, 2015.</w:t>
      </w:r>
    </w:p>
    <w:p>
      <w:pPr>
        <w:spacing w:after="0" w:line="156" w:lineRule="exact"/>
        <w:rPr>
          <w:sz w:val="20"/>
          <w:szCs w:val="20"/>
          <w:color w:val="auto"/>
        </w:rPr>
      </w:pPr>
    </w:p>
    <w:p>
      <w:pPr>
        <w:jc w:val="both"/>
        <w:ind w:left="660" w:firstLine="645"/>
        <w:spacing w:after="0" w:line="257" w:lineRule="auto"/>
        <w:tabs>
          <w:tab w:leader="none" w:pos="1719"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Changes in GAAP</w:t>
      </w:r>
      <w:r>
        <w:rPr>
          <w:rFonts w:ascii="Times New Roman" w:cs="Times New Roman" w:eastAsia="Times New Roman" w:hAnsi="Times New Roman"/>
          <w:sz w:val="19"/>
          <w:szCs w:val="19"/>
          <w:color w:val="auto"/>
        </w:rPr>
        <w:t>. If at any time any change in GAAP (including the adoption of IFRS) would affect the computation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until so amended, (i) such ratio or requirement shall continue to be computed in accordance with GAAP prior to such change therein and</w:t>
      </w:r>
    </w:p>
    <w:p>
      <w:pPr>
        <w:spacing w:after="0" w:line="4" w:lineRule="exact"/>
        <w:rPr>
          <w:rFonts w:ascii="Times New Roman" w:cs="Times New Roman" w:eastAsia="Times New Roman" w:hAnsi="Times New Roman"/>
          <w:sz w:val="19"/>
          <w:szCs w:val="19"/>
          <w:color w:val="auto"/>
        </w:rPr>
      </w:pPr>
    </w:p>
    <w:p>
      <w:pPr>
        <w:jc w:val="both"/>
        <w:ind w:left="660" w:hanging="4"/>
        <w:spacing w:after="0" w:line="242" w:lineRule="auto"/>
        <w:tabs>
          <w:tab w:leader="none" w:pos="96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3"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7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 Forma Treatment</w:t>
      </w:r>
      <w:r>
        <w:rPr>
          <w:rFonts w:ascii="Times New Roman" w:cs="Times New Roman" w:eastAsia="Times New Roman" w:hAnsi="Times New Roman"/>
          <w:sz w:val="20"/>
          <w:szCs w:val="20"/>
          <w:color w:val="auto"/>
        </w:rPr>
        <w:t>. Each Disposition of all or substantially all of a line of business, and each Acquisition,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and its Subsidiaries that is consummated during any Measurement Period shall, for purposes of determining compliance with the financial covenants set forth in </w:t>
      </w:r>
      <w:r>
        <w:rPr>
          <w:rFonts w:ascii="Times New Roman" w:cs="Times New Roman" w:eastAsia="Times New Roman" w:hAnsi="Times New Roman"/>
          <w:sz w:val="20"/>
          <w:szCs w:val="20"/>
          <w:b w:val="1"/>
          <w:bCs w:val="1"/>
          <w:i w:val="1"/>
          <w:iCs w:val="1"/>
          <w:color w:val="auto"/>
        </w:rPr>
        <w:t>Section 7.11</w:t>
      </w:r>
      <w:r>
        <w:rPr>
          <w:rFonts w:ascii="Times New Roman" w:cs="Times New Roman" w:eastAsia="Times New Roman" w:hAnsi="Times New Roman"/>
          <w:sz w:val="20"/>
          <w:szCs w:val="20"/>
          <w:color w:val="auto"/>
        </w:rPr>
        <w:t xml:space="preserve"> and for purposes of determining the Applicable Rate, be given Pro Forma Effect as of the first day of such Measurement Period.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b w:val="1"/>
          <w:bCs w:val="1"/>
          <w:color w:val="auto"/>
        </w:rPr>
        <w:t>Rounding</w:t>
      </w:r>
      <w:r>
        <w:rPr>
          <w:rFonts w:ascii="Times New Roman" w:cs="Times New Roman" w:eastAsia="Times New Roman" w:hAnsi="Times New Roman"/>
          <w:sz w:val="20"/>
          <w:szCs w:val="20"/>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Central time (daylight or standard, as applicable).</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b w:val="1"/>
          <w:bCs w:val="1"/>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b w:val="1"/>
          <w:bCs w:val="1"/>
          <w:color w:val="auto"/>
        </w:rPr>
        <w:t>UCC Terms</w:t>
      </w:r>
      <w:r>
        <w:rPr>
          <w:rFonts w:ascii="Times New Roman" w:cs="Times New Roman" w:eastAsia="Times New Roman" w:hAnsi="Times New Roman"/>
          <w:sz w:val="20"/>
          <w:szCs w:val="20"/>
          <w:color w:val="auto"/>
        </w:rPr>
        <w:t>. Terms defined in the UCC in effect on the Closing Date and not otherwise defined herein shall, unless the context otherwise indicates, have the meanings provided by those definitions. Subject to the foregoing, the term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refers, as of any date of determination, to the UCC then in effect.</w:t>
      </w:r>
    </w:p>
    <w:p>
      <w:pPr>
        <w:spacing w:after="0" w:line="16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b w:val="1"/>
          <w:bCs w:val="1"/>
          <w:color w:val="auto"/>
        </w:rPr>
        <w:t>Exchange Rates; Currency Equivalents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47" w:lineRule="auto"/>
        <w:tabs>
          <w:tab w:leader="none" w:pos="18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w:t>
      </w:r>
    </w:p>
    <w:p>
      <w:pPr>
        <w:sectPr>
          <w:pgSz w:w="11900" w:h="16838" w:orient="portrait"/>
          <w:cols w:equalWidth="0" w:num="1">
            <w:col w:w="11420"/>
          </w:cols>
          <w:pgMar w:left="240" w:top="562" w:right="239" w:bottom="1440" w:gutter="0" w:footer="0" w:header="0"/>
        </w:sectPr>
      </w:pPr>
    </w:p>
    <w:bookmarkStart w:id="101" w:name="page102"/>
    <w:bookmarkEnd w:id="101"/>
    <w:p>
      <w:pPr>
        <w:ind w:right="20"/>
        <w:spacing w:after="0" w:line="269" w:lineRule="auto"/>
        <w:rPr>
          <w:sz w:val="20"/>
          <w:szCs w:val="20"/>
          <w:color w:val="auto"/>
        </w:rPr>
      </w:pPr>
      <w:r>
        <w:rPr>
          <w:rFonts w:ascii="Times New Roman" w:cs="Times New Roman" w:eastAsia="Times New Roman" w:hAnsi="Times New Roman"/>
          <w:sz w:val="20"/>
          <w:szCs w:val="20"/>
          <w:color w:val="auto"/>
        </w:rPr>
        <w:t>(other than Dollars) for purposes of the Loan Documents shall be such Dollar Equivalent amount as so determined by the Administrative Agent or the L/C Issuer, as applicable.</w:t>
      </w:r>
    </w:p>
    <w:p>
      <w:pPr>
        <w:spacing w:after="0" w:line="160" w:lineRule="exact"/>
        <w:rPr>
          <w:sz w:val="20"/>
          <w:szCs w:val="20"/>
          <w:color w:val="auto"/>
        </w:rPr>
      </w:pPr>
    </w:p>
    <w:p>
      <w:pPr>
        <w:jc w:val="both"/>
        <w:ind w:firstLine="645"/>
        <w:spacing w:after="0" w:line="245" w:lineRule="auto"/>
        <w:tabs>
          <w:tab w:leader="none" w:pos="108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85" w:lineRule="exact"/>
        <w:rPr>
          <w:rFonts w:ascii="Times New Roman" w:cs="Times New Roman" w:eastAsia="Times New Roman" w:hAnsi="Times New Roman"/>
          <w:sz w:val="20"/>
          <w:szCs w:val="20"/>
          <w:color w:val="auto"/>
        </w:rPr>
      </w:pPr>
    </w:p>
    <w:p>
      <w:pPr>
        <w:jc w:val="both"/>
        <w:ind w:firstLine="645"/>
        <w:spacing w:after="0" w:line="249" w:lineRule="auto"/>
        <w:tabs>
          <w:tab w:leader="none" w:pos="117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the rates in the definition of “</w:t>
      </w:r>
      <w:r>
        <w:rPr>
          <w:rFonts w:ascii="Times New Roman" w:cs="Times New Roman" w:eastAsia="Times New Roman" w:hAnsi="Times New Roman"/>
          <w:sz w:val="20"/>
          <w:szCs w:val="20"/>
          <w:i w:val="1"/>
          <w:iCs w:val="1"/>
          <w:color w:val="auto"/>
        </w:rPr>
        <w:t>Eurocurrency Rate</w:t>
      </w:r>
      <w:r>
        <w:rPr>
          <w:rFonts w:ascii="Times New Roman" w:cs="Times New Roman" w:eastAsia="Times New Roman" w:hAnsi="Times New Roman"/>
          <w:sz w:val="20"/>
          <w:szCs w:val="20"/>
          <w:color w:val="auto"/>
        </w:rPr>
        <w:t>” or with respect to any rate that is an alternative or replacement for or successor to any of such rates (including, without limitation, any LIBOR Successor Rate) or the effect of any of the foregoing, or of any LIBOR Successor Rate Conforming Changes.</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b w:val="1"/>
          <w:bCs w:val="1"/>
          <w:color w:val="auto"/>
        </w:rPr>
        <w:t>Additional Alternative Currencies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5"/>
        <w:spacing w:after="0" w:line="244" w:lineRule="auto"/>
        <w:tabs>
          <w:tab w:leader="none" w:pos="106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from time to time request that Eurocurrency Rate Loans be made and/or Letters of Credit be issued in a currency other than those specifically listed in the definition of “</w:t>
      </w:r>
      <w:r>
        <w:rPr>
          <w:rFonts w:ascii="Times New Roman" w:cs="Times New Roman" w:eastAsia="Times New Roman" w:hAnsi="Times New Roman"/>
          <w:sz w:val="20"/>
          <w:szCs w:val="20"/>
          <w:i w:val="1"/>
          <w:iCs w:val="1"/>
          <w:color w:val="auto"/>
        </w:rPr>
        <w:t>Alternative 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requested currency is an Eligible Currency and (ii) such requested currency shall only be treated as a “LIBOR Quoted Currency” to the extent that there is published LIBOR rate for such currency. In the case of any such request with respect to the making of Eurocurrency Rate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L/C Issuer.</w:t>
      </w:r>
    </w:p>
    <w:p>
      <w:pPr>
        <w:spacing w:after="0" w:line="186" w:lineRule="exact"/>
        <w:rPr>
          <w:rFonts w:ascii="Times New Roman" w:cs="Times New Roman" w:eastAsia="Times New Roman" w:hAnsi="Times New Roman"/>
          <w:sz w:val="20"/>
          <w:szCs w:val="20"/>
          <w:color w:val="auto"/>
        </w:rPr>
      </w:pPr>
    </w:p>
    <w:p>
      <w:pPr>
        <w:jc w:val="both"/>
        <w:ind w:firstLine="645"/>
        <w:spacing w:after="0" w:line="243" w:lineRule="auto"/>
        <w:tabs>
          <w:tab w:leader="none" w:pos="107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Appropriate Lender thereof; and in the case of any such request pertaining to Letters of Credit, the Administrative Agent shall promptly notify the L/C Issuer thereof. Each Appropriate Lender (in the case of any such request pertaining to Eurocurrency Rate Loans) or the L/C Issuer (in the case of a request pertaining to Letters of Credit) shall notify the Administrative Agent, not later than 11:00 a.m., 10 Business Days after receipt of such request whether it consents, in its sole discretion, to the making of Eurocurrency Rate Loans or the issuance of Letters of Credit, as the case may be, in such requested currency.</w:t>
      </w:r>
    </w:p>
    <w:p>
      <w:pPr>
        <w:spacing w:after="0" w:line="186" w:lineRule="exact"/>
        <w:rPr>
          <w:rFonts w:ascii="Times New Roman" w:cs="Times New Roman" w:eastAsia="Times New Roman" w:hAnsi="Times New Roman"/>
          <w:sz w:val="20"/>
          <w:szCs w:val="20"/>
          <w:color w:val="auto"/>
        </w:rPr>
      </w:pPr>
    </w:p>
    <w:p>
      <w:pPr>
        <w:jc w:val="both"/>
        <w:ind w:firstLine="645"/>
        <w:spacing w:after="0" w:line="245" w:lineRule="auto"/>
        <w:tabs>
          <w:tab w:leader="none" w:pos="106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 currency. If the Administrative Agent and all the Appropriate Lenders consent to making Eurocurrency Rate Loans in such requested currency and the Administrative Agent and such Lenders reasonably determine that an appropriate interest rate is available to be used for such requested currency, the Administrative Agent shall so notify the</w:t>
      </w:r>
    </w:p>
    <w:p>
      <w:pPr>
        <w:sectPr>
          <w:pgSz w:w="11900" w:h="16838" w:orient="portrait"/>
          <w:cols w:equalWidth="0" w:num="1">
            <w:col w:w="10760"/>
          </w:cols>
          <w:pgMar w:left="900" w:top="562" w:right="239" w:bottom="1440" w:gutter="0" w:footer="0" w:header="0"/>
        </w:sectPr>
      </w:pPr>
    </w:p>
    <w:bookmarkStart w:id="102" w:name="page103"/>
    <w:bookmarkEnd w:id="102"/>
    <w:p>
      <w:pPr>
        <w:jc w:val="both"/>
        <w:ind w:left="652"/>
        <w:spacing w:after="0" w:line="255" w:lineRule="auto"/>
        <w:rPr>
          <w:sz w:val="20"/>
          <w:szCs w:val="20"/>
          <w:color w:val="auto"/>
        </w:rPr>
      </w:pPr>
      <w:r>
        <w:rPr>
          <w:rFonts w:ascii="Times New Roman" w:cs="Times New Roman" w:eastAsia="Times New Roman" w:hAnsi="Times New Roman"/>
          <w:sz w:val="19"/>
          <w:szCs w:val="19"/>
          <w:color w:val="auto"/>
        </w:rPr>
        <w:t xml:space="preserve">Borrower and (i) the Administrative Agent and such Lenders may amend the definition of Eurocurrency Rate for any Non-LIBOR Quoted Currency to the extent necessary to add the applicable Eurocurrency Rate for such currency and (ii) to the extent the definition of Eurocurrency Rate reflects the appropriate interest rate for such currency or has been amended to reflect the appropriate rate for such currency, such currency shall thereupon be deemed for all purposes to be an Alternative Currency for purposes of any Borrowings of Eurocurrency Rate Loans. If the Administrative Agent and the L/C Issuer consent to the issuance of Letters of Credit in such requested currency, the Administrative Agent shall so notify the Borrower and (iii) the Administrative Agent and the L/C Issuer may amend the definition of Eurocurrency Rate for any Non-LIBOR Quoted Currency to the extent necessary to add the applicable Eurocurrency Rate for such currency and (iv) to the extent the definition of Eurocurrency Rate reflects the appropriate interest rate for such currency or has been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w:t>
      </w:r>
      <w:r>
        <w:rPr>
          <w:rFonts w:ascii="Times New Roman" w:cs="Times New Roman" w:eastAsia="Times New Roman" w:hAnsi="Times New Roman"/>
          <w:sz w:val="19"/>
          <w:szCs w:val="19"/>
          <w:b w:val="1"/>
          <w:bCs w:val="1"/>
          <w:i w:val="1"/>
          <w:iCs w:val="1"/>
          <w:color w:val="auto"/>
        </w:rPr>
        <w:t>Section 1.09</w:t>
      </w:r>
      <w:r>
        <w:rPr>
          <w:rFonts w:ascii="Times New Roman" w:cs="Times New Roman" w:eastAsia="Times New Roman" w:hAnsi="Times New Roman"/>
          <w:sz w:val="19"/>
          <w:szCs w:val="19"/>
          <w:color w:val="auto"/>
        </w:rPr>
        <w:t>, the Administrative Agent shall promptly so notify the Borrower. Any specified currency of an Existing Letter of Credit that is neither Dollars nor one of the Alternative Currencies specifically listed in the definition of “</w:t>
      </w:r>
      <w:r>
        <w:rPr>
          <w:rFonts w:ascii="Times New Roman" w:cs="Times New Roman" w:eastAsia="Times New Roman" w:hAnsi="Times New Roman"/>
          <w:sz w:val="19"/>
          <w:szCs w:val="19"/>
          <w:i w:val="1"/>
          <w:iCs w:val="1"/>
          <w:color w:val="auto"/>
        </w:rPr>
        <w:t>Alternative Currency</w:t>
      </w:r>
      <w:r>
        <w:rPr>
          <w:rFonts w:ascii="Times New Roman" w:cs="Times New Roman" w:eastAsia="Times New Roman" w:hAnsi="Times New Roman"/>
          <w:sz w:val="19"/>
          <w:szCs w:val="19"/>
          <w:color w:val="auto"/>
        </w:rPr>
        <w:t>” shall be deemed an Alternative Currency with respect to such Existing Letter of Credit only.</w:t>
      </w:r>
    </w:p>
    <w:p>
      <w:pPr>
        <w:spacing w:after="0" w:line="179" w:lineRule="exact"/>
        <w:rPr>
          <w:sz w:val="20"/>
          <w:szCs w:val="20"/>
          <w:color w:val="auto"/>
        </w:rPr>
      </w:pPr>
    </w:p>
    <w:p>
      <w:pPr>
        <w:ind w:left="652"/>
        <w:spacing w:after="0"/>
        <w:tabs>
          <w:tab w:leader="none" w:pos="1152"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b w:val="1"/>
          <w:bCs w:val="1"/>
          <w:color w:val="auto"/>
        </w:rPr>
        <w:t>Change of Currency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52" w:firstLine="645"/>
        <w:spacing w:after="0" w:line="243" w:lineRule="auto"/>
        <w:tabs>
          <w:tab w:leader="none" w:pos="17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9" w:lineRule="exact"/>
        <w:rPr>
          <w:rFonts w:ascii="Times New Roman" w:cs="Times New Roman" w:eastAsia="Times New Roman" w:hAnsi="Times New Roman"/>
          <w:sz w:val="20"/>
          <w:szCs w:val="20"/>
          <w:color w:val="auto"/>
        </w:rPr>
      </w:pPr>
    </w:p>
    <w:p>
      <w:pPr>
        <w:jc w:val="both"/>
        <w:ind w:left="652" w:firstLine="645"/>
        <w:spacing w:after="0" w:line="254" w:lineRule="auto"/>
        <w:tabs>
          <w:tab w:leader="none" w:pos="171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4" w:lineRule="exact"/>
        <w:rPr>
          <w:rFonts w:ascii="Times New Roman" w:cs="Times New Roman" w:eastAsia="Times New Roman" w:hAnsi="Times New Roman"/>
          <w:sz w:val="20"/>
          <w:szCs w:val="20"/>
          <w:color w:val="auto"/>
        </w:rPr>
      </w:pPr>
    </w:p>
    <w:p>
      <w:pPr>
        <w:jc w:val="both"/>
        <w:ind w:left="652" w:firstLine="645"/>
        <w:spacing w:after="0" w:line="254" w:lineRule="auto"/>
        <w:tabs>
          <w:tab w:leader="none" w:pos="174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1" w:lineRule="exact"/>
        <w:rPr>
          <w:sz w:val="20"/>
          <w:szCs w:val="20"/>
          <w:color w:val="auto"/>
        </w:rPr>
      </w:pPr>
    </w:p>
    <w:p>
      <w:pPr>
        <w:ind w:left="652" w:right="6800" w:hanging="652"/>
        <w:spacing w:after="0" w:line="465" w:lineRule="auto"/>
        <w:tabs>
          <w:tab w:leader="none" w:pos="36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COMMITMENTS AND CREDIT EXTENSIONS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2.01 </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w:t>
      </w:r>
    </w:p>
    <w:p>
      <w:pPr>
        <w:jc w:val="both"/>
        <w:ind w:left="652"/>
        <w:spacing w:after="0" w:line="256" w:lineRule="auto"/>
        <w:rPr>
          <w:sz w:val="20"/>
          <w:szCs w:val="20"/>
          <w:color w:val="auto"/>
        </w:rPr>
      </w:pPr>
      <w:r>
        <w:rPr>
          <w:rFonts w:ascii="Times New Roman" w:cs="Times New Roman" w:eastAsia="Times New Roman" w:hAnsi="Times New Roman"/>
          <w:sz w:val="20"/>
          <w:szCs w:val="20"/>
          <w:color w:val="auto"/>
        </w:rPr>
        <w:t>Subject to the terms and conditions set forth herein, each Lender severally agrees to make loans (each such loan, a “</w:t>
      </w:r>
      <w:r>
        <w:rPr>
          <w:rFonts w:ascii="Times New Roman" w:cs="Times New Roman" w:eastAsia="Times New Roman" w:hAnsi="Times New Roman"/>
          <w:sz w:val="20"/>
          <w:szCs w:val="20"/>
          <w:b w:val="1"/>
          <w:bCs w:val="1"/>
          <w:i w:val="1"/>
          <w:iCs w:val="1"/>
          <w:color w:val="auto"/>
        </w:rPr>
        <w:t>Revolving Loan</w:t>
      </w:r>
      <w:r>
        <w:rPr>
          <w:rFonts w:ascii="Times New Roman" w:cs="Times New Roman" w:eastAsia="Times New Roman" w:hAnsi="Times New Roman"/>
          <w:sz w:val="20"/>
          <w:szCs w:val="20"/>
          <w:color w:val="auto"/>
        </w:rPr>
        <w:t>”) to the Borrower, in Dollars or in one or more Alternative Currencies, from time to time, on any Business Day during the Availability Period, in an aggregate amount not to exceed at any time outstanding the amount of such Lender’s Revolving Commitment;</w:t>
      </w:r>
    </w:p>
    <w:p>
      <w:pPr>
        <w:sectPr>
          <w:pgSz w:w="11900" w:h="16838" w:orient="portrait"/>
          <w:cols w:equalWidth="0" w:num="1">
            <w:col w:w="11412"/>
          </w:cols>
          <w:pgMar w:left="248" w:top="562" w:right="239" w:bottom="1440" w:gutter="0" w:footer="0" w:header="0"/>
        </w:sectPr>
      </w:pPr>
    </w:p>
    <w:bookmarkStart w:id="103" w:name="page104"/>
    <w:bookmarkEnd w:id="103"/>
    <w:p>
      <w:pPr>
        <w:jc w:val="both"/>
        <w:ind w:left="4"/>
        <w:spacing w:after="0" w:line="245"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after giving effect to any Revolving Borrowing, (i) the Total Revolving Outstandings shall not exceed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Revolving Facility, and (ii) the Revolving Exposure of any Lender shall not exceed such Lender’s Revolving Commitment. Within the limits of each Lender’s Revolving Commitment, and subject to the other terms and conditions hereof, the Borrower may borrow Revolving Loans, prepay under </w:t>
      </w:r>
      <w:r>
        <w:rPr>
          <w:rFonts w:ascii="Times New Roman" w:cs="Times New Roman" w:eastAsia="Times New Roman" w:hAnsi="Times New Roman"/>
          <w:sz w:val="20"/>
          <w:szCs w:val="20"/>
          <w:b w:val="1"/>
          <w:bCs w:val="1"/>
          <w:i w:val="1"/>
          <w:iCs w:val="1"/>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b w:val="1"/>
          <w:bCs w:val="1"/>
          <w:i w:val="1"/>
          <w:iCs w:val="1"/>
          <w:color w:val="auto"/>
        </w:rPr>
        <w:t>Section 2.01</w:t>
      </w:r>
      <w:r>
        <w:rPr>
          <w:rFonts w:ascii="Times New Roman" w:cs="Times New Roman" w:eastAsia="Times New Roman" w:hAnsi="Times New Roman"/>
          <w:sz w:val="20"/>
          <w:szCs w:val="20"/>
          <w:color w:val="auto"/>
        </w:rPr>
        <w:t xml:space="preserve">. Revolving Loans may be Base Rate Loans or Eurocurrency Rate Loans, as further provided 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any Revolving Borrowings made on the Closing Date or any of the three Business Days following the Closing Date shall be made as Base Rate Loans unless the Borrower delivers a Funding Indemnity Letter not less than three Business Days prior to the date of such Revolving Borrowing.</w:t>
      </w:r>
    </w:p>
    <w:p>
      <w:pPr>
        <w:spacing w:after="0" w:line="180" w:lineRule="exact"/>
        <w:rPr>
          <w:sz w:val="20"/>
          <w:szCs w:val="20"/>
          <w:color w:val="auto"/>
        </w:rPr>
      </w:pPr>
    </w:p>
    <w:p>
      <w:pPr>
        <w:ind w:left="4"/>
        <w:spacing w:after="0"/>
        <w:tabs>
          <w:tab w:leader="none" w:pos="503"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b w:val="1"/>
          <w:bCs w:val="1"/>
          <w:color w:val="auto"/>
        </w:rPr>
        <w:t>Borrowings, Conversions and Continuations of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4" w:firstLine="645"/>
        <w:spacing w:after="0" w:line="253" w:lineRule="auto"/>
        <w:tabs>
          <w:tab w:leader="none" w:pos="109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Borrowing</w:t>
      </w:r>
      <w:r>
        <w:rPr>
          <w:rFonts w:ascii="Times New Roman" w:cs="Times New Roman" w:eastAsia="Times New Roman" w:hAnsi="Times New Roman"/>
          <w:sz w:val="20"/>
          <w:szCs w:val="20"/>
          <w:color w:val="auto"/>
        </w:rPr>
        <w:t>. Each Borrowing, each conversion of Loans from one Type to the other, and each continuation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Eurocurrency Rate Loans shall be made upon the Borrower’s irrevocable notice to the Administrative Agent, which may be given by:</w:t>
      </w:r>
    </w:p>
    <w:p>
      <w:pPr>
        <w:jc w:val="both"/>
        <w:ind w:left="4" w:hanging="4"/>
        <w:spacing w:after="0" w:line="252" w:lineRule="auto"/>
        <w:tabs>
          <w:tab w:leader="none" w:pos="302"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telephone or (ii) a Loan Notice;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telephonic notice must be confirmed immediately by delivery to the Administrative Agent of a Loan Notice. Each such Loan Notice must be received by the Administrative Agent not later than 11:00 a.m.</w:t>
      </w:r>
    </w:p>
    <w:p>
      <w:pPr>
        <w:jc w:val="both"/>
        <w:ind w:left="4"/>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(A) three Business Days prior to the requested date of any Borrowing of, conversion to or continuation of Eurocurrency Rate Loans denominated in Dollars or of any conversion of Eurocurrency Rate Loans denominated in Dollars to Base Rate Loans, (B) four Business Days (or five Business Days in the case of a Special Notice Currency) prior to the requested date of any Borrowing or continuation of Eurocurrency Rate Loans denominated in Alternative Currencies, and (C) on the requested date of any Borrowing of Base Rate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Borrower wishes to request Eurocurrency Rate Loans having an Interest Period other than one, two, three or six months in duration as provided in the definition of “</w:t>
      </w:r>
      <w:r>
        <w:rPr>
          <w:rFonts w:ascii="Times New Roman" w:cs="Times New Roman" w:eastAsia="Times New Roman" w:hAnsi="Times New Roman"/>
          <w:sz w:val="20"/>
          <w:szCs w:val="20"/>
          <w:i w:val="1"/>
          <w:iCs w:val="1"/>
          <w:color w:val="auto"/>
        </w:rPr>
        <w:t>Interest Period</w:t>
      </w:r>
      <w:r>
        <w:rPr>
          <w:rFonts w:ascii="Times New Roman" w:cs="Times New Roman" w:eastAsia="Times New Roman" w:hAnsi="Times New Roman"/>
          <w:sz w:val="20"/>
          <w:szCs w:val="20"/>
          <w:color w:val="auto"/>
        </w:rPr>
        <w:t xml:space="preserve">”, the applicable notice must be received by the Administrative Agent not later than 11:00 a.m. (x) four Business Days prior to the requested date of such Borrowing, conversion or continuation of Eurocurrency Rate Loans denominated in Dollars, or (y) five Business Days (or six Business Days in the case of a Special Notice Currency) prior to the requested date of the Borrower, conversion or continuation of Eurocurrency Rate Loans denominated in Alternative Currencies, whereupon the Administrative Agent shall give prompt notice to the Appropriate Lenders of such request and determine whether the requested Interest Period is acceptable to all of them. Not later than 11:00 a.m., (1) three Business Days before the requested date of such Borrowing, conversion or continuation of Eurocurrency Rate Loans denominated in Dollars, or (2) four Business Days (or five Business Days in the case of a Special Notice Currency) prior to the requested date of such Borrower, conversion or continuation of Eurocurrency Rate Loans denominated in Alternative Currencies, the Administrative Agent shall notify the Borrower (which notice may be by telephone) whether or not the requested Interest Period has been consented to by all the Lenders. Each Borrowing of, conversion to or continuation of Eurocurrency Rate Loans shall be in a principal amount of the Dollar Equivalent of $500,000 or a whole multiple of the Dollar Equivalent of $100,000 in excess thereof. Except as provided in </w:t>
      </w:r>
      <w:r>
        <w:rPr>
          <w:rFonts w:ascii="Times New Roman" w:cs="Times New Roman" w:eastAsia="Times New Roman" w:hAnsi="Times New Roman"/>
          <w:sz w:val="20"/>
          <w:szCs w:val="20"/>
          <w:b w:val="1"/>
          <w:bCs w:val="1"/>
          <w:i w:val="1"/>
          <w:iCs w:val="1"/>
          <w:color w:val="auto"/>
        </w:rPr>
        <w:t xml:space="preserve">Sections 2.03(c)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2.04(c)</w:t>
      </w:r>
      <w:r>
        <w:rPr>
          <w:rFonts w:ascii="Times New Roman" w:cs="Times New Roman" w:eastAsia="Times New Roman" w:hAnsi="Times New Roman"/>
          <w:sz w:val="20"/>
          <w:szCs w:val="20"/>
          <w:color w:val="auto"/>
        </w:rPr>
        <w:t>, each Borrowing of or conversion to Base Rate Loans shall be in a principal amount of the Dollar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Equivalent of $500,000 or a whole multiple of the Dollar Equivalent of $100,000 in excess thereof. Each Loan Notice and each telephonic notice shall specify (I) the Revolving Facility and whether the Borrower is requesting a Borrowing, a conversion of Loans from one Type to the other, or a continuation of Loans, as the case may be, under the Revolving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w:t>
      </w:r>
    </w:p>
    <w:p>
      <w:pPr>
        <w:sectPr>
          <w:pgSz w:w="11900" w:h="16838" w:orient="portrait"/>
          <w:cols w:equalWidth="0" w:num="1">
            <w:col w:w="10764"/>
          </w:cols>
          <w:pgMar w:left="896" w:top="558" w:right="239" w:bottom="1440" w:gutter="0" w:footer="0" w:header="0"/>
        </w:sectPr>
      </w:pPr>
    </w:p>
    <w:bookmarkStart w:id="104" w:name="page105"/>
    <w:bookmarkEnd w:id="104"/>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and (VI) the currency of the Loans to be borrowed. If the Borrower fails to specify a currency in a Loan Notice requesting a Borrowing, then the Loans so requested shall be made in Dollars. If the Borrower fails to specify a Type of Loan in a Loan Notice or if the Borrower fails to give a timely notice requesting a conversion or continuation, then the applicable Loans shall be made as, or converted to, Base Rate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in the case of a failure to timely request a continuation of Loans denominated in an Alternative Currency,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Loans. If the Borrower requests a Borrowing of, conversion to, or continuation of Eurocurrency Rate Loans in any such Loan Notice, but fails to specify an Interest Period, it will be deemed to have specified an Interest Period of one month. Notwithstanding anything to the contrary herein, a Swingline Loan may not be converted to a Eurocurrency Rate Loan. Except as provided pursuant to </w:t>
      </w:r>
      <w:r>
        <w:rPr>
          <w:rFonts w:ascii="Times New Roman" w:cs="Times New Roman" w:eastAsia="Times New Roman" w:hAnsi="Times New Roman"/>
          <w:sz w:val="19"/>
          <w:szCs w:val="19"/>
          <w:b w:val="1"/>
          <w:bCs w:val="1"/>
          <w:i w:val="1"/>
          <w:iCs w:val="1"/>
          <w:color w:val="auto"/>
        </w:rPr>
        <w:t>Section 2.12(a)</w:t>
      </w:r>
      <w:r>
        <w:rPr>
          <w:rFonts w:ascii="Times New Roman" w:cs="Times New Roman" w:eastAsia="Times New Roman" w:hAnsi="Times New Roman"/>
          <w:sz w:val="19"/>
          <w:szCs w:val="19"/>
          <w:color w:val="auto"/>
        </w:rPr>
        <w:t>, no Loan may be converted into or continued as a Loan denominated in a different currency, but instead must be repaid in the original currency of such Loan and reborrowed in the other currency.</w:t>
      </w:r>
    </w:p>
    <w:p>
      <w:pPr>
        <w:spacing w:after="0" w:line="174" w:lineRule="exact"/>
        <w:rPr>
          <w:sz w:val="20"/>
          <w:szCs w:val="20"/>
          <w:color w:val="auto"/>
        </w:rPr>
      </w:pPr>
    </w:p>
    <w:p>
      <w:pPr>
        <w:jc w:val="both"/>
        <w:ind w:firstLine="645"/>
        <w:spacing w:after="0" w:line="241" w:lineRule="auto"/>
        <w:tabs>
          <w:tab w:leader="none" w:pos="107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Advances</w:t>
      </w:r>
      <w:r>
        <w:rPr>
          <w:rFonts w:ascii="Times New Roman" w:cs="Times New Roman" w:eastAsia="Times New Roman" w:hAnsi="Times New Roman"/>
          <w:sz w:val="20"/>
          <w:szCs w:val="20"/>
          <w:color w:val="auto"/>
        </w:rPr>
        <w:t>. Following receipt of a Loan Notice for the Revolving Facility, the Administrative Agent shall promptly notify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each Appropriate Lender of the amount (and currency) of its Applicable Percentage under the Revolving Facility of the applicable Loans, and if no timely notice of a conversion or continuation is provided by the Borrower, the Administrative Agent shall notify each Appropriate Lender of the details of any automatic conversion to Base Rate Loans or continuation of Loans denominated in a currency other than Dollars, in each case as described in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In the case of a Borrowing, each Appropriate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b w:val="1"/>
          <w:bCs w:val="1"/>
          <w:i w:val="1"/>
          <w:iCs w:val="1"/>
          <w:color w:val="auto"/>
        </w:rPr>
        <w:t>Section 4.01</w:t>
      </w:r>
      <w:r>
        <w:rPr>
          <w:rFonts w:ascii="Times New Roman" w:cs="Times New Roman" w:eastAsia="Times New Roman" w:hAnsi="Times New Roman"/>
          <w:sz w:val="20"/>
          <w:szCs w:val="20"/>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on the date a Loan Notice with respect to a Revolving Borrowing denominated in Dollars is given by the Borrower, there are L/C Borrowings outstanding, then the proceeds of such Revolving Borrowing,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shall be made available to the Borrower as provided above.</w:t>
      </w:r>
    </w:p>
    <w:p>
      <w:pPr>
        <w:spacing w:after="0" w:line="194" w:lineRule="exact"/>
        <w:rPr>
          <w:rFonts w:ascii="Times New Roman" w:cs="Times New Roman" w:eastAsia="Times New Roman" w:hAnsi="Times New Roman"/>
          <w:sz w:val="20"/>
          <w:szCs w:val="20"/>
          <w:color w:val="auto"/>
        </w:rPr>
      </w:pPr>
    </w:p>
    <w:p>
      <w:pPr>
        <w:jc w:val="both"/>
        <w:ind w:firstLine="645"/>
        <w:spacing w:after="0" w:line="245" w:lineRule="auto"/>
        <w:tabs>
          <w:tab w:leader="none" w:pos="118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Eurocurrency Rate Loans</w:t>
      </w:r>
      <w:r>
        <w:rPr>
          <w:rFonts w:ascii="Times New Roman" w:cs="Times New Roman" w:eastAsia="Times New Roman" w:hAnsi="Times New Roman"/>
          <w:sz w:val="20"/>
          <w:szCs w:val="20"/>
          <w:color w:val="auto"/>
        </w:rPr>
        <w:t>. Except as otherwise provided herein, a Eurocurrency Rate Loan may be continued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converted only on the last day of an Interest Period for such Eurocurrency Rate Loan. During the existence of a Default, no Loans may be requested as, converted to or continued as Eurocurrency Rate Loans without the consent of the Required Lenders, and the Required Lenders may demand that any or all of the outstanding Eurocurrency Rate Loans denominated in Dollars be converted immediately to Base Rate Loans and any or all of the then outstanding Eurocurrency Rate Loans denominated in an Alternative Currency be prepaid, or redenominated into Dollars in the amount of the Dollar Equivalent thereof, on the last day of the then current Interest Period with respect thereto.</w:t>
      </w:r>
    </w:p>
    <w:p>
      <w:pPr>
        <w:sectPr>
          <w:pgSz w:w="11900" w:h="16838" w:orient="portrait"/>
          <w:cols w:equalWidth="0" w:num="1">
            <w:col w:w="10760"/>
          </w:cols>
          <w:pgMar w:left="900" w:top="562" w:right="239" w:bottom="1440" w:gutter="0" w:footer="0" w:header="0"/>
        </w:sectPr>
      </w:pPr>
    </w:p>
    <w:bookmarkStart w:id="105" w:name="page106"/>
    <w:bookmarkEnd w:id="105"/>
    <w:p>
      <w:pPr>
        <w:ind w:firstLine="645"/>
        <w:spacing w:after="0" w:line="273" w:lineRule="auto"/>
        <w:tabs>
          <w:tab w:leader="none" w:pos="115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Interest Rates. </w:t>
      </w:r>
      <w:r>
        <w:rPr>
          <w:rFonts w:ascii="Times New Roman" w:cs="Times New Roman" w:eastAsia="Times New Roman" w:hAnsi="Times New Roman"/>
          <w:sz w:val="20"/>
          <w:szCs w:val="20"/>
          <w:color w:val="auto"/>
        </w:rPr>
        <w:t>Each determination of an interest rate by the Administrative Agent pursuant to any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be conclusive and binding on the Borrower and the Lenders in the absence of manifest error.</w:t>
      </w:r>
    </w:p>
    <w:p>
      <w:pPr>
        <w:spacing w:after="0" w:line="152" w:lineRule="exact"/>
        <w:rPr>
          <w:rFonts w:ascii="Times New Roman" w:cs="Times New Roman" w:eastAsia="Times New Roman" w:hAnsi="Times New Roman"/>
          <w:sz w:val="20"/>
          <w:szCs w:val="20"/>
          <w:color w:val="auto"/>
        </w:rPr>
      </w:pPr>
    </w:p>
    <w:p>
      <w:pPr>
        <w:jc w:val="both"/>
        <w:ind w:firstLine="645"/>
        <w:spacing w:after="0" w:line="256" w:lineRule="auto"/>
        <w:tabs>
          <w:tab w:leader="none" w:pos="107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Periods</w:t>
      </w:r>
      <w:r>
        <w:rPr>
          <w:rFonts w:ascii="Times New Roman" w:cs="Times New Roman" w:eastAsia="Times New Roman" w:hAnsi="Times New Roman"/>
          <w:sz w:val="20"/>
          <w:szCs w:val="20"/>
          <w:color w:val="auto"/>
        </w:rPr>
        <w:t>. After giving effect to all Revolving Borrowings, all conversions of Revolving Loans from one Type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other, and all continuations of Revolving Loans as the same Type, there shall not be more than five (5) Interest Periods in effect in respect of the Revolving Facility.</w:t>
      </w:r>
    </w:p>
    <w:p>
      <w:pPr>
        <w:spacing w:after="0" w:line="168" w:lineRule="exact"/>
        <w:rPr>
          <w:rFonts w:ascii="Times New Roman" w:cs="Times New Roman" w:eastAsia="Times New Roman" w:hAnsi="Times New Roman"/>
          <w:sz w:val="20"/>
          <w:szCs w:val="20"/>
          <w:color w:val="auto"/>
        </w:rPr>
      </w:pPr>
    </w:p>
    <w:p>
      <w:pPr>
        <w:jc w:val="both"/>
        <w:ind w:firstLine="645"/>
        <w:spacing w:after="0" w:line="250" w:lineRule="auto"/>
        <w:tabs>
          <w:tab w:leader="none" w:pos="121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Cashless Settlement Mechanism</w:t>
      </w:r>
      <w:r>
        <w:rPr>
          <w:rFonts w:ascii="Times New Roman" w:cs="Times New Roman" w:eastAsia="Times New Roman" w:hAnsi="Times New Roman"/>
          <w:sz w:val="20"/>
          <w:szCs w:val="20"/>
          <w:color w:val="auto"/>
        </w:rPr>
        <w:t>. Notwithstanding anything to the contrary in this Agreement, any Lender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b w:val="1"/>
          <w:bCs w:val="1"/>
          <w:color w:val="auto"/>
        </w:rPr>
        <w:t>Letters of Credit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6" w:lineRule="auto"/>
        <w:tabs>
          <w:tab w:leader="none" w:pos="117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Letter of Credit Commitment</w:t>
      </w:r>
      <w:r>
        <w:rPr>
          <w:rFonts w:ascii="Times New Roman" w:cs="Times New Roman" w:eastAsia="Times New Roman" w:hAnsi="Times New Roman"/>
          <w:sz w:val="20"/>
          <w:szCs w:val="20"/>
          <w:color w:val="auto"/>
        </w:rPr>
        <w:t>. Subject to the terms and conditions set forth herein, in addition to the Loans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provided for in </w:t>
      </w:r>
      <w:r>
        <w:rPr>
          <w:rFonts w:ascii="Times New Roman" w:cs="Times New Roman" w:eastAsia="Times New Roman" w:hAnsi="Times New Roman"/>
          <w:sz w:val="20"/>
          <w:szCs w:val="20"/>
          <w:b w:val="1"/>
          <w:bCs w:val="1"/>
          <w:i w:val="1"/>
          <w:iCs w:val="1"/>
          <w:color w:val="auto"/>
        </w:rPr>
        <w:t>Section 2.01</w:t>
      </w:r>
      <w:r>
        <w:rPr>
          <w:rFonts w:ascii="Times New Roman" w:cs="Times New Roman" w:eastAsia="Times New Roman" w:hAnsi="Times New Roman"/>
          <w:sz w:val="20"/>
          <w:szCs w:val="20"/>
          <w:color w:val="auto"/>
        </w:rPr>
        <w:t xml:space="preserve">, the Borrower may request that the L/C Issuer, in reliance on the agreements of the Lenders set forth in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issue, at any time and from time to time during the Availability Period, Letters of Credit denominated in Dollars or in one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more Alternative Currencies for its own account or the account of any of its Subsidiaries in such form as is acceptable to the Administrative Agent and the L/C Issuer in its reasonable determination. Letters of Credit issued hereunder shall constitute utilization of the Revolving Commitments.</w:t>
      </w:r>
    </w:p>
    <w:p>
      <w:pPr>
        <w:spacing w:after="0" w:line="179"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Issuance, Amendment, Extension, Reinstatement or Renewal</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41" w:lineRule="auto"/>
        <w:tabs>
          <w:tab w:leader="none" w:pos="165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20"/>
          <w:szCs w:val="20"/>
          <w:b w:val="1"/>
          <w:bCs w:val="1"/>
          <w:i w:val="1"/>
          <w:iCs w:val="1"/>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w:t>
      </w:r>
    </w:p>
    <w:p>
      <w:pPr>
        <w:sectPr>
          <w:pgSz w:w="11900" w:h="16838" w:orient="portrait"/>
          <w:cols w:equalWidth="0" w:num="1">
            <w:col w:w="10760"/>
          </w:cols>
          <w:pgMar w:left="900" w:top="558" w:right="239" w:bottom="1440" w:gutter="0" w:footer="0" w:header="0"/>
        </w:sectPr>
      </w:pPr>
    </w:p>
    <w:bookmarkStart w:id="106" w:name="page107"/>
    <w:bookmarkEnd w:id="106"/>
    <w:p>
      <w:pPr>
        <w:ind w:left="100"/>
        <w:spacing w:after="0"/>
        <w:rPr>
          <w:sz w:val="20"/>
          <w:szCs w:val="20"/>
          <w:color w:val="auto"/>
        </w:rPr>
      </w:pPr>
      <w:r>
        <w:rPr>
          <w:rFonts w:ascii="Times New Roman" w:cs="Times New Roman" w:eastAsia="Times New Roman" w:hAnsi="Times New Roman"/>
          <w:sz w:val="20"/>
          <w:szCs w:val="20"/>
          <w:color w:val="auto"/>
        </w:rPr>
        <w:t>L/C Issuer relating to any Letter of Credit, the terms and conditions of this Agreement shall control.</w:t>
      </w:r>
    </w:p>
    <w:p>
      <w:pPr>
        <w:spacing w:after="0" w:line="216" w:lineRule="exact"/>
        <w:rPr>
          <w:sz w:val="20"/>
          <w:szCs w:val="20"/>
          <w:color w:val="auto"/>
        </w:rPr>
      </w:pPr>
    </w:p>
    <w:p>
      <w:pPr>
        <w:jc w:val="both"/>
        <w:ind w:left="100" w:firstLine="653"/>
        <w:spacing w:after="0" w:line="253" w:lineRule="auto"/>
        <w:tabs>
          <w:tab w:leader="none" w:pos="121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cs="Times New Roman" w:eastAsia="Times New Roman" w:hAnsi="Times New Roman"/>
          <w:sz w:val="19"/>
          <w:szCs w:val="19"/>
          <w:b w:val="1"/>
          <w:bCs w:val="1"/>
          <w:i w:val="1"/>
          <w:iCs w:val="1"/>
          <w:color w:val="auto"/>
        </w:rPr>
        <w:t>Auto-Extension Letter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b w:val="1"/>
          <w:bCs w:val="1"/>
          <w:i w:val="1"/>
          <w:iCs w:val="1"/>
          <w:color w:val="auto"/>
        </w:rPr>
        <w:t>Non-Extension Notice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 in each such twelve-month period to be agreed upon by the Borrower and the L/C Issuer at the time such Letter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expiration date not later than the date permitted pursuant to </w:t>
      </w:r>
      <w:r>
        <w:rPr>
          <w:rFonts w:ascii="Times New Roman" w:cs="Times New Roman" w:eastAsia="Times New Roman" w:hAnsi="Times New Roman"/>
          <w:sz w:val="19"/>
          <w:szCs w:val="19"/>
          <w:b w:val="1"/>
          <w:bCs w:val="1"/>
          <w:i w:val="1"/>
          <w:iCs w:val="1"/>
          <w:color w:val="auto"/>
        </w:rPr>
        <w:t>Section 2.03(d)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L/C Issuer shall not (A) permit any such extension if (1) the L/C Issuer has determined that it would not be permitted, or would have no obligation, at such time to issue such Letter of Credit in its extended form under the terms hereof (except that the expiration date may be extended to a date that is no more than one year from the then-current expiration date) or (2) it has received notice (which may be in writing or by telephone (if promptly confirmed in writing)) on or before the day that is seven Business Days before the Non-Extension Notice Date from the Administrative Agent that the Required Lenders have elected not to permit such extension or</w:t>
      </w:r>
    </w:p>
    <w:p>
      <w:pPr>
        <w:spacing w:after="0" w:line="11" w:lineRule="exact"/>
        <w:rPr>
          <w:rFonts w:ascii="Times New Roman" w:cs="Times New Roman" w:eastAsia="Times New Roman" w:hAnsi="Times New Roman"/>
          <w:sz w:val="19"/>
          <w:szCs w:val="19"/>
          <w:color w:val="auto"/>
        </w:rPr>
      </w:pPr>
    </w:p>
    <w:p>
      <w:pPr>
        <w:jc w:val="both"/>
        <w:ind w:left="100" w:firstLine="5"/>
        <w:spacing w:after="0" w:line="241" w:lineRule="auto"/>
        <w:tabs>
          <w:tab w:leader="none" w:pos="44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 obligated to permit such extension if it has received notice (which may be in writing or by telephone (if promptly confirmed in writing)) on or before the day that is seven Business Days before the Non-Extension Notice Date from the Administrative Agent, any Lender or the Borrower that one or more of the applicable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is not then satisfied, and in each such case directing the L/C Issuer not to permit such extension.</w:t>
      </w:r>
    </w:p>
    <w:p>
      <w:pPr>
        <w:spacing w:after="0" w:line="185" w:lineRule="exact"/>
        <w:rPr>
          <w:sz w:val="20"/>
          <w:szCs w:val="20"/>
          <w:color w:val="auto"/>
        </w:rPr>
      </w:pPr>
    </w:p>
    <w:p>
      <w:pPr>
        <w:jc w:val="both"/>
        <w:ind w:left="-540" w:firstLine="645"/>
        <w:spacing w:after="0" w:line="246" w:lineRule="auto"/>
        <w:tabs>
          <w:tab w:leader="none" w:pos="53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Limitations on Amounts, Issuance and Amendment</w:t>
      </w:r>
      <w:r>
        <w:rPr>
          <w:rFonts w:ascii="Times New Roman" w:cs="Times New Roman" w:eastAsia="Times New Roman" w:hAnsi="Times New Roman"/>
          <w:sz w:val="20"/>
          <w:szCs w:val="20"/>
          <w:color w:val="auto"/>
        </w:rPr>
        <w:t>. A Letter of Credit shall be issued, amended, extended, reinstated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L/C Sublimit, (y) the Revolving Exposure of any Lender shall not exceed its Revolving Commitment and (z) the Total Revolving Exposure shall not exceed the total Revolving Commitments.</w:t>
      </w:r>
    </w:p>
    <w:p>
      <w:pPr>
        <w:spacing w:after="0" w:line="183" w:lineRule="exact"/>
        <w:rPr>
          <w:rFonts w:ascii="Times New Roman" w:cs="Times New Roman" w:eastAsia="Times New Roman" w:hAnsi="Times New Roman"/>
          <w:sz w:val="20"/>
          <w:szCs w:val="20"/>
          <w:color w:val="auto"/>
        </w:rPr>
      </w:pPr>
    </w:p>
    <w:p>
      <w:pPr>
        <w:ind w:left="1120" w:hanging="367"/>
        <w:spacing w:after="0"/>
        <w:tabs>
          <w:tab w:leader="none" w:pos="112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760" w:firstLine="641"/>
        <w:spacing w:after="0" w:line="247" w:lineRule="auto"/>
        <w:tabs>
          <w:tab w:leader="none" w:pos="1904"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w:t>
      </w:r>
    </w:p>
    <w:p>
      <w:pPr>
        <w:sectPr>
          <w:pgSz w:w="11900" w:h="16838" w:orient="portrait"/>
          <w:cols w:equalWidth="0" w:num="1">
            <w:col w:w="10220"/>
          </w:cols>
          <w:pgMar w:left="1440" w:top="562" w:right="239" w:bottom="1440" w:gutter="0" w:footer="0" w:header="0"/>
        </w:sectPr>
      </w:pPr>
    </w:p>
    <w:bookmarkStart w:id="107" w:name="page108"/>
    <w:bookmarkEnd w:id="107"/>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75" w:lineRule="exact"/>
        <w:rPr>
          <w:sz w:val="20"/>
          <w:szCs w:val="20"/>
          <w:color w:val="auto"/>
        </w:rPr>
      </w:pPr>
    </w:p>
    <w:p>
      <w:pPr>
        <w:ind w:left="760" w:firstLine="641"/>
        <w:spacing w:after="0" w:line="269" w:lineRule="auto"/>
        <w:tabs>
          <w:tab w:leader="none" w:pos="1893"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760" w:firstLine="641"/>
        <w:spacing w:after="0" w:line="269" w:lineRule="auto"/>
        <w:tabs>
          <w:tab w:leader="none" w:pos="1879"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$50,000;</w:t>
      </w:r>
    </w:p>
    <w:p>
      <w:pPr>
        <w:spacing w:after="0" w:line="159" w:lineRule="exact"/>
        <w:rPr>
          <w:rFonts w:ascii="Times New Roman" w:cs="Times New Roman" w:eastAsia="Times New Roman" w:hAnsi="Times New Roman"/>
          <w:sz w:val="20"/>
          <w:szCs w:val="20"/>
          <w:color w:val="auto"/>
        </w:rPr>
      </w:pPr>
    </w:p>
    <w:p>
      <w:pPr>
        <w:ind w:left="760" w:right="20" w:firstLine="641"/>
        <w:spacing w:after="0" w:line="269" w:lineRule="auto"/>
        <w:tabs>
          <w:tab w:leader="none" w:pos="189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to be denominated in a currency other than Dollars or an Alternative Currency;</w:t>
      </w:r>
    </w:p>
    <w:p>
      <w:pPr>
        <w:spacing w:after="0" w:line="159" w:lineRule="exact"/>
        <w:rPr>
          <w:rFonts w:ascii="Times New Roman" w:cs="Times New Roman" w:eastAsia="Times New Roman" w:hAnsi="Times New Roman"/>
          <w:sz w:val="20"/>
          <w:szCs w:val="20"/>
          <w:color w:val="auto"/>
        </w:rPr>
      </w:pPr>
    </w:p>
    <w:p>
      <w:pPr>
        <w:jc w:val="both"/>
        <w:ind w:left="760" w:firstLine="641"/>
        <w:spacing w:after="0" w:line="245" w:lineRule="auto"/>
        <w:tabs>
          <w:tab w:leader="none" w:pos="1935"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20"/>
          <w:szCs w:val="20"/>
          <w:b w:val="1"/>
          <w:bCs w:val="1"/>
          <w:i w:val="1"/>
          <w:iCs w:val="1"/>
          <w:color w:val="auto"/>
        </w:rPr>
        <w:t>Section 2.15(a)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(iv)</w:t>
      </w:r>
      <w:r>
        <w:rPr>
          <w:rFonts w:ascii="Times New Roman" w:cs="Times New Roman" w:eastAsia="Times New Roman" w:hAnsi="Times New Roman"/>
          <w:sz w:val="20"/>
          <w:szCs w:val="20"/>
          <w:color w:val="auto"/>
        </w:rPr>
        <w:t>) with respect to the Defaulting Lender arising from either the Letter of Credit then proposed to be issued or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Letter of Credit and all other L/C Obligations as to which the L/C Issuer has actual or potential Fronting Exposure, as it may elect in its sole discretion</w:t>
      </w:r>
      <w:r>
        <w:rPr>
          <w:rFonts w:ascii="Times New Roman" w:cs="Times New Roman" w:eastAsia="Times New Roman" w:hAnsi="Times New Roman"/>
          <w:sz w:val="20"/>
          <w:szCs w:val="20"/>
          <w:b w:val="1"/>
          <w:bCs w:val="1"/>
          <w:color w:val="auto"/>
        </w:rPr>
        <w:t>;</w:t>
      </w:r>
    </w:p>
    <w:p>
      <w:pPr>
        <w:spacing w:after="0" w:line="185" w:lineRule="exact"/>
        <w:rPr>
          <w:rFonts w:ascii="Times New Roman" w:cs="Times New Roman" w:eastAsia="Times New Roman" w:hAnsi="Times New Roman"/>
          <w:sz w:val="20"/>
          <w:szCs w:val="20"/>
          <w:color w:val="auto"/>
        </w:rPr>
      </w:pPr>
    </w:p>
    <w:p>
      <w:pPr>
        <w:ind w:left="760" w:right="20" w:firstLine="641"/>
        <w:spacing w:after="0" w:line="269" w:lineRule="auto"/>
        <w:tabs>
          <w:tab w:leader="none" w:pos="1898"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 or</w:t>
      </w:r>
    </w:p>
    <w:p>
      <w:pPr>
        <w:spacing w:after="0" w:line="159" w:lineRule="exact"/>
        <w:rPr>
          <w:rFonts w:ascii="Times New Roman" w:cs="Times New Roman" w:eastAsia="Times New Roman" w:hAnsi="Times New Roman"/>
          <w:sz w:val="20"/>
          <w:szCs w:val="20"/>
          <w:color w:val="auto"/>
        </w:rPr>
      </w:pPr>
    </w:p>
    <w:p>
      <w:pPr>
        <w:ind w:left="760" w:firstLine="641"/>
        <w:spacing w:after="0" w:line="269" w:lineRule="auto"/>
        <w:tabs>
          <w:tab w:leader="none" w:pos="1876"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does not as of the issuance date of the requested Letter of Credit issue Letters of Credit in the requested currency.</w:t>
      </w:r>
    </w:p>
    <w:p>
      <w:pPr>
        <w:spacing w:after="0" w:line="159" w:lineRule="exact"/>
        <w:rPr>
          <w:rFonts w:ascii="Times New Roman" w:cs="Times New Roman" w:eastAsia="Times New Roman" w:hAnsi="Times New Roman"/>
          <w:sz w:val="20"/>
          <w:szCs w:val="20"/>
          <w:color w:val="auto"/>
        </w:rPr>
      </w:pPr>
    </w:p>
    <w:p>
      <w:pPr>
        <w:jc w:val="both"/>
        <w:ind w:left="100" w:firstLine="653"/>
        <w:spacing w:after="0" w:line="254" w:lineRule="auto"/>
        <w:tabs>
          <w:tab w:leader="none" w:pos="121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70" w:lineRule="exact"/>
        <w:rPr>
          <w:rFonts w:ascii="Times New Roman" w:cs="Times New Roman" w:eastAsia="Times New Roman" w:hAnsi="Times New Roman"/>
          <w:sz w:val="20"/>
          <w:szCs w:val="20"/>
          <w:color w:val="auto"/>
        </w:rPr>
      </w:pPr>
    </w:p>
    <w:p>
      <w:pPr>
        <w:jc w:val="both"/>
        <w:ind w:left="-540" w:right="20" w:firstLine="645"/>
        <w:spacing w:after="0" w:line="256" w:lineRule="auto"/>
        <w:tabs>
          <w:tab w:leader="none" w:pos="54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Each Letter of Credit shall have a stated expiration date no later than the date 60 months after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issuance of such Letter of Credit (or, in the case of any extension of the expiration date thereof, whether automatic or by amendment, 12 months after the then current expiration date of such Letter of Credit).</w:t>
      </w:r>
    </w:p>
    <w:p>
      <w:pPr>
        <w:spacing w:after="0" w:line="168" w:lineRule="exact"/>
        <w:rPr>
          <w:rFonts w:ascii="Times New Roman" w:cs="Times New Roman" w:eastAsia="Times New Roman" w:hAnsi="Times New Roman"/>
          <w:sz w:val="20"/>
          <w:szCs w:val="20"/>
          <w:color w:val="auto"/>
        </w:rPr>
      </w:pPr>
    </w:p>
    <w:p>
      <w:pPr>
        <w:ind w:left="500" w:hanging="395"/>
        <w:spacing w:after="0"/>
        <w:tabs>
          <w:tab w:leader="none" w:pos="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00" w:firstLine="653"/>
        <w:spacing w:after="0" w:line="245" w:lineRule="auto"/>
        <w:tabs>
          <w:tab w:leader="none" w:pos="115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issuance of a Letter of Credit (or an amendment to a Letter of Credit increasing the amount or extending the expiration date thereof), and without any further action on the part of the L/C Issuer or the Lenders, the L/C Issuer hereby grants to each Lender, and each Lender hereby acquires from the L/C Issuer, a participation in such Letter of Credit equal to such Lender’s Applicable Percentage of the aggregate amount available to be drawn under such Letter of Credit. Each Lender acknowledges and agrees that its obligation to acquire participations pursuant to this </w:t>
      </w:r>
      <w:r>
        <w:rPr>
          <w:rFonts w:ascii="Times New Roman" w:cs="Times New Roman" w:eastAsia="Times New Roman" w:hAnsi="Times New Roman"/>
          <w:sz w:val="20"/>
          <w:szCs w:val="20"/>
          <w:b w:val="1"/>
          <w:bCs w:val="1"/>
          <w:i w:val="1"/>
          <w:iCs w:val="1"/>
          <w:color w:val="auto"/>
        </w:rPr>
        <w:t>clause (e)</w:t>
      </w:r>
      <w:r>
        <w:rPr>
          <w:rFonts w:ascii="Times New Roman" w:cs="Times New Roman" w:eastAsia="Times New Roman" w:hAnsi="Times New Roman"/>
          <w:sz w:val="20"/>
          <w:szCs w:val="20"/>
          <w:color w:val="auto"/>
        </w:rPr>
        <w:t xml:space="preserve"> in respect of Letters of Credit is absolute, unconditional and irrevocable and shall not be affected by any circumstance</w:t>
      </w:r>
    </w:p>
    <w:p>
      <w:pPr>
        <w:sectPr>
          <w:pgSz w:w="11900" w:h="16838" w:orient="portrait"/>
          <w:cols w:equalWidth="0" w:num="1">
            <w:col w:w="10220"/>
          </w:cols>
          <w:pgMar w:left="1440" w:top="562" w:right="239" w:bottom="1440" w:gutter="0" w:footer="0" w:header="0"/>
        </w:sectPr>
      </w:pPr>
    </w:p>
    <w:bookmarkStart w:id="108" w:name="page109"/>
    <w:bookmarkEnd w:id="108"/>
    <w:p>
      <w:pPr>
        <w:ind w:left="100" w:right="20"/>
        <w:spacing w:after="0" w:line="269" w:lineRule="auto"/>
        <w:rPr>
          <w:sz w:val="20"/>
          <w:szCs w:val="20"/>
          <w:color w:val="auto"/>
        </w:rPr>
      </w:pPr>
      <w:r>
        <w:rPr>
          <w:rFonts w:ascii="Times New Roman" w:cs="Times New Roman" w:eastAsia="Times New Roman" w:hAnsi="Times New Roman"/>
          <w:sz w:val="20"/>
          <w:szCs w:val="20"/>
          <w:color w:val="auto"/>
        </w:rPr>
        <w:t>whatsoever, including any amendment, extension, reinstatement or renewal of any Letter of Credit or the occurrence and continuance of a Default or reduction or termination of the Revolving Commitments.</w:t>
      </w:r>
    </w:p>
    <w:p>
      <w:pPr>
        <w:spacing w:after="0" w:line="160" w:lineRule="exact"/>
        <w:rPr>
          <w:sz w:val="20"/>
          <w:szCs w:val="20"/>
          <w:color w:val="auto"/>
        </w:rPr>
      </w:pPr>
    </w:p>
    <w:p>
      <w:pPr>
        <w:jc w:val="both"/>
        <w:ind w:left="100" w:firstLine="653"/>
        <w:spacing w:after="0" w:line="241" w:lineRule="auto"/>
        <w:tabs>
          <w:tab w:leader="none" w:pos="1345"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consideration and in furtherance of the foregoing, each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Lenders pursuant to </w:t>
      </w:r>
      <w:r>
        <w:rPr>
          <w:rFonts w:ascii="Times New Roman" w:cs="Times New Roman" w:eastAsia="Times New Roman" w:hAnsi="Times New Roman"/>
          <w:sz w:val="20"/>
          <w:szCs w:val="20"/>
          <w:b w:val="1"/>
          <w:bCs w:val="1"/>
          <w:i w:val="1"/>
          <w:iCs w:val="1"/>
          <w:color w:val="auto"/>
        </w:rPr>
        <w:t>Section 2.03(f)</w:t>
      </w:r>
      <w:r>
        <w:rPr>
          <w:rFonts w:ascii="Times New Roman" w:cs="Times New Roman" w:eastAsia="Times New Roman" w:hAnsi="Times New Roman"/>
          <w:sz w:val="20"/>
          <w:szCs w:val="20"/>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with respect to Loans made by such Lender (and </w:t>
      </w:r>
      <w:r>
        <w:rPr>
          <w:rFonts w:ascii="Times New Roman" w:cs="Times New Roman" w:eastAsia="Times New Roman" w:hAnsi="Times New Roman"/>
          <w:sz w:val="20"/>
          <w:szCs w:val="20"/>
          <w:b w:val="1"/>
          <w:bCs w:val="1"/>
          <w:i w:val="1"/>
          <w:iCs w:val="1"/>
          <w:color w:val="auto"/>
        </w:rPr>
        <w:t xml:space="preserve">Section 2.02 </w:t>
      </w:r>
      <w:r>
        <w:rPr>
          <w:rFonts w:ascii="Times New Roman" w:cs="Times New Roman" w:eastAsia="Times New Roman" w:hAnsi="Times New Roman"/>
          <w:sz w:val="20"/>
          <w:szCs w:val="20"/>
          <w:color w:val="auto"/>
        </w:rPr>
        <w:t>shall apply,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payment obligations of the Lenders pursuant to this</w:t>
      </w:r>
      <w:r>
        <w:rPr>
          <w:rFonts w:ascii="Times New Roman" w:cs="Times New Roman" w:eastAsia="Times New Roman" w:hAnsi="Times New Roman"/>
          <w:sz w:val="20"/>
          <w:szCs w:val="20"/>
          <w:b w:val="1"/>
          <w:bCs w:val="1"/>
          <w:i w:val="1"/>
          <w:iCs w:val="1"/>
          <w:color w:val="auto"/>
        </w:rPr>
        <w:t xml:space="preserve"> Section 2.03</w:t>
      </w:r>
      <w:r>
        <w:rPr>
          <w:rFonts w:ascii="Times New Roman" w:cs="Times New Roman" w:eastAsia="Times New Roman" w:hAnsi="Times New Roman"/>
          <w:sz w:val="20"/>
          <w:szCs w:val="20"/>
          <w:color w:val="auto"/>
        </w:rPr>
        <w:t>), 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Administrative Agent shall 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20"/>
          <w:szCs w:val="20"/>
          <w:b w:val="1"/>
          <w:bCs w:val="1"/>
          <w:i w:val="1"/>
          <w:iCs w:val="1"/>
          <w:color w:val="auto"/>
        </w:rPr>
        <w:t>Section 2.03(f)</w:t>
      </w:r>
      <w:r>
        <w:rPr>
          <w:rFonts w:ascii="Times New Roman" w:cs="Times New Roman" w:eastAsia="Times New Roman" w:hAnsi="Times New Roman"/>
          <w:sz w:val="20"/>
          <w:szCs w:val="20"/>
          <w:color w:val="auto"/>
        </w:rPr>
        <w:t xml:space="preserve">, the Administrative Agent shall distribute such payment to the L/C Issuer or, to the extent that the Lenders have made payments pursuant to this </w:t>
      </w:r>
      <w:r>
        <w:rPr>
          <w:rFonts w:ascii="Times New Roman" w:cs="Times New Roman" w:eastAsia="Times New Roman" w:hAnsi="Times New Roman"/>
          <w:sz w:val="20"/>
          <w:szCs w:val="20"/>
          <w:b w:val="1"/>
          <w:bCs w:val="1"/>
          <w:i w:val="1"/>
          <w:iCs w:val="1"/>
          <w:color w:val="auto"/>
        </w:rPr>
        <w:t>clause (e)</w:t>
      </w:r>
      <w:r>
        <w:rPr>
          <w:rFonts w:ascii="Times New Roman" w:cs="Times New Roman" w:eastAsia="Times New Roman" w:hAnsi="Times New Roman"/>
          <w:sz w:val="20"/>
          <w:szCs w:val="20"/>
          <w:color w:val="auto"/>
        </w:rPr>
        <w:t xml:space="preserve"> to reimburse the L/C Issuer, then to such Lenders and the L/C Issuer as their interests may appear. Any payment made by a Lender pursuant to this </w:t>
      </w:r>
      <w:r>
        <w:rPr>
          <w:rFonts w:ascii="Times New Roman" w:cs="Times New Roman" w:eastAsia="Times New Roman" w:hAnsi="Times New Roman"/>
          <w:sz w:val="20"/>
          <w:szCs w:val="20"/>
          <w:b w:val="1"/>
          <w:bCs w:val="1"/>
          <w:i w:val="1"/>
          <w:iCs w:val="1"/>
          <w:color w:val="auto"/>
        </w:rPr>
        <w:t>clause (e)</w:t>
      </w:r>
      <w:r>
        <w:rPr>
          <w:rFonts w:ascii="Times New Roman" w:cs="Times New Roman" w:eastAsia="Times New Roman" w:hAnsi="Times New Roman"/>
          <w:sz w:val="20"/>
          <w:szCs w:val="20"/>
          <w:color w:val="auto"/>
        </w:rPr>
        <w:t xml:space="preserve"> to reimburse the L/C Issuer for any L/C Disbursement shall not constitute a Loan and shall not relieve the Borrower of its obligation to reimburse such L/C Disbursement.</w:t>
      </w:r>
    </w:p>
    <w:p>
      <w:pPr>
        <w:spacing w:after="0" w:line="197" w:lineRule="exact"/>
        <w:rPr>
          <w:rFonts w:ascii="Times New Roman" w:cs="Times New Roman" w:eastAsia="Times New Roman" w:hAnsi="Times New Roman"/>
          <w:sz w:val="20"/>
          <w:szCs w:val="20"/>
          <w:color w:val="auto"/>
        </w:rPr>
      </w:pPr>
    </w:p>
    <w:p>
      <w:pPr>
        <w:jc w:val="both"/>
        <w:ind w:left="100" w:firstLine="653"/>
        <w:spacing w:after="0" w:line="249" w:lineRule="auto"/>
        <w:tabs>
          <w:tab w:leader="none" w:pos="123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xml:space="preserve">, as a result of an assignment in accordance with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xml:space="preserve"> or otherwise pursuant to this Agreement.</w:t>
      </w:r>
    </w:p>
    <w:p>
      <w:pPr>
        <w:spacing w:after="0" w:line="180" w:lineRule="exact"/>
        <w:rPr>
          <w:rFonts w:ascii="Times New Roman" w:cs="Times New Roman" w:eastAsia="Times New Roman" w:hAnsi="Times New Roman"/>
          <w:sz w:val="20"/>
          <w:szCs w:val="20"/>
          <w:color w:val="auto"/>
        </w:rPr>
      </w:pPr>
    </w:p>
    <w:p>
      <w:pPr>
        <w:jc w:val="both"/>
        <w:ind w:left="100" w:firstLine="653"/>
        <w:spacing w:after="0" w:line="242" w:lineRule="auto"/>
        <w:tabs>
          <w:tab w:leader="none" w:pos="1241"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b w:val="1"/>
          <w:bCs w:val="1"/>
          <w:i w:val="1"/>
          <w:iCs w:val="1"/>
          <w:color w:val="auto"/>
        </w:rPr>
        <w:t>Section 2.03(e)</w:t>
      </w:r>
      <w:r>
        <w:rPr>
          <w:rFonts w:ascii="Times New Roman" w:cs="Times New Roman" w:eastAsia="Times New Roman" w:hAnsi="Times New Roman"/>
          <w:sz w:val="20"/>
          <w:szCs w:val="20"/>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Times New Roman" w:cs="Times New Roman" w:eastAsia="Times New Roman" w:hAnsi="Times New Roman"/>
          <w:sz w:val="20"/>
          <w:szCs w:val="20"/>
          <w:i w:val="1"/>
          <w:iCs w:val="1"/>
          <w:color w:val="auto"/>
        </w:rPr>
        <w:t>greater of</w:t>
      </w:r>
      <w:r>
        <w:rPr>
          <w:rFonts w:ascii="Times New Roman" w:cs="Times New Roman" w:eastAsia="Times New Roman" w:hAnsi="Times New Roman"/>
          <w:sz w:val="20"/>
          <w:szCs w:val="20"/>
          <w:color w:val="auto"/>
        </w:rPr>
        <w:t xml:space="preserve"> the applicable Overnight Rate and a rate determined by the L/C Issuer in accordance with banking industry rules on interbank compensation, </w:t>
      </w: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any administrative, processing or similar fees customarily charged by the L/C Issuer in connection with the foregoing.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Lender (through the Administrative Agent) with respect to any amounts owing under this </w:t>
      </w:r>
      <w:r>
        <w:rPr>
          <w:rFonts w:ascii="Times New Roman" w:cs="Times New Roman" w:eastAsia="Times New Roman" w:hAnsi="Times New Roman"/>
          <w:sz w:val="20"/>
          <w:szCs w:val="20"/>
          <w:b w:val="1"/>
          <w:bCs w:val="1"/>
          <w:i w:val="1"/>
          <w:iCs w:val="1"/>
          <w:color w:val="auto"/>
        </w:rPr>
        <w:t>clause (e)(iv)</w:t>
      </w:r>
      <w:r>
        <w:rPr>
          <w:rFonts w:ascii="Times New Roman" w:cs="Times New Roman" w:eastAsia="Times New Roman" w:hAnsi="Times New Roman"/>
          <w:sz w:val="20"/>
          <w:szCs w:val="20"/>
          <w:color w:val="auto"/>
        </w:rPr>
        <w:t xml:space="preserve"> shall be conclusive absent manifest error.</w:t>
      </w:r>
    </w:p>
    <w:p>
      <w:pPr>
        <w:spacing w:after="0" w:line="186" w:lineRule="exact"/>
        <w:rPr>
          <w:rFonts w:ascii="Times New Roman" w:cs="Times New Roman" w:eastAsia="Times New Roman" w:hAnsi="Times New Roman"/>
          <w:sz w:val="20"/>
          <w:szCs w:val="20"/>
          <w:color w:val="auto"/>
        </w:rPr>
      </w:pPr>
    </w:p>
    <w:p>
      <w:pPr>
        <w:jc w:val="both"/>
        <w:ind w:left="-540" w:firstLine="645"/>
        <w:spacing w:after="0" w:line="256" w:lineRule="auto"/>
        <w:tabs>
          <w:tab w:leader="none" w:pos="51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Reimbursement</w:t>
      </w:r>
      <w:r>
        <w:rPr>
          <w:rFonts w:ascii="Times New Roman" w:cs="Times New Roman" w:eastAsia="Times New Roman" w:hAnsi="Times New Roman"/>
          <w:sz w:val="20"/>
          <w:szCs w:val="20"/>
          <w:color w:val="auto"/>
        </w:rPr>
        <w:t>. If the L/C Issuer shall make any L/C Disbursement in respect of a Letter of Credit, the Borrower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reimburse the L/C Issuer in respect of such L/C Disbursement by paying to the Administrative Agent an amount equal to such L/C Disbursement not later than</w:t>
      </w:r>
    </w:p>
    <w:p>
      <w:pPr>
        <w:sectPr>
          <w:pgSz w:w="11900" w:h="16838" w:orient="portrait"/>
          <w:cols w:equalWidth="0" w:num="1">
            <w:col w:w="10220"/>
          </w:cols>
          <w:pgMar w:left="1440" w:top="562"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12:00 noon on (i) the Business Day that the Borrower receives notice of such L/C Disbursement, if such notice is received prior to</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10:00 a.m. or (ii) the Business Day immediately following the day that the Borrower receives such notice, if such notice is not received prior to such time, provided that, if such L/C Disbursement is not less than $1,000,000, the Borrower may, subject to the conditions to borrowing set forth herein, request in accordance with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xml:space="preserve"> that such payment be financed with a Borrowing of Base Rate Loans or Swingline Loan in an equivalent amount and, to the extent so financed, the Borrower’s obligation to make such payment shall be discharged and replaced by the resulting Borrowing of Base Rate Loans or Swingline Loan. If the Borrower fails to make such payment when due, the Administrative Agent shall notify each Lender of the applicable L/C Disbursement, the payment then due from the Borrower in respect thereof (the “</w:t>
      </w:r>
      <w:r>
        <w:rPr>
          <w:rFonts w:ascii="Times New Roman" w:cs="Times New Roman" w:eastAsia="Times New Roman" w:hAnsi="Times New Roman"/>
          <w:sz w:val="20"/>
          <w:szCs w:val="20"/>
          <w:b w:val="1"/>
          <w:bCs w:val="1"/>
          <w:i w:val="1"/>
          <w:iCs w:val="1"/>
          <w:color w:val="auto"/>
        </w:rPr>
        <w:t>Unreimbursed Amount</w:t>
      </w:r>
      <w:r>
        <w:rPr>
          <w:rFonts w:ascii="Times New Roman" w:cs="Times New Roman" w:eastAsia="Times New Roman" w:hAnsi="Times New Roman"/>
          <w:sz w:val="20"/>
          <w:szCs w:val="20"/>
          <w:color w:val="auto"/>
        </w:rPr>
        <w:t xml:space="preserve">”) and such Lender’s Applicable Percentage thereof. Promptly upon receipt of such notice, each Lender shall pay to the Administrative Agent its Applicable Percentage of the Unreimbursed Amount pursuant to </w:t>
      </w:r>
      <w:r>
        <w:rPr>
          <w:rFonts w:ascii="Times New Roman" w:cs="Times New Roman" w:eastAsia="Times New Roman" w:hAnsi="Times New Roman"/>
          <w:sz w:val="20"/>
          <w:szCs w:val="20"/>
          <w:b w:val="1"/>
          <w:bCs w:val="1"/>
          <w:i w:val="1"/>
          <w:iCs w:val="1"/>
          <w:color w:val="auto"/>
        </w:rPr>
        <w:t>Section 2.03(e)(ii)</w:t>
      </w:r>
      <w:r>
        <w:rPr>
          <w:rFonts w:ascii="Times New Roman" w:cs="Times New Roman" w:eastAsia="Times New Roman" w:hAnsi="Times New Roman"/>
          <w:sz w:val="20"/>
          <w:szCs w:val="20"/>
          <w:color w:val="auto"/>
        </w:rPr>
        <w:t xml:space="preserve">, subject to the amount of the unutilized portion of the aggregate Revolving Commitments. Any notice given by the L/C Issuer or the Administrative Agent pursuant to this </w:t>
      </w:r>
      <w:r>
        <w:rPr>
          <w:rFonts w:ascii="Times New Roman" w:cs="Times New Roman" w:eastAsia="Times New Roman" w:hAnsi="Times New Roman"/>
          <w:sz w:val="20"/>
          <w:szCs w:val="20"/>
          <w:b w:val="1"/>
          <w:bCs w:val="1"/>
          <w:i w:val="1"/>
          <w:iCs w:val="1"/>
          <w:color w:val="auto"/>
        </w:rPr>
        <w:t>Section 2.03(f)</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85" w:lineRule="exact"/>
        <w:rPr>
          <w:sz w:val="20"/>
          <w:szCs w:val="20"/>
          <w:color w:val="auto"/>
        </w:rPr>
      </w:pPr>
    </w:p>
    <w:p>
      <w:pPr>
        <w:jc w:val="both"/>
        <w:ind w:firstLine="645"/>
        <w:spacing w:after="0" w:line="256" w:lineRule="auto"/>
        <w:tabs>
          <w:tab w:leader="none" w:pos="116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Obligations Absolute</w:t>
      </w:r>
      <w:r>
        <w:rPr>
          <w:rFonts w:ascii="Times New Roman" w:cs="Times New Roman" w:eastAsia="Times New Roman" w:hAnsi="Times New Roman"/>
          <w:sz w:val="20"/>
          <w:szCs w:val="20"/>
          <w:color w:val="auto"/>
        </w:rPr>
        <w:t>. The Borrower’s obligation to reimburse L/C Disbursements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 (f)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 xml:space="preserve">Section 2.03 </w:t>
      </w:r>
      <w:r>
        <w:rPr>
          <w:rFonts w:ascii="Times New Roman" w:cs="Times New Roman" w:eastAsia="Times New Roman" w:hAnsi="Times New Roman"/>
          <w:sz w:val="20"/>
          <w:szCs w:val="20"/>
          <w:color w:val="auto"/>
        </w:rPr>
        <w:t>shall be absolute, unconditional and irrevocable, and shall be performed strictly in accordance with the terms of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under any and all circumstances whatsoever and irrespective of:</w:t>
      </w:r>
    </w:p>
    <w:p>
      <w:pPr>
        <w:spacing w:after="0" w:line="172" w:lineRule="exact"/>
        <w:rPr>
          <w:rFonts w:ascii="Times New Roman" w:cs="Times New Roman" w:eastAsia="Times New Roman" w:hAnsi="Times New Roman"/>
          <w:sz w:val="20"/>
          <w:szCs w:val="20"/>
          <w:color w:val="auto"/>
        </w:rPr>
      </w:pPr>
    </w:p>
    <w:p>
      <w:pPr>
        <w:ind w:left="640" w:firstLine="653"/>
        <w:spacing w:after="0" w:line="269" w:lineRule="auto"/>
        <w:tabs>
          <w:tab w:leader="none" w:pos="166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any other Loan Document or any Letter of Credit, or any term or provision herein or therein;</w:t>
      </w:r>
    </w:p>
    <w:p>
      <w:pPr>
        <w:spacing w:after="0" w:line="159" w:lineRule="exact"/>
        <w:rPr>
          <w:rFonts w:ascii="Times New Roman" w:cs="Times New Roman" w:eastAsia="Times New Roman" w:hAnsi="Times New Roman"/>
          <w:sz w:val="20"/>
          <w:szCs w:val="20"/>
          <w:color w:val="auto"/>
        </w:rPr>
      </w:pPr>
    </w:p>
    <w:p>
      <w:pPr>
        <w:jc w:val="both"/>
        <w:ind w:left="640" w:firstLine="653"/>
        <w:spacing w:after="0" w:line="247" w:lineRule="auto"/>
        <w:tabs>
          <w:tab w:leader="none" w:pos="175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0" w:lineRule="exact"/>
        <w:rPr>
          <w:rFonts w:ascii="Times New Roman" w:cs="Times New Roman" w:eastAsia="Times New Roman" w:hAnsi="Times New Roman"/>
          <w:sz w:val="20"/>
          <w:szCs w:val="20"/>
          <w:color w:val="auto"/>
        </w:rPr>
      </w:pPr>
    </w:p>
    <w:p>
      <w:pPr>
        <w:jc w:val="both"/>
        <w:ind w:left="640" w:firstLine="653"/>
        <w:spacing w:after="0" w:line="249" w:lineRule="auto"/>
        <w:tabs>
          <w:tab w:leader="none" w:pos="184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80" w:lineRule="exact"/>
        <w:rPr>
          <w:rFonts w:ascii="Times New Roman" w:cs="Times New Roman" w:eastAsia="Times New Roman" w:hAnsi="Times New Roman"/>
          <w:sz w:val="20"/>
          <w:szCs w:val="20"/>
          <w:color w:val="auto"/>
        </w:rPr>
      </w:pPr>
    </w:p>
    <w:p>
      <w:pPr>
        <w:ind w:left="640" w:firstLine="653"/>
        <w:spacing w:after="0" w:line="269" w:lineRule="auto"/>
        <w:tabs>
          <w:tab w:leader="none" w:pos="1781"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Borrower or any waiver by the L/C Issuer which does not in fact materially prejudice the Borrower;</w:t>
      </w:r>
    </w:p>
    <w:p>
      <w:pPr>
        <w:spacing w:after="0" w:line="159" w:lineRule="exact"/>
        <w:rPr>
          <w:rFonts w:ascii="Times New Roman" w:cs="Times New Roman" w:eastAsia="Times New Roman" w:hAnsi="Times New Roman"/>
          <w:sz w:val="20"/>
          <w:szCs w:val="20"/>
          <w:color w:val="auto"/>
        </w:rPr>
      </w:pPr>
    </w:p>
    <w:p>
      <w:pPr>
        <w:ind w:left="640" w:firstLine="653"/>
        <w:spacing w:after="0" w:line="269" w:lineRule="auto"/>
        <w:tabs>
          <w:tab w:leader="none" w:pos="172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required that demand be in the form of a draft;</w:t>
      </w:r>
    </w:p>
    <w:p>
      <w:pPr>
        <w:spacing w:after="0" w:line="15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5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ectPr>
          <w:pgSz w:w="11900" w:h="16838" w:orient="portrait"/>
          <w:cols w:equalWidth="0" w:num="1">
            <w:col w:w="10760"/>
          </w:cols>
          <w:pgMar w:left="900" w:top="562" w:right="239" w:bottom="1440" w:gutter="0" w:footer="0" w:header="0"/>
        </w:sectPr>
      </w:pPr>
    </w:p>
    <w:bookmarkStart w:id="110" w:name="page111"/>
    <w:bookmarkEnd w:id="110"/>
    <w:p>
      <w:pPr>
        <w:jc w:val="both"/>
        <w:ind w:left="100" w:firstLine="653"/>
        <w:spacing w:after="0" w:line="247" w:lineRule="auto"/>
        <w:tabs>
          <w:tab w:leader="none" w:pos="130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0" w:lineRule="exact"/>
        <w:rPr>
          <w:rFonts w:ascii="Times New Roman" w:cs="Times New Roman" w:eastAsia="Times New Roman" w:hAnsi="Times New Roman"/>
          <w:sz w:val="20"/>
          <w:szCs w:val="20"/>
          <w:color w:val="auto"/>
        </w:rPr>
      </w:pPr>
    </w:p>
    <w:p>
      <w:pPr>
        <w:jc w:val="both"/>
        <w:ind w:left="100" w:firstLine="653"/>
        <w:spacing w:after="0" w:line="254" w:lineRule="auto"/>
        <w:tabs>
          <w:tab w:leader="none" w:pos="1351"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constitute a legal or equitable discharge of, or provide a right of setoff against, the Borrower’s obligations hereunder; or</w:t>
      </w:r>
    </w:p>
    <w:p>
      <w:pPr>
        <w:spacing w:after="0" w:line="174" w:lineRule="exact"/>
        <w:rPr>
          <w:rFonts w:ascii="Times New Roman" w:cs="Times New Roman" w:eastAsia="Times New Roman" w:hAnsi="Times New Roman"/>
          <w:sz w:val="20"/>
          <w:szCs w:val="20"/>
          <w:color w:val="auto"/>
        </w:rPr>
      </w:pPr>
    </w:p>
    <w:p>
      <w:pPr>
        <w:ind w:left="100" w:firstLine="653"/>
        <w:spacing w:after="0" w:line="269" w:lineRule="auto"/>
        <w:tabs>
          <w:tab w:leader="none" w:pos="125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Borrower or any Subsidiary or in the relevant currency markets generally.</w:t>
      </w:r>
    </w:p>
    <w:p>
      <w:pPr>
        <w:spacing w:after="0" w:line="155" w:lineRule="exact"/>
        <w:rPr>
          <w:rFonts w:ascii="Times New Roman" w:cs="Times New Roman" w:eastAsia="Times New Roman" w:hAnsi="Times New Roman"/>
          <w:sz w:val="20"/>
          <w:szCs w:val="20"/>
          <w:color w:val="auto"/>
        </w:rPr>
      </w:pPr>
    </w:p>
    <w:p>
      <w:pPr>
        <w:jc w:val="both"/>
        <w:ind w:left="-540" w:firstLine="645"/>
        <w:spacing w:after="0" w:line="250" w:lineRule="auto"/>
        <w:tabs>
          <w:tab w:leader="none" w:pos="54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Examination</w:t>
      </w:r>
      <w:r>
        <w:rPr>
          <w:rFonts w:ascii="Times New Roman" w:cs="Times New Roman" w:eastAsia="Times New Roman" w:hAnsi="Times New Roman"/>
          <w:sz w:val="20"/>
          <w:szCs w:val="20"/>
          <w:color w:val="auto"/>
        </w:rPr>
        <w:t>. The Borrower shall promptly examine a copy of each Letter of Credit and each amendment thereto that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76" w:lineRule="exact"/>
        <w:rPr>
          <w:rFonts w:ascii="Times New Roman" w:cs="Times New Roman" w:eastAsia="Times New Roman" w:hAnsi="Times New Roman"/>
          <w:sz w:val="20"/>
          <w:szCs w:val="20"/>
          <w:color w:val="auto"/>
        </w:rPr>
      </w:pPr>
    </w:p>
    <w:p>
      <w:pPr>
        <w:jc w:val="both"/>
        <w:ind w:left="-540" w:firstLine="645"/>
        <w:spacing w:after="0" w:line="242" w:lineRule="auto"/>
        <w:tabs>
          <w:tab w:leader="none" w:pos="52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None of the Administrative Agent, the Lenders, the L/C Issuer, or any of their Related Parties shall have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92" w:lineRule="exact"/>
        <w:rPr>
          <w:rFonts w:ascii="Times New Roman" w:cs="Times New Roman" w:eastAsia="Times New Roman" w:hAnsi="Times New Roman"/>
          <w:sz w:val="20"/>
          <w:szCs w:val="20"/>
          <w:color w:val="auto"/>
        </w:rPr>
      </w:pPr>
    </w:p>
    <w:p>
      <w:pPr>
        <w:ind w:left="100" w:firstLine="653"/>
        <w:spacing w:after="0" w:line="269" w:lineRule="auto"/>
        <w:tabs>
          <w:tab w:leader="none" w:pos="1115"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replace a purportedly lost, stolen, or destroyed original Letter of Credit or missing amendment thereto with a certified true copy marked as such or waive a requirement for its presentation;</w:t>
      </w:r>
    </w:p>
    <w:p>
      <w:pPr>
        <w:spacing w:after="0" w:line="159" w:lineRule="exact"/>
        <w:rPr>
          <w:rFonts w:ascii="Times New Roman" w:cs="Times New Roman" w:eastAsia="Times New Roman" w:hAnsi="Times New Roman"/>
          <w:sz w:val="20"/>
          <w:szCs w:val="20"/>
          <w:color w:val="auto"/>
        </w:rPr>
      </w:pPr>
    </w:p>
    <w:p>
      <w:pPr>
        <w:jc w:val="both"/>
        <w:ind w:left="100" w:firstLine="653"/>
        <w:spacing w:after="0" w:line="254" w:lineRule="auto"/>
        <w:tabs>
          <w:tab w:leader="none" w:pos="117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w:t>
      </w:r>
    </w:p>
    <w:p>
      <w:pPr>
        <w:sectPr>
          <w:pgSz w:w="11900" w:h="16838" w:orient="portrait"/>
          <w:cols w:equalWidth="0" w:num="1">
            <w:col w:w="10220"/>
          </w:cols>
          <w:pgMar w:left="1440" w:top="562" w:right="239" w:bottom="1440" w:gutter="0" w:footer="0" w:header="0"/>
        </w:sectPr>
      </w:pPr>
    </w:p>
    <w:bookmarkStart w:id="111" w:name="page112"/>
    <w:bookmarkEnd w:id="111"/>
    <w:p>
      <w:pPr>
        <w:ind w:left="100"/>
        <w:spacing w:after="0"/>
        <w:rPr>
          <w:sz w:val="20"/>
          <w:szCs w:val="20"/>
          <w:color w:val="auto"/>
        </w:rPr>
      </w:pPr>
      <w:r>
        <w:rPr>
          <w:rFonts w:ascii="Times New Roman" w:cs="Times New Roman" w:eastAsia="Times New Roman" w:hAnsi="Times New Roman"/>
          <w:sz w:val="20"/>
          <w:szCs w:val="20"/>
          <w:color w:val="auto"/>
        </w:rPr>
        <w:t>with the terms of such Letter of Credit and without regard to any non-documentary condition in such Letter of Credit;</w:t>
      </w:r>
    </w:p>
    <w:p>
      <w:pPr>
        <w:spacing w:after="0" w:line="216" w:lineRule="exact"/>
        <w:rPr>
          <w:sz w:val="20"/>
          <w:szCs w:val="20"/>
          <w:color w:val="auto"/>
        </w:rPr>
      </w:pPr>
    </w:p>
    <w:p>
      <w:pPr>
        <w:ind w:left="100" w:firstLine="653"/>
        <w:spacing w:after="0" w:line="269" w:lineRule="auto"/>
        <w:tabs>
          <w:tab w:leader="none" w:pos="125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have the right, in its sole discretion, to decline to accept such documents and to make such payment if such documents are not in strict compliance with the terms of such Letter of Credit; and</w:t>
      </w:r>
    </w:p>
    <w:p>
      <w:pPr>
        <w:spacing w:after="0" w:line="159" w:lineRule="exact"/>
        <w:rPr>
          <w:rFonts w:ascii="Times New Roman" w:cs="Times New Roman" w:eastAsia="Times New Roman" w:hAnsi="Times New Roman"/>
          <w:sz w:val="20"/>
          <w:szCs w:val="20"/>
          <w:color w:val="auto"/>
        </w:rPr>
      </w:pPr>
    </w:p>
    <w:p>
      <w:pPr>
        <w:jc w:val="both"/>
        <w:ind w:left="100" w:right="20" w:firstLine="653"/>
        <w:spacing w:after="0" w:line="254" w:lineRule="auto"/>
        <w:tabs>
          <w:tab w:leader="none" w:pos="128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5" w:lineRule="exact"/>
        <w:rPr>
          <w:sz w:val="20"/>
          <w:szCs w:val="20"/>
          <w:color w:val="auto"/>
        </w:rPr>
      </w:pPr>
    </w:p>
    <w:p>
      <w:pPr>
        <w:jc w:val="both"/>
        <w:ind w:left="100"/>
        <w:spacing w:after="0" w:line="244" w:lineRule="auto"/>
        <w:rPr>
          <w:sz w:val="20"/>
          <w:szCs w:val="20"/>
          <w:color w:val="auto"/>
        </w:rPr>
      </w:pPr>
      <w:r>
        <w:rPr>
          <w:rFonts w:ascii="Times New Roman" w:cs="Times New Roman" w:eastAsia="Times New Roman" w:hAnsi="Times New Roman"/>
          <w:sz w:val="20"/>
          <w:szCs w:val="20"/>
          <w:color w:val="auto"/>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 (B) the L/C Issuer declining to take-up documents and make payment, (C) against documents that are fraudulent, forged, or for other reasons by which that it is entitled not to honor, (D) following a Borrower’s waiver of discrepancies with respect to such documents or request for honor of such documents or (E) the L/C Issuer retaining proceeds of a Letter of Credit based on an apparently applicable attachment order, blocking regulation, or third-party claim notified to the L/C Issuer.</w:t>
      </w:r>
    </w:p>
    <w:p>
      <w:pPr>
        <w:spacing w:after="0" w:line="183" w:lineRule="exact"/>
        <w:rPr>
          <w:sz w:val="20"/>
          <w:szCs w:val="20"/>
          <w:color w:val="auto"/>
        </w:rPr>
      </w:pPr>
    </w:p>
    <w:p>
      <w:pPr>
        <w:jc w:val="both"/>
        <w:ind w:left="-540" w:firstLine="645"/>
        <w:spacing w:after="0" w:line="243" w:lineRule="auto"/>
        <w:tabs>
          <w:tab w:leader="none" w:pos="50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Applicability of ISP and UCP</w:t>
      </w:r>
      <w:r>
        <w:rPr>
          <w:rFonts w:ascii="Times New Roman" w:cs="Times New Roman" w:eastAsia="Times New Roman" w:hAnsi="Times New Roman"/>
          <w:sz w:val="20"/>
          <w:szCs w:val="20"/>
          <w:color w:val="auto"/>
        </w:rPr>
        <w:t>. Unless otherwise expressly agreed by the L/C Issuer and the Borrower when a Letter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is issued by it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3" w:lineRule="exact"/>
        <w:rPr>
          <w:rFonts w:ascii="Times New Roman" w:cs="Times New Roman" w:eastAsia="Times New Roman" w:hAnsi="Times New Roman"/>
          <w:sz w:val="20"/>
          <w:szCs w:val="20"/>
          <w:color w:val="auto"/>
        </w:rPr>
      </w:pPr>
    </w:p>
    <w:p>
      <w:pPr>
        <w:jc w:val="both"/>
        <w:ind w:left="-540" w:firstLine="645"/>
        <w:spacing w:after="0" w:line="246" w:lineRule="auto"/>
        <w:tabs>
          <w:tab w:leader="none" w:pos="6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Benefits</w:t>
      </w:r>
      <w:r>
        <w:rPr>
          <w:rFonts w:ascii="Times New Roman" w:cs="Times New Roman" w:eastAsia="Times New Roman" w:hAnsi="Times New Roman"/>
          <w:sz w:val="20"/>
          <w:szCs w:val="20"/>
          <w:color w:val="auto"/>
        </w:rPr>
        <w:t>. The L/C Issuer shall act on behalf of the Lenders with respect to any Letters of Credit issued by it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documents associated therewith, and the L/C Issuer shall have all of the benefits and immunities (i) provided to the Administrative Agent in </w:t>
      </w:r>
      <w:r>
        <w:rPr>
          <w:rFonts w:ascii="Times New Roman" w:cs="Times New Roman" w:eastAsia="Times New Roman" w:hAnsi="Times New Roman"/>
          <w:sz w:val="20"/>
          <w:szCs w:val="20"/>
          <w:i w:val="1"/>
          <w:iCs w:val="1"/>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 xml:space="preserve">” as used in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included the L/C Issuer with respect to such acts or omissions, and (ii) as additionally provided herein with respect to the L/C Issuer.</w:t>
      </w:r>
    </w:p>
    <w:p>
      <w:pPr>
        <w:spacing w:after="0" w:line="179" w:lineRule="exact"/>
        <w:rPr>
          <w:rFonts w:ascii="Times New Roman" w:cs="Times New Roman" w:eastAsia="Times New Roman" w:hAnsi="Times New Roman"/>
          <w:sz w:val="20"/>
          <w:szCs w:val="20"/>
          <w:color w:val="auto"/>
        </w:rPr>
      </w:pPr>
    </w:p>
    <w:p>
      <w:pPr>
        <w:jc w:val="both"/>
        <w:ind w:left="-540" w:right="20" w:firstLine="645"/>
        <w:spacing w:after="0" w:line="276" w:lineRule="auto"/>
        <w:tabs>
          <w:tab w:leader="none" w:pos="48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Letter of Credit Fees</w:t>
      </w:r>
      <w:r>
        <w:rPr>
          <w:rFonts w:ascii="Times New Roman" w:cs="Times New Roman" w:eastAsia="Times New Roman" w:hAnsi="Times New Roman"/>
          <w:sz w:val="19"/>
          <w:szCs w:val="19"/>
          <w:color w:val="auto"/>
        </w:rPr>
        <w:t>. The Borrower shall pay to the Administrative Agent for the account of each Lender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its Applicable Revolving Percentage a Letter of Credit fee (the “</w:t>
      </w:r>
      <w:r>
        <w:rPr>
          <w:rFonts w:ascii="Times New Roman" w:cs="Times New Roman" w:eastAsia="Times New Roman" w:hAnsi="Times New Roman"/>
          <w:sz w:val="19"/>
          <w:szCs w:val="19"/>
          <w:b w:val="1"/>
          <w:bCs w:val="1"/>
          <w:i w:val="1"/>
          <w:iCs w:val="1"/>
          <w:color w:val="auto"/>
        </w:rPr>
        <w:t>Letter of Credit Fee</w:t>
      </w:r>
      <w:r>
        <w:rPr>
          <w:rFonts w:ascii="Times New Roman" w:cs="Times New Roman" w:eastAsia="Times New Roman" w:hAnsi="Times New Roman"/>
          <w:sz w:val="19"/>
          <w:szCs w:val="19"/>
          <w:color w:val="auto"/>
        </w:rPr>
        <w:t xml:space="preserve">”) for each Letter of Credit equal to the Applicable Rate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the Dollar Equivalent of the daily amount available to be drawn under such Letter of Credit. For purposes</w:t>
      </w:r>
    </w:p>
    <w:p>
      <w:pPr>
        <w:sectPr>
          <w:pgSz w:w="11900" w:h="16838" w:orient="portrait"/>
          <w:cols w:equalWidth="0" w:num="1">
            <w:col w:w="10220"/>
          </w:cols>
          <w:pgMar w:left="1440" w:top="562" w:right="239" w:bottom="1440" w:gutter="0" w:footer="0" w:header="0"/>
        </w:sectPr>
      </w:pPr>
    </w:p>
    <w:bookmarkStart w:id="112" w:name="page113"/>
    <w:bookmarkEnd w:id="112"/>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of computing the daily amount available to be drawn under any standby Letter of Credit, the amount of such Letter of Credit shall be determined in accordance with </w:t>
      </w:r>
      <w:r>
        <w:rPr>
          <w:rFonts w:ascii="Times New Roman" w:cs="Times New Roman" w:eastAsia="Times New Roman" w:hAnsi="Times New Roman"/>
          <w:sz w:val="20"/>
          <w:szCs w:val="20"/>
          <w:b w:val="1"/>
          <w:bCs w:val="1"/>
          <w:i w:val="1"/>
          <w:iCs w:val="1"/>
          <w:color w:val="auto"/>
        </w:rPr>
        <w:t>Section 1.06</w:t>
      </w:r>
      <w:r>
        <w:rPr>
          <w:rFonts w:ascii="Times New Roman" w:cs="Times New Roman" w:eastAsia="Times New Roman" w:hAnsi="Times New Roman"/>
          <w:sz w:val="20"/>
          <w:szCs w:val="20"/>
          <w:color w:val="auto"/>
        </w:rPr>
        <w:t>. Letter of Credit Fees shall be (i) payable on the first Business Day following each fiscal quarter end, commencing with the first such date to occur after the issuance of such Letter of Credit at the time of issuance of such Letter of Credit on the Letter of Credit Expiration Date and thereafter on demand and (ii) accrued through and including the last day of each fiscal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86" w:lineRule="exact"/>
        <w:rPr>
          <w:sz w:val="20"/>
          <w:szCs w:val="20"/>
          <w:color w:val="auto"/>
        </w:rPr>
      </w:pPr>
    </w:p>
    <w:p>
      <w:pPr>
        <w:jc w:val="both"/>
        <w:ind w:firstLine="645"/>
        <w:spacing w:after="0" w:line="248" w:lineRule="auto"/>
        <w:tabs>
          <w:tab w:leader="none" w:pos="114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Documentary and Processing Charges Payable to L/C Issuer</w:t>
      </w:r>
      <w:r>
        <w:rPr>
          <w:rFonts w:ascii="Times New Roman" w:cs="Times New Roman" w:eastAsia="Times New Roman" w:hAnsi="Times New Roman"/>
          <w:sz w:val="20"/>
          <w:szCs w:val="20"/>
          <w:color w:val="auto"/>
        </w:rPr>
        <w:t>. For purposes of computing the daily amount available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be drawn under any Letter of Credit, the amount of such Letter of Credit shall be determined in accordance with </w:t>
      </w:r>
      <w:r>
        <w:rPr>
          <w:rFonts w:ascii="Times New Roman" w:cs="Times New Roman" w:eastAsia="Times New Roman" w:hAnsi="Times New Roman"/>
          <w:sz w:val="20"/>
          <w:szCs w:val="20"/>
          <w:b w:val="1"/>
          <w:bCs w:val="1"/>
          <w:i w:val="1"/>
          <w:iCs w:val="1"/>
          <w:color w:val="auto"/>
        </w:rPr>
        <w:t>Section 1.06</w:t>
      </w:r>
      <w:r>
        <w:rPr>
          <w:rFonts w:ascii="Times New Roman" w:cs="Times New Roman" w:eastAsia="Times New Roman" w:hAnsi="Times New Roman"/>
          <w:sz w:val="20"/>
          <w:szCs w:val="20"/>
          <w:color w:val="auto"/>
        </w:rPr>
        <w:t>. The Borrower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75" w:lineRule="exact"/>
        <w:rPr>
          <w:rFonts w:ascii="Times New Roman" w:cs="Times New Roman" w:eastAsia="Times New Roman" w:hAnsi="Times New Roman"/>
          <w:sz w:val="20"/>
          <w:szCs w:val="20"/>
          <w:color w:val="auto"/>
        </w:rPr>
      </w:pPr>
    </w:p>
    <w:p>
      <w:pPr>
        <w:jc w:val="both"/>
        <w:ind w:firstLine="645"/>
        <w:spacing w:after="0" w:line="246" w:lineRule="auto"/>
        <w:tabs>
          <w:tab w:leader="none" w:pos="107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Disbursement Procedures</w:t>
      </w:r>
      <w:r>
        <w:rPr>
          <w:rFonts w:ascii="Times New Roman" w:cs="Times New Roman" w:eastAsia="Times New Roman" w:hAnsi="Times New Roman"/>
          <w:sz w:val="20"/>
          <w:szCs w:val="20"/>
          <w:color w:val="auto"/>
        </w:rPr>
        <w:t>. The L/C Issuer for any Letter of Credit shall, within the time allowed by Applicable Laws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the L/C Issuer and the Lenders with respect to any such L/C Disbursement.</w:t>
      </w:r>
    </w:p>
    <w:p>
      <w:pPr>
        <w:spacing w:after="0" w:line="179" w:lineRule="exact"/>
        <w:rPr>
          <w:rFonts w:ascii="Times New Roman" w:cs="Times New Roman" w:eastAsia="Times New Roman" w:hAnsi="Times New Roman"/>
          <w:sz w:val="20"/>
          <w:szCs w:val="20"/>
          <w:color w:val="auto"/>
        </w:rPr>
      </w:pPr>
    </w:p>
    <w:p>
      <w:pPr>
        <w:jc w:val="both"/>
        <w:ind w:firstLine="645"/>
        <w:spacing w:after="0" w:line="244" w:lineRule="auto"/>
        <w:tabs>
          <w:tab w:leader="none" w:pos="111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Interim Interest</w:t>
      </w:r>
      <w:r>
        <w:rPr>
          <w:rFonts w:ascii="Times New Roman" w:cs="Times New Roman" w:eastAsia="Times New Roman" w:hAnsi="Times New Roman"/>
          <w:sz w:val="20"/>
          <w:szCs w:val="20"/>
          <w:color w:val="auto"/>
        </w:rPr>
        <w:t>. If the L/C Issuer for any standby Letter of Credit shall make any L/C Disbursement, then, 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w:t>
      </w:r>
      <w:r>
        <w:rPr>
          <w:rFonts w:ascii="Times New Roman" w:cs="Times New Roman" w:eastAsia="Times New Roman" w:hAnsi="Times New Roman"/>
          <w:sz w:val="20"/>
          <w:szCs w:val="20"/>
          <w:b w:val="1"/>
          <w:bCs w:val="1"/>
          <w:i w:val="1"/>
          <w:iCs w:val="1"/>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b w:val="1"/>
          <w:bCs w:val="1"/>
          <w:i w:val="1"/>
          <w:iCs w:val="1"/>
          <w:color w:val="auto"/>
        </w:rPr>
        <w:t>Section 2.08(b)</w:t>
      </w:r>
      <w:r>
        <w:rPr>
          <w:rFonts w:ascii="Times New Roman" w:cs="Times New Roman" w:eastAsia="Times New Roman" w:hAnsi="Times New Roman"/>
          <w:sz w:val="20"/>
          <w:szCs w:val="20"/>
          <w:color w:val="auto"/>
        </w:rPr>
        <w:t xml:space="preserve"> shall apply. Interest accrued pursuant to this </w:t>
      </w:r>
      <w:r>
        <w:rPr>
          <w:rFonts w:ascii="Times New Roman" w:cs="Times New Roman" w:eastAsia="Times New Roman" w:hAnsi="Times New Roman"/>
          <w:sz w:val="20"/>
          <w:szCs w:val="20"/>
          <w:b w:val="1"/>
          <w:bCs w:val="1"/>
          <w:i w:val="1"/>
          <w:iCs w:val="1"/>
          <w:color w:val="auto"/>
        </w:rPr>
        <w:t>clause (o)</w:t>
      </w:r>
      <w:r>
        <w:rPr>
          <w:rFonts w:ascii="Times New Roman" w:cs="Times New Roman" w:eastAsia="Times New Roman" w:hAnsi="Times New Roman"/>
          <w:sz w:val="20"/>
          <w:szCs w:val="20"/>
          <w:color w:val="auto"/>
        </w:rPr>
        <w:t xml:space="preserve"> shall be for account of the L/C Issuer, except that interest accrued on and after the date of payment by any Lender pursuant to </w:t>
      </w:r>
      <w:r>
        <w:rPr>
          <w:rFonts w:ascii="Times New Roman" w:cs="Times New Roman" w:eastAsia="Times New Roman" w:hAnsi="Times New Roman"/>
          <w:sz w:val="20"/>
          <w:szCs w:val="20"/>
          <w:b w:val="1"/>
          <w:bCs w:val="1"/>
          <w:i w:val="1"/>
          <w:iCs w:val="1"/>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to reimburse the L/C Issuer shall be for account of such Lender to the extent of such payment.</w:t>
      </w:r>
    </w:p>
    <w:p>
      <w:pPr>
        <w:spacing w:after="0" w:line="182" w:lineRule="exact"/>
        <w:rPr>
          <w:rFonts w:ascii="Times New Roman" w:cs="Times New Roman" w:eastAsia="Times New Roman" w:hAnsi="Times New Roman"/>
          <w:sz w:val="20"/>
          <w:szCs w:val="20"/>
          <w:color w:val="auto"/>
        </w:rPr>
      </w:pPr>
    </w:p>
    <w:p>
      <w:pPr>
        <w:jc w:val="both"/>
        <w:ind w:firstLine="645"/>
        <w:spacing w:after="0" w:line="245" w:lineRule="auto"/>
        <w:tabs>
          <w:tab w:leader="none" w:pos="107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Replacement of </w:t>
      </w:r>
      <w:r>
        <w:rPr>
          <w:rFonts w:ascii="Times New Roman" w:cs="Times New Roman" w:eastAsia="Times New Roman" w:hAnsi="Times New Roman"/>
          <w:sz w:val="20"/>
          <w:szCs w:val="20"/>
          <w:color w:val="auto"/>
        </w:rPr>
        <w:t>the L/C Issuer. The L/C Issuer may be replaced at any time by written agreement between the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20"/>
          <w:szCs w:val="20"/>
          <w:b w:val="1"/>
          <w:bCs w:val="1"/>
          <w:i w:val="1"/>
          <w:iCs w:val="1"/>
          <w:color w:val="auto"/>
        </w:rPr>
        <w:t>Section 2.03(m)</w:t>
      </w:r>
      <w:r>
        <w:rPr>
          <w:rFonts w:ascii="Times New Roman" w:cs="Times New Roman" w:eastAsia="Times New Roman" w:hAnsi="Times New Roman"/>
          <w:sz w:val="20"/>
          <w:szCs w:val="20"/>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w:t>
      </w:r>
      <w:r>
        <w:rPr>
          <w:rFonts w:ascii="Times New Roman" w:cs="Times New Roman" w:eastAsia="Times New Roman" w:hAnsi="Times New Roman"/>
          <w:sz w:val="20"/>
          <w:szCs w:val="20"/>
          <w:b w:val="1"/>
          <w:bCs w:val="1"/>
          <w:i w:val="1"/>
          <w:iCs w:val="1"/>
          <w:color w:val="auto"/>
        </w:rPr>
        <w:t>L/C Issuer</w:t>
      </w:r>
      <w:r>
        <w:rPr>
          <w:rFonts w:ascii="Times New Roman" w:cs="Times New Roman" w:eastAsia="Times New Roman" w:hAnsi="Times New Roman"/>
          <w:sz w:val="20"/>
          <w:szCs w:val="20"/>
          <w:color w:val="auto"/>
        </w:rPr>
        <w:t>” shall be deemed to include such successor or any previous L/C Issuer, or such successor and all previous L/C Issuer, as the</w:t>
      </w:r>
    </w:p>
    <w:p>
      <w:pPr>
        <w:sectPr>
          <w:pgSz w:w="11900" w:h="16838" w:orient="portrait"/>
          <w:cols w:equalWidth="0" w:num="1">
            <w:col w:w="10760"/>
          </w:cols>
          <w:pgMar w:left="900" w:top="562" w:right="239" w:bottom="1440" w:gutter="0" w:footer="0" w:header="0"/>
        </w:sectPr>
      </w:pPr>
    </w:p>
    <w:bookmarkStart w:id="113" w:name="page114"/>
    <w:bookmarkEnd w:id="113"/>
    <w:p>
      <w:pPr>
        <w:jc w:val="both"/>
        <w:spacing w:after="0" w:line="254" w:lineRule="auto"/>
        <w:rPr>
          <w:sz w:val="20"/>
          <w:szCs w:val="20"/>
          <w:color w:val="auto"/>
        </w:rPr>
      </w:pPr>
      <w:r>
        <w:rPr>
          <w:rFonts w:ascii="Times New Roman" w:cs="Times New Roman" w:eastAsia="Times New Roman" w:hAnsi="Times New Roman"/>
          <w:sz w:val="20"/>
          <w:szCs w:val="20"/>
          <w:color w:val="auto"/>
        </w:rPr>
        <w:t>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71" w:lineRule="exact"/>
        <w:rPr>
          <w:sz w:val="20"/>
          <w:szCs w:val="20"/>
          <w:color w:val="auto"/>
        </w:rPr>
      </w:pPr>
    </w:p>
    <w:p>
      <w:pPr>
        <w:ind w:left="1060" w:hanging="415"/>
        <w:spacing w:after="0"/>
        <w:tabs>
          <w:tab w:leader="none" w:pos="10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Collateralization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42" w:lineRule="auto"/>
        <w:tabs>
          <w:tab w:leader="none" w:pos="165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shall occur and be continuing, on the Business Day that the Borrower receives notice from the Administrative Agent or the Required Lenders (or, if the maturity of the Loans has been accelerated, Lenders with L/C Obligations representing at least 66-2/3% of the total L/C Obligations) demanding the deposit of Cash Collateral pursuant to this </w:t>
      </w:r>
      <w:r>
        <w:rPr>
          <w:rFonts w:ascii="Times New Roman" w:cs="Times New Roman" w:eastAsia="Times New Roman" w:hAnsi="Times New Roman"/>
          <w:sz w:val="20"/>
          <w:szCs w:val="20"/>
          <w:b w:val="1"/>
          <w:bCs w:val="1"/>
          <w:i w:val="1"/>
          <w:iCs w:val="1"/>
          <w:color w:val="auto"/>
        </w:rPr>
        <w:t>clause (q)</w:t>
      </w:r>
      <w:r>
        <w:rPr>
          <w:rFonts w:ascii="Times New Roman" w:cs="Times New Roman" w:eastAsia="Times New Roman" w:hAnsi="Times New Roman"/>
          <w:sz w:val="20"/>
          <w:szCs w:val="20"/>
          <w:color w:val="auto"/>
        </w:rPr>
        <w:t>, the Borrower shall immediately deposit into an account established and maintained on the books and records of the Administrative Agent (the “</w:t>
      </w:r>
      <w:r>
        <w:rPr>
          <w:rFonts w:ascii="Times New Roman" w:cs="Times New Roman" w:eastAsia="Times New Roman" w:hAnsi="Times New Roman"/>
          <w:sz w:val="20"/>
          <w:szCs w:val="20"/>
          <w:b w:val="1"/>
          <w:bCs w:val="1"/>
          <w:i w:val="1"/>
          <w:iCs w:val="1"/>
          <w:color w:val="auto"/>
        </w:rPr>
        <w:t>Collateral Account</w:t>
      </w:r>
      <w:r>
        <w:rPr>
          <w:rFonts w:ascii="Times New Roman" w:cs="Times New Roman" w:eastAsia="Times New Roman" w:hAnsi="Times New Roman"/>
          <w:sz w:val="20"/>
          <w:szCs w:val="20"/>
          <w:color w:val="auto"/>
        </w:rPr>
        <w:t xml:space="preserve">”) an amount in cash equal to 105% of the total L/C Obligations as of such date plus any accrued and unpaid interest thereon,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b w:val="1"/>
          <w:bCs w:val="1"/>
          <w:i w:val="1"/>
          <w:iCs w:val="1"/>
          <w:color w:val="auto"/>
        </w:rPr>
        <w:t>clause (f)</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i w:val="1"/>
          <w:iCs w:val="1"/>
          <w:color w:val="auto"/>
        </w:rPr>
        <w:t>Section 8.01</w:t>
      </w:r>
      <w:r>
        <w:rPr>
          <w:rFonts w:ascii="Times New Roman" w:cs="Times New Roman" w:eastAsia="Times New Roman" w:hAnsi="Times New Roman"/>
          <w:sz w:val="20"/>
          <w:szCs w:val="20"/>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20"/>
          <w:szCs w:val="20"/>
          <w:b w:val="1"/>
          <w:bCs w:val="1"/>
          <w:i w:val="1"/>
          <w:iCs w:val="1"/>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if any L/C Obligations remain outstanding after the expiration date specified in said </w:t>
      </w:r>
      <w:r>
        <w:rPr>
          <w:rFonts w:ascii="Times New Roman" w:cs="Times New Roman" w:eastAsia="Times New Roman" w:hAnsi="Times New Roman"/>
          <w:sz w:val="20"/>
          <w:szCs w:val="20"/>
          <w:b w:val="1"/>
          <w:bCs w:val="1"/>
          <w:i w:val="1"/>
          <w:iCs w:val="1"/>
          <w:color w:val="auto"/>
        </w:rPr>
        <w:t>clause (d)</w:t>
      </w:r>
      <w:r>
        <w:rPr>
          <w:rFonts w:ascii="Times New Roman" w:cs="Times New Roman" w:eastAsia="Times New Roman" w:hAnsi="Times New Roman"/>
          <w:sz w:val="20"/>
          <w:szCs w:val="20"/>
          <w:color w:val="auto"/>
        </w:rPr>
        <w:t>, the Borrower shall immediately deposit into the Collateral Account an amount in cash equal to 105% of such L/C Obligations as of such date plus any accrued and unpaid interest thereon.</w:t>
      </w:r>
    </w:p>
    <w:p>
      <w:pPr>
        <w:spacing w:after="0" w:line="186" w:lineRule="exact"/>
        <w:rPr>
          <w:rFonts w:ascii="Times New Roman" w:cs="Times New Roman" w:eastAsia="Times New Roman" w:hAnsi="Times New Roman"/>
          <w:sz w:val="20"/>
          <w:szCs w:val="20"/>
          <w:color w:val="auto"/>
        </w:rPr>
      </w:pPr>
    </w:p>
    <w:p>
      <w:pPr>
        <w:jc w:val="both"/>
        <w:ind w:left="640" w:firstLine="653"/>
        <w:spacing w:after="0" w:line="242" w:lineRule="auto"/>
        <w:tabs>
          <w:tab w:leader="none" w:pos="171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84" w:lineRule="exact"/>
        <w:rPr>
          <w:rFonts w:ascii="Times New Roman" w:cs="Times New Roman" w:eastAsia="Times New Roman" w:hAnsi="Times New Roman"/>
          <w:sz w:val="20"/>
          <w:szCs w:val="20"/>
          <w:color w:val="auto"/>
        </w:rPr>
      </w:pPr>
    </w:p>
    <w:p>
      <w:pPr>
        <w:jc w:val="both"/>
        <w:ind w:firstLine="645"/>
        <w:spacing w:after="0" w:line="246" w:lineRule="auto"/>
        <w:tabs>
          <w:tab w:leader="none" w:pos="105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Letters of Credit Issued for Subsidiaries. </w:t>
      </w:r>
      <w:r>
        <w:rPr>
          <w:rFonts w:ascii="Times New Roman" w:cs="Times New Roman" w:eastAsia="Times New Roman" w:hAnsi="Times New Roman"/>
          <w:sz w:val="20"/>
          <w:szCs w:val="20"/>
          <w:color w:val="auto"/>
        </w:rPr>
        <w:t>Notwithstanding that a Letter of Credit issued or outstanding hereunder is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 of any obligations of, or is for the account of, a Subsidiary, the Borrower shall be obligated to reimburse, indemnify and compensate the L/C Issuer hereunder for any and all drawings under such Letter of Credit as if such Letter of Credit had been issues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w:t>
      </w:r>
    </w:p>
    <w:p>
      <w:pPr>
        <w:sectPr>
          <w:pgSz w:w="11900" w:h="16838" w:orient="portrait"/>
          <w:cols w:equalWidth="0" w:num="1">
            <w:col w:w="10760"/>
          </w:cols>
          <w:pgMar w:left="900" w:top="562" w:right="239" w:bottom="1440" w:gutter="0" w:footer="0" w:header="0"/>
        </w:sectPr>
      </w:pPr>
    </w:p>
    <w:bookmarkStart w:id="114" w:name="page115"/>
    <w:bookmarkEnd w:id="114"/>
    <w:p>
      <w:pPr>
        <w:spacing w:after="0" w:line="269" w:lineRule="auto"/>
        <w:rPr>
          <w:sz w:val="20"/>
          <w:szCs w:val="20"/>
          <w:color w:val="auto"/>
        </w:rPr>
      </w:pPr>
      <w:r>
        <w:rPr>
          <w:rFonts w:ascii="Times New Roman" w:cs="Times New Roman" w:eastAsia="Times New Roman" w:hAnsi="Times New Roman"/>
          <w:sz w:val="20"/>
          <w:szCs w:val="20"/>
          <w:color w:val="auto"/>
        </w:rPr>
        <w:t>of Letters of Credit for the account of Subsidiaries inures to the benefit of the Borrower, and that the Borrower’s business derives substantial benefits from the businesses of such Subsidiaries.</w:t>
      </w:r>
    </w:p>
    <w:p>
      <w:pPr>
        <w:spacing w:after="0" w:line="156" w:lineRule="exact"/>
        <w:rPr>
          <w:sz w:val="20"/>
          <w:szCs w:val="20"/>
          <w:color w:val="auto"/>
        </w:rPr>
      </w:pPr>
    </w:p>
    <w:p>
      <w:pPr>
        <w:ind w:right="20" w:firstLine="645"/>
        <w:spacing w:after="0" w:line="273" w:lineRule="auto"/>
        <w:tabs>
          <w:tab w:leader="none" w:pos="11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the terms hereof shall control.</w:t>
      </w:r>
    </w:p>
    <w:p>
      <w:pPr>
        <w:spacing w:after="0" w:line="15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b w:val="1"/>
          <w:bCs w:val="1"/>
          <w:color w:val="auto"/>
        </w:rPr>
        <w:t>Swingline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1" w:lineRule="auto"/>
        <w:tabs>
          <w:tab w:leader="none" w:pos="121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Swingline</w:t>
      </w:r>
      <w:r>
        <w:rPr>
          <w:rFonts w:ascii="Times New Roman" w:cs="Times New Roman" w:eastAsia="Times New Roman" w:hAnsi="Times New Roman"/>
          <w:sz w:val="20"/>
          <w:szCs w:val="20"/>
          <w:color w:val="auto"/>
        </w:rPr>
        <w:t>. Subject to the terms and conditions set forth herein, the Swingline Lender, in reliance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agreements of the other Lenders set forth in this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may in its sole discretion make loans to the Borrower (each such loan, a “</w:t>
      </w:r>
      <w:r>
        <w:rPr>
          <w:rFonts w:ascii="Times New Roman" w:cs="Times New Roman" w:eastAsia="Times New Roman" w:hAnsi="Times New Roman"/>
          <w:sz w:val="20"/>
          <w:szCs w:val="20"/>
          <w:b w:val="1"/>
          <w:bCs w:val="1"/>
          <w:i w:val="1"/>
          <w:iCs w:val="1"/>
          <w:color w:val="auto"/>
        </w:rPr>
        <w:t>Swingline Loan</w:t>
      </w:r>
      <w:r>
        <w:rPr>
          <w:rFonts w:ascii="Times New Roman" w:cs="Times New Roman" w:eastAsia="Times New Roman" w:hAnsi="Times New Roman"/>
          <w:sz w:val="20"/>
          <w:szCs w:val="20"/>
          <w:color w:val="auto"/>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 after giving effect to any Swingline Loan, (A) the Total Revolving Outstandings shall not exceed the Revolving Facility at such time, (B) the Revolving Exposure of any Lender at such time shall not exceed such Lender’s Revolving Commitment and (C) the aggregate amount of all Swingline Loans advanced by the Swingline Lender outstanding shall not exceed the Swingline Commitment of the Swingline Lender,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b w:val="1"/>
          <w:bCs w:val="1"/>
          <w:i w:val="1"/>
          <w:iCs w:val="1"/>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Each Swingline Loan shall bear interest only at a rate based on the Base Rate plus the Applicable Rate. Immediately upon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making of a Swingline Loan, each Lender shall be deemed to, and hereby irrevocably and unconditionally agrees to, purchase from the Swingline Lender a risk participation in such Swingline Loan in an amount equal to the product of such Lender’s Applicable Revolving Percentage times the amount of such Swingline Loan.</w:t>
      </w:r>
    </w:p>
    <w:p>
      <w:pPr>
        <w:spacing w:after="0" w:line="194"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Borrowing Procedures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42" w:lineRule="auto"/>
        <w:tabs>
          <w:tab w:leader="none" w:pos="166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Swingline Borrowing shall be made upon the Borrower’s irrevocable notice to the Swingline Lender and the Administrative Agent, which may be given by: (ii) telephone or (iii) a Swingline Loan Notice; provided 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Borrowing (1) directing the Swingline Lender not to make such Swingline Loan as a result of the limitations set forth in the first proviso to the first sentence of </w:t>
      </w:r>
      <w:r>
        <w:rPr>
          <w:rFonts w:ascii="Times New Roman" w:cs="Times New Roman" w:eastAsia="Times New Roman" w:hAnsi="Times New Roman"/>
          <w:sz w:val="20"/>
          <w:szCs w:val="20"/>
          <w:b w:val="1"/>
          <w:bCs w:val="1"/>
          <w:i w:val="1"/>
          <w:iCs w:val="1"/>
          <w:color w:val="auto"/>
        </w:rPr>
        <w:t>Section 2.04(a)</w:t>
      </w:r>
      <w:r>
        <w:rPr>
          <w:rFonts w:ascii="Times New Roman" w:cs="Times New Roman" w:eastAsia="Times New Roman" w:hAnsi="Times New Roman"/>
          <w:sz w:val="20"/>
          <w:szCs w:val="20"/>
          <w:color w:val="auto"/>
        </w:rPr>
        <w:t>, or (2) that one or more of the applicable</w:t>
      </w:r>
    </w:p>
    <w:p>
      <w:pPr>
        <w:sectPr>
          <w:pgSz w:w="11900" w:h="16838" w:orient="portrait"/>
          <w:cols w:equalWidth="0" w:num="1">
            <w:col w:w="10760"/>
          </w:cols>
          <w:pgMar w:left="900" w:top="562" w:right="239" w:bottom="1440" w:gutter="0" w:footer="0" w:header="0"/>
        </w:sectPr>
      </w:pPr>
    </w:p>
    <w:bookmarkStart w:id="115" w:name="page116"/>
    <w:bookmarkEnd w:id="115"/>
    <w:p>
      <w:pPr>
        <w:jc w:val="both"/>
        <w:ind w:left="100"/>
        <w:spacing w:after="0" w:line="250" w:lineRule="auto"/>
        <w:rPr>
          <w:sz w:val="20"/>
          <w:szCs w:val="20"/>
          <w:color w:val="auto"/>
        </w:rPr>
      </w:pPr>
      <w:r>
        <w:rPr>
          <w:rFonts w:ascii="Times New Roman" w:cs="Times New Roman" w:eastAsia="Times New Roman" w:hAnsi="Times New Roman"/>
          <w:sz w:val="20"/>
          <w:szCs w:val="20"/>
          <w:color w:val="auto"/>
        </w:rPr>
        <w:t xml:space="preserve">conditions specified in </w:t>
      </w:r>
      <w:r>
        <w:rPr>
          <w:rFonts w:ascii="Times New Roman" w:cs="Times New Roman" w:eastAsia="Times New Roman" w:hAnsi="Times New Roman"/>
          <w:sz w:val="20"/>
          <w:szCs w:val="20"/>
          <w:b w:val="1"/>
          <w:bCs w:val="1"/>
          <w:i w:val="1"/>
          <w:iCs w:val="1"/>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 at its office by crediting the account of the Borrower on the books of the Swingline Lender in Same Day Funds.</w:t>
      </w:r>
    </w:p>
    <w:p>
      <w:pPr>
        <w:spacing w:after="0" w:line="176" w:lineRule="exact"/>
        <w:rPr>
          <w:sz w:val="20"/>
          <w:szCs w:val="20"/>
          <w:color w:val="auto"/>
        </w:rPr>
      </w:pPr>
    </w:p>
    <w:p>
      <w:pPr>
        <w:ind w:left="500" w:hanging="395"/>
        <w:spacing w:after="0"/>
        <w:tabs>
          <w:tab w:leader="none" w:pos="5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Refinancing of Swingline Loans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00" w:firstLine="653"/>
        <w:spacing w:after="0" w:line="241" w:lineRule="auto"/>
        <w:tabs>
          <w:tab w:leader="none" w:pos="118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at any time in its sole discretion may request, on behalf of the Borrower (which hereby irrevocably authorizes the Swingline Lender to so request on its behalf), that each Lender make a Base Rate Loan in an amount equal to such Lender’s Applicable Revolving Percentage of the amount of Swingline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Revolving Facility and the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The Swingline Lender shall furnish the Borrower with a copy of the applicable Loan Notice promptly after delivering such notice to the Administrative Agent. Each Lender shall make an amount equal to its Applicable Revolving Percentage of the amount specified in such Loan Notice available to the Administrative Agent in Same Day Funds (and the Administrative Agent may apply Cash Collateral available with respect to the applicable Swingline Loan) for the account of the Swingline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0"/>
          <w:szCs w:val="20"/>
          <w:b w:val="1"/>
          <w:bCs w:val="1"/>
          <w:i w:val="1"/>
          <w:iCs w:val="1"/>
          <w:color w:val="auto"/>
        </w:rPr>
        <w:t>Section 2.04(c)(ii)</w:t>
      </w:r>
      <w:r>
        <w:rPr>
          <w:rFonts w:ascii="Times New Roman" w:cs="Times New Roman" w:eastAsia="Times New Roman" w:hAnsi="Times New Roman"/>
          <w:sz w:val="20"/>
          <w:szCs w:val="20"/>
          <w:color w:val="auto"/>
        </w:rPr>
        <w:t>, each Lender that so makes funds available shall be deemed to have made a Base Rate Loan to the Borrower in such amount. The Administrative Agent shall remit the funds so received to the Swingline Lender.</w:t>
      </w:r>
    </w:p>
    <w:p>
      <w:pPr>
        <w:spacing w:after="0" w:line="197" w:lineRule="exact"/>
        <w:rPr>
          <w:rFonts w:ascii="Times New Roman" w:cs="Times New Roman" w:eastAsia="Times New Roman" w:hAnsi="Times New Roman"/>
          <w:sz w:val="20"/>
          <w:szCs w:val="20"/>
          <w:color w:val="auto"/>
        </w:rPr>
      </w:pPr>
    </w:p>
    <w:p>
      <w:pPr>
        <w:jc w:val="both"/>
        <w:ind w:left="100" w:firstLine="653"/>
        <w:spacing w:after="0" w:line="245" w:lineRule="auto"/>
        <w:tabs>
          <w:tab w:leader="none" w:pos="1291"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the foregoing, if for any reason any Swingline Loan cannot be refinanced by such a Revolving Borrowing in accordance with </w:t>
      </w:r>
      <w:r>
        <w:rPr>
          <w:rFonts w:ascii="Times New Roman" w:cs="Times New Roman" w:eastAsia="Times New Roman" w:hAnsi="Times New Roman"/>
          <w:sz w:val="20"/>
          <w:szCs w:val="20"/>
          <w:b w:val="1"/>
          <w:bCs w:val="1"/>
          <w:i w:val="1"/>
          <w:iCs w:val="1"/>
          <w:color w:val="auto"/>
        </w:rPr>
        <w:t>Section 2.04(c)(i)</w:t>
      </w:r>
      <w:r>
        <w:rPr>
          <w:rFonts w:ascii="Times New Roman" w:cs="Times New Roman" w:eastAsia="Times New Roman" w:hAnsi="Times New Roman"/>
          <w:sz w:val="20"/>
          <w:szCs w:val="20"/>
          <w:color w:val="auto"/>
        </w:rPr>
        <w:t xml:space="preserve"> (including, without limitation, the failure to satisfy the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the request for Base Rate Loans submitted by the Swingline Lender as set forth herein shall be deemed to be a request by the Swingline Lender that each of the Lenders fund its risk participation in the relevant Swingline Loan and each Lender’s payment to the Administrative Agent for the account of the Swingline Lender pursuant to </w:t>
      </w:r>
      <w:r>
        <w:rPr>
          <w:rFonts w:ascii="Times New Roman" w:cs="Times New Roman" w:eastAsia="Times New Roman" w:hAnsi="Times New Roman"/>
          <w:sz w:val="20"/>
          <w:szCs w:val="20"/>
          <w:b w:val="1"/>
          <w:bCs w:val="1"/>
          <w:i w:val="1"/>
          <w:iCs w:val="1"/>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85" w:lineRule="exact"/>
        <w:rPr>
          <w:rFonts w:ascii="Times New Roman" w:cs="Times New Roman" w:eastAsia="Times New Roman" w:hAnsi="Times New Roman"/>
          <w:sz w:val="20"/>
          <w:szCs w:val="20"/>
          <w:color w:val="auto"/>
        </w:rPr>
      </w:pPr>
    </w:p>
    <w:p>
      <w:pPr>
        <w:jc w:val="both"/>
        <w:ind w:left="100" w:firstLine="653"/>
        <w:spacing w:after="0" w:line="243" w:lineRule="auto"/>
        <w:tabs>
          <w:tab w:leader="none" w:pos="126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20"/>
          <w:szCs w:val="20"/>
          <w:b w:val="1"/>
          <w:bCs w:val="1"/>
          <w:i w:val="1"/>
          <w:iCs w:val="1"/>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b w:val="1"/>
          <w:bCs w:val="1"/>
          <w:i w:val="1"/>
          <w:iCs w:val="1"/>
          <w:color w:val="auto"/>
        </w:rPr>
        <w:t>Section 2.04(c)(i)</w:t>
      </w:r>
      <w:r>
        <w:rPr>
          <w:rFonts w:ascii="Times New Roman" w:cs="Times New Roman" w:eastAsia="Times New Roman" w:hAnsi="Times New Roman"/>
          <w:sz w:val="20"/>
          <w:szCs w:val="20"/>
          <w:color w:val="auto"/>
        </w:rPr>
        <w:t>, the Swingline Lender shall be entitled to recover from such Lender (acting through the Administrative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Agent), on demand, such amount with interest thereon for the period from the date such payment is required to the date on which such payment is immediately available to the Swingline Lender at a rate per annum equal to the applicable Overnight Rate from time to time in effect,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w:t>
      </w:r>
    </w:p>
    <w:p>
      <w:pPr>
        <w:sectPr>
          <w:pgSz w:w="11900" w:h="16838" w:orient="portrait"/>
          <w:cols w:equalWidth="0" w:num="1">
            <w:col w:w="10220"/>
          </w:cols>
          <w:pgMar w:left="1440" w:top="558" w:right="239" w:bottom="1440" w:gutter="0" w:footer="0" w:header="0"/>
        </w:sectPr>
      </w:pPr>
    </w:p>
    <w:bookmarkStart w:id="116" w:name="page117"/>
    <w:bookmarkEnd w:id="116"/>
    <w:p>
      <w:pPr>
        <w:ind w:left="640"/>
        <w:spacing w:after="0" w:line="273" w:lineRule="auto"/>
        <w:rPr>
          <w:sz w:val="20"/>
          <w:szCs w:val="20"/>
          <w:color w:val="auto"/>
        </w:rPr>
      </w:pPr>
      <w:r>
        <w:rPr>
          <w:rFonts w:ascii="Times New Roman" w:cs="Times New Roman" w:eastAsia="Times New Roman" w:hAnsi="Times New Roman"/>
          <w:sz w:val="20"/>
          <w:szCs w:val="20"/>
          <w:color w:val="auto"/>
        </w:rPr>
        <w:t xml:space="preserve">submitted to any Lender (through the Administrative Agent) with respect to any amounts owing under this </w:t>
      </w:r>
      <w:r>
        <w:rPr>
          <w:rFonts w:ascii="Times New Roman" w:cs="Times New Roman" w:eastAsia="Times New Roman" w:hAnsi="Times New Roman"/>
          <w:sz w:val="20"/>
          <w:szCs w:val="20"/>
          <w:b w:val="1"/>
          <w:bCs w:val="1"/>
          <w:i w:val="1"/>
          <w:iCs w:val="1"/>
          <w:color w:val="auto"/>
        </w:rPr>
        <w:t>clause (c)(iii)</w:t>
      </w:r>
      <w:r>
        <w:rPr>
          <w:rFonts w:ascii="Times New Roman" w:cs="Times New Roman" w:eastAsia="Times New Roman" w:hAnsi="Times New Roman"/>
          <w:sz w:val="20"/>
          <w:szCs w:val="20"/>
          <w:color w:val="auto"/>
        </w:rPr>
        <w:t xml:space="preserve"> shall be conclusive absent manifest error.</w:t>
      </w:r>
    </w:p>
    <w:p>
      <w:pPr>
        <w:spacing w:after="0" w:line="156" w:lineRule="exact"/>
        <w:rPr>
          <w:sz w:val="20"/>
          <w:szCs w:val="20"/>
          <w:color w:val="auto"/>
        </w:rPr>
      </w:pPr>
    </w:p>
    <w:p>
      <w:pPr>
        <w:jc w:val="both"/>
        <w:ind w:left="640" w:firstLine="653"/>
        <w:spacing w:after="0" w:line="243" w:lineRule="auto"/>
        <w:tabs>
          <w:tab w:leader="none" w:pos="184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to purchase and fund risk participations in Swingline Loans pursuant to this </w:t>
      </w:r>
      <w:r>
        <w:rPr>
          <w:rFonts w:ascii="Times New Roman" w:cs="Times New Roman" w:eastAsia="Times New Roman" w:hAnsi="Times New Roman"/>
          <w:sz w:val="20"/>
          <w:szCs w:val="20"/>
          <w:b w:val="1"/>
          <w:bCs w:val="1"/>
          <w:i w:val="1"/>
          <w:iCs w:val="1"/>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b w:val="1"/>
          <w:bCs w:val="1"/>
          <w:i w:val="1"/>
          <w:iCs w:val="1"/>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85"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Repayment of Participations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68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Swingline Loan, if the Swingline Lender receives any payment on account of such Swingline Loan, the Swingline Lender will distribute to such Lender its Applicable Revolving Percentage thereof in the same funds as those received by the Swingline Lender.</w:t>
      </w:r>
    </w:p>
    <w:p>
      <w:pPr>
        <w:spacing w:after="0" w:line="174" w:lineRule="exact"/>
        <w:rPr>
          <w:rFonts w:ascii="Times New Roman" w:cs="Times New Roman" w:eastAsia="Times New Roman" w:hAnsi="Times New Roman"/>
          <w:sz w:val="20"/>
          <w:szCs w:val="20"/>
          <w:color w:val="auto"/>
        </w:rPr>
      </w:pPr>
    </w:p>
    <w:p>
      <w:pPr>
        <w:jc w:val="both"/>
        <w:ind w:left="640" w:firstLine="653"/>
        <w:spacing w:after="0" w:line="244" w:lineRule="auto"/>
        <w:tabs>
          <w:tab w:leader="none" w:pos="1777"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20"/>
          <w:szCs w:val="20"/>
          <w:b w:val="1"/>
          <w:bCs w:val="1"/>
          <w:i w:val="1"/>
          <w:iCs w:val="1"/>
          <w:color w:val="auto"/>
        </w:rPr>
        <w:t>Section 11.05</w:t>
      </w:r>
      <w:r>
        <w:rPr>
          <w:rFonts w:ascii="Times New Roman" w:cs="Times New Roman" w:eastAsia="Times New Roman" w:hAnsi="Times New Roman"/>
          <w:sz w:val="20"/>
          <w:szCs w:val="20"/>
          <w:color w:val="auto"/>
        </w:rPr>
        <w:t xml:space="preserve"> (including pursuant to any settlement entered into by the Swingline Lender in its discretion), each Lender shall pay to the Swingline Lender its Applicable Revolving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Swingline Lender. The obligations of the Lenders under this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shall survive the payment in full of the Obligations and the termination of this Agreement.</w:t>
      </w:r>
    </w:p>
    <w:p>
      <w:pPr>
        <w:spacing w:after="0" w:line="182" w:lineRule="exact"/>
        <w:rPr>
          <w:rFonts w:ascii="Times New Roman" w:cs="Times New Roman" w:eastAsia="Times New Roman" w:hAnsi="Times New Roman"/>
          <w:sz w:val="20"/>
          <w:szCs w:val="20"/>
          <w:color w:val="auto"/>
        </w:rPr>
      </w:pPr>
    </w:p>
    <w:p>
      <w:pPr>
        <w:jc w:val="both"/>
        <w:ind w:firstLine="645"/>
        <w:spacing w:after="0" w:line="250" w:lineRule="auto"/>
        <w:tabs>
          <w:tab w:leader="none" w:pos="110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for Account of Swingline Lender</w:t>
      </w:r>
      <w:r>
        <w:rPr>
          <w:rFonts w:ascii="Times New Roman" w:cs="Times New Roman" w:eastAsia="Times New Roman" w:hAnsi="Times New Roman"/>
          <w:sz w:val="20"/>
          <w:szCs w:val="20"/>
          <w:color w:val="auto"/>
        </w:rPr>
        <w:t>. The Swingline Lender shall be responsible for invoicing the Borrower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interest on the Swingline Loans. Until each Lender funds its Base Rate Loan or risk participation pursuant to this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xml:space="preserve"> to refinance such Lender’s Applicable Revolving Percentage of any Swingline Loan, interest in respect of such Applicable Revolving Percentage shall be solely for the account of the Swingline Lender.</w:t>
      </w:r>
    </w:p>
    <w:p>
      <w:pPr>
        <w:spacing w:after="0" w:line="176" w:lineRule="exact"/>
        <w:rPr>
          <w:rFonts w:ascii="Times New Roman" w:cs="Times New Roman" w:eastAsia="Times New Roman" w:hAnsi="Times New Roman"/>
          <w:sz w:val="20"/>
          <w:szCs w:val="20"/>
          <w:color w:val="auto"/>
        </w:rPr>
      </w:pPr>
    </w:p>
    <w:p>
      <w:pPr>
        <w:ind w:firstLine="645"/>
        <w:spacing w:after="0" w:line="273" w:lineRule="auto"/>
        <w:tabs>
          <w:tab w:leader="none" w:pos="102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Directly to Swingline Lender</w:t>
      </w:r>
      <w:r>
        <w:rPr>
          <w:rFonts w:ascii="Times New Roman" w:cs="Times New Roman" w:eastAsia="Times New Roman" w:hAnsi="Times New Roman"/>
          <w:sz w:val="20"/>
          <w:szCs w:val="20"/>
          <w:color w:val="auto"/>
        </w:rPr>
        <w:t>. The Borrower shall make all payments of principal and interest in respect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Swingline Loans directly to the Swingline Lender.</w:t>
      </w:r>
    </w:p>
    <w:p>
      <w:pPr>
        <w:spacing w:after="0" w:line="15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b w:val="1"/>
          <w:bCs w:val="1"/>
          <w:color w:val="auto"/>
        </w:rPr>
        <w:t>Prepayments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40" w:hanging="395"/>
        <w:spacing w:after="0"/>
        <w:tabs>
          <w:tab w:leader="none" w:pos="10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Optional</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65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notice to the Administrative Agent pursuant to delivery to the Administrative Agent of a Notice of Loan Prepayment, at any time or from time to time voluntarily prepay Revolving Loans in whole or in part without premium or penalty subject to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notice must be received by the</w:t>
      </w:r>
    </w:p>
    <w:p>
      <w:pPr>
        <w:sectPr>
          <w:pgSz w:w="11900" w:h="16838" w:orient="portrait"/>
          <w:cols w:equalWidth="0" w:num="1">
            <w:col w:w="10760"/>
          </w:cols>
          <w:pgMar w:left="900" w:top="558" w:right="239" w:bottom="1440" w:gutter="0" w:footer="0" w:header="0"/>
        </w:sectPr>
      </w:pPr>
    </w:p>
    <w:bookmarkStart w:id="117" w:name="page118"/>
    <w:bookmarkEnd w:id="117"/>
    <w:p>
      <w:pPr>
        <w:jc w:val="both"/>
        <w:ind w:left="100"/>
        <w:spacing w:after="0" w:line="255" w:lineRule="auto"/>
        <w:rPr>
          <w:sz w:val="20"/>
          <w:szCs w:val="20"/>
          <w:color w:val="auto"/>
        </w:rPr>
      </w:pPr>
      <w:r>
        <w:rPr>
          <w:rFonts w:ascii="Times New Roman" w:cs="Times New Roman" w:eastAsia="Times New Roman" w:hAnsi="Times New Roman"/>
          <w:sz w:val="19"/>
          <w:szCs w:val="19"/>
          <w:color w:val="auto"/>
        </w:rPr>
        <w:t xml:space="preserve">Administrative Agent not later than 11:00 a.m. (1) three (3) Business Days prior to any date of prepayment of Eurocurrency Rate Loans denominated in Dollars, (2) four (4) Business Days (or five (5), in the case of prepayment of Loans denominated in Special Notice Currencies) prior to any date of prepayment of Eurocurrency Rate Loans denominated in Alternative Currencies, and (3) on the date of prepayment of Base Rate Loans; (B) any prepayment of Eurocurrency Rate Loans denominated in Dollars shall be in a principal amount of $500,000 or a whole multiple of $100,000 in excess thereof; (C) any prepayment of Eurocurrency Rate Loans denominated in Alternative Currencies shall be in a minimum principal amount of $500,000 or a whole multiple of $100,000 in excess thereof; and (D) any prepayment of Base Rate Loans shall be in a principal amount of $500,000 or a whole multiple of $100,000 in excess thereof or, in each case, if less, the entire principal amount thereof then outstanding.· Each such notice shall specify the date, the currency, and amount of such prepayment and the Type(s) of Loans to be prepaid and, if Eurocurrency Rate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Borrower, the Borrower shall make such prepayment and the payment amount specified in such notice shall be due and payable on the date specified therein. Any prepayment of principal shall be accompanied by all accrued interest on the amount prepaid, together with any additional amounts required pursuant to </w:t>
      </w:r>
      <w:r>
        <w:rPr>
          <w:rFonts w:ascii="Times New Roman" w:cs="Times New Roman" w:eastAsia="Times New Roman" w:hAnsi="Times New Roman"/>
          <w:sz w:val="19"/>
          <w:szCs w:val="19"/>
          <w:b w:val="1"/>
          <w:bCs w:val="1"/>
          <w:i w:val="1"/>
          <w:iCs w:val="1"/>
          <w:color w:val="auto"/>
        </w:rPr>
        <w:t>Section 3.05</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b w:val="1"/>
          <w:bCs w:val="1"/>
          <w:i w:val="1"/>
          <w:iCs w:val="1"/>
          <w:color w:val="auto"/>
        </w:rPr>
        <w:t>Section 2.15</w:t>
      </w:r>
      <w:r>
        <w:rPr>
          <w:rFonts w:ascii="Times New Roman" w:cs="Times New Roman" w:eastAsia="Times New Roman" w:hAnsi="Times New Roman"/>
          <w:sz w:val="19"/>
          <w:szCs w:val="19"/>
          <w:color w:val="auto"/>
        </w:rPr>
        <w:t>, such prepayments shall be paid to the Lenders in accordance with their respective Applicable Percentages in respect of the Revolving Facility.</w:t>
      </w:r>
    </w:p>
    <w:p>
      <w:pPr>
        <w:spacing w:after="0" w:line="175" w:lineRule="exact"/>
        <w:rPr>
          <w:sz w:val="20"/>
          <w:szCs w:val="20"/>
          <w:color w:val="auto"/>
        </w:rPr>
      </w:pPr>
    </w:p>
    <w:p>
      <w:pPr>
        <w:jc w:val="both"/>
        <w:ind w:left="100" w:firstLine="653"/>
        <w:spacing w:after="0" w:line="260" w:lineRule="auto"/>
        <w:tabs>
          <w:tab w:leader="none" w:pos="117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unless otherwise agreed by the Swingline Lender,</w:t>
      </w:r>
    </w:p>
    <w:p>
      <w:pPr>
        <w:jc w:val="both"/>
        <w:ind w:left="100" w:firstLine="5"/>
        <w:spacing w:after="0" w:line="241" w:lineRule="auto"/>
        <w:tabs>
          <w:tab w:leader="none" w:pos="42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83" w:lineRule="exact"/>
        <w:rPr>
          <w:sz w:val="20"/>
          <w:szCs w:val="20"/>
          <w:color w:val="auto"/>
        </w:rPr>
      </w:pPr>
    </w:p>
    <w:p>
      <w:pPr>
        <w:ind w:left="-540" w:right="20" w:firstLine="645"/>
        <w:spacing w:after="0" w:line="273" w:lineRule="auto"/>
        <w:tabs>
          <w:tab w:leader="none" w:pos="51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Mandatory</w:t>
      </w:r>
      <w:r>
        <w:rPr>
          <w:rFonts w:ascii="Times New Roman" w:cs="Times New Roman" w:eastAsia="Times New Roman" w:hAnsi="Times New Roman"/>
          <w:sz w:val="20"/>
          <w:szCs w:val="20"/>
          <w:color w:val="auto"/>
        </w:rPr>
        <w:t>. Immediately upon receipt, the Borrower shall prepay the Loan and/or Cash Collateralize the L/C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hereinafter provided in an aggregate amount equal to:</w:t>
      </w:r>
    </w:p>
    <w:p>
      <w:pPr>
        <w:spacing w:after="0" w:line="152" w:lineRule="exact"/>
        <w:rPr>
          <w:rFonts w:ascii="Times New Roman" w:cs="Times New Roman" w:eastAsia="Times New Roman" w:hAnsi="Times New Roman"/>
          <w:sz w:val="20"/>
          <w:szCs w:val="20"/>
          <w:color w:val="auto"/>
        </w:rPr>
      </w:pPr>
    </w:p>
    <w:p>
      <w:pPr>
        <w:jc w:val="both"/>
        <w:ind w:left="100" w:firstLine="653"/>
        <w:spacing w:after="0" w:line="246" w:lineRule="auto"/>
        <w:tabs>
          <w:tab w:leader="none" w:pos="112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Dispositions and Involuntary Dispositions</w:t>
      </w:r>
      <w:r>
        <w:rPr>
          <w:rFonts w:ascii="Times New Roman" w:cs="Times New Roman" w:eastAsia="Times New Roman" w:hAnsi="Times New Roman"/>
          <w:sz w:val="20"/>
          <w:szCs w:val="20"/>
          <w:color w:val="auto"/>
        </w:rPr>
        <w:t>. 100% of the Net Cash Proceeds from the Disposition of any asset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or any of its Subsidiaries (excluding Dispositions expressly permitted under Section 7.05), unless, prior to or within 30 days after receipt of the proceeds, a Responsible Officer of Borrower delivers to Administrative Agent a certificate certifying that such proceeds will be used to purchase a replacement asset that is substantially similar to the asset being disposed of or to acquire another asset useful in the business of Borrower or such Subsidiary that received the Net Cash Proceeds within 60 days after receipt of such proceeds;</w:t>
      </w:r>
    </w:p>
    <w:p>
      <w:pPr>
        <w:spacing w:after="0" w:line="179" w:lineRule="exact"/>
        <w:rPr>
          <w:rFonts w:ascii="Times New Roman" w:cs="Times New Roman" w:eastAsia="Times New Roman" w:hAnsi="Times New Roman"/>
          <w:sz w:val="20"/>
          <w:szCs w:val="20"/>
          <w:color w:val="auto"/>
        </w:rPr>
      </w:pPr>
    </w:p>
    <w:p>
      <w:pPr>
        <w:ind w:left="100" w:firstLine="653"/>
        <w:spacing w:after="0" w:line="273" w:lineRule="auto"/>
        <w:tabs>
          <w:tab w:leader="none" w:pos="118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Equity Issuance</w:t>
      </w:r>
      <w:r>
        <w:rPr>
          <w:rFonts w:ascii="Times New Roman" w:cs="Times New Roman" w:eastAsia="Times New Roman" w:hAnsi="Times New Roman"/>
          <w:sz w:val="20"/>
          <w:szCs w:val="20"/>
          <w:color w:val="auto"/>
        </w:rPr>
        <w:t>. 50% of the Net Cash Proceeds from the issuance of any Equity Interest by Borrower or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Subsidiaries, excluding Equity Interests issued (A)</w:t>
      </w:r>
    </w:p>
    <w:p>
      <w:pPr>
        <w:sectPr>
          <w:pgSz w:w="11900" w:h="16838" w:orient="portrait"/>
          <w:cols w:equalWidth="0" w:num="1">
            <w:col w:w="10220"/>
          </w:cols>
          <w:pgMar w:left="1440" w:top="562" w:right="239" w:bottom="1440" w:gutter="0" w:footer="0" w:header="0"/>
        </w:sectPr>
      </w:pPr>
    </w:p>
    <w:bookmarkStart w:id="118" w:name="page119"/>
    <w:bookmarkEnd w:id="118"/>
    <w:p>
      <w:pPr>
        <w:jc w:val="both"/>
        <w:ind w:left="100"/>
        <w:spacing w:after="0" w:line="254" w:lineRule="auto"/>
        <w:rPr>
          <w:sz w:val="20"/>
          <w:szCs w:val="20"/>
          <w:color w:val="auto"/>
        </w:rPr>
      </w:pPr>
      <w:r>
        <w:rPr>
          <w:rFonts w:ascii="Times New Roman" w:cs="Times New Roman" w:eastAsia="Times New Roman" w:hAnsi="Times New Roman"/>
          <w:sz w:val="20"/>
          <w:szCs w:val="20"/>
          <w:color w:val="auto"/>
        </w:rPr>
        <w:t>to officers or employees of Borrower as part of a compensation agreement, (B) to any current holder of an Equity Interest in Borrower pursuant to a commitment that became legally enforceable against the Borrower prior to the Closing Date, and (C) in connection with an Acquisition to which Administrative Agent has given its prior written consent;</w:t>
      </w:r>
    </w:p>
    <w:p>
      <w:pPr>
        <w:spacing w:after="0" w:line="171" w:lineRule="exact"/>
        <w:rPr>
          <w:sz w:val="20"/>
          <w:szCs w:val="20"/>
          <w:color w:val="auto"/>
        </w:rPr>
      </w:pPr>
    </w:p>
    <w:p>
      <w:pPr>
        <w:ind w:left="100" w:right="20" w:firstLine="653"/>
        <w:spacing w:after="0" w:line="273" w:lineRule="auto"/>
        <w:tabs>
          <w:tab w:leader="none" w:pos="122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Consolidated Funded Indebtedness. </w:t>
      </w:r>
      <w:r>
        <w:rPr>
          <w:rFonts w:ascii="Times New Roman" w:cs="Times New Roman" w:eastAsia="Times New Roman" w:hAnsi="Times New Roman"/>
          <w:sz w:val="20"/>
          <w:szCs w:val="20"/>
          <w:color w:val="auto"/>
        </w:rPr>
        <w:t>100% of the Net Cash Proceeds of any Consolidated Funded Indebtedness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incurred by Borrower or any of its Subsidiaries after the Closing Date, excluding the Obligations;</w:t>
      </w:r>
    </w:p>
    <w:p>
      <w:pPr>
        <w:spacing w:after="0" w:line="152" w:lineRule="exact"/>
        <w:rPr>
          <w:rFonts w:ascii="Times New Roman" w:cs="Times New Roman" w:eastAsia="Times New Roman" w:hAnsi="Times New Roman"/>
          <w:sz w:val="20"/>
          <w:szCs w:val="20"/>
          <w:color w:val="auto"/>
        </w:rPr>
      </w:pPr>
    </w:p>
    <w:p>
      <w:pPr>
        <w:jc w:val="both"/>
        <w:ind w:left="100" w:firstLine="653"/>
        <w:spacing w:after="0" w:line="246" w:lineRule="auto"/>
        <w:tabs>
          <w:tab w:leader="none" w:pos="136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Insurance Proceeds</w:t>
      </w:r>
      <w:r>
        <w:rPr>
          <w:rFonts w:ascii="Times New Roman" w:cs="Times New Roman" w:eastAsia="Times New Roman" w:hAnsi="Times New Roman"/>
          <w:sz w:val="20"/>
          <w:szCs w:val="20"/>
          <w:color w:val="auto"/>
        </w:rPr>
        <w:t>. 100% of Insurance Proceeds, unless, prior to or within 30 days after receipt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Proceeds, a Responsible Officer of Borrower delivers to Administrative Agent a certificate certifying that such proceeds will be used to repair, restore or replace the remaining portion of the damaged property or to acquire another asset useful in the business of Borrower or the Subsidiary that received such Insurance Proceeds within 180 days after receipt of such proceeds (or such longer period of time as Administrative Agent and Borrower agree is reasonable for the replacement of such damaged property);</w:t>
      </w:r>
    </w:p>
    <w:p>
      <w:pPr>
        <w:spacing w:after="0" w:line="179" w:lineRule="exact"/>
        <w:rPr>
          <w:rFonts w:ascii="Times New Roman" w:cs="Times New Roman" w:eastAsia="Times New Roman" w:hAnsi="Times New Roman"/>
          <w:sz w:val="20"/>
          <w:szCs w:val="20"/>
          <w:color w:val="auto"/>
        </w:rPr>
      </w:pPr>
    </w:p>
    <w:p>
      <w:pPr>
        <w:jc w:val="both"/>
        <w:ind w:left="100" w:firstLine="653"/>
        <w:spacing w:after="0" w:line="246" w:lineRule="auto"/>
        <w:tabs>
          <w:tab w:leader="none" w:pos="11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Eminent Domain Proceeds</w:t>
      </w:r>
      <w:r>
        <w:rPr>
          <w:rFonts w:ascii="Times New Roman" w:cs="Times New Roman" w:eastAsia="Times New Roman" w:hAnsi="Times New Roman"/>
          <w:sz w:val="20"/>
          <w:szCs w:val="20"/>
          <w:color w:val="auto"/>
        </w:rPr>
        <w:t>. 100% of Eminent Domain Proceeds, unless, prior to or within 30 days after receipt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Eminent Domain Proceeds, a Responsible Officer of Borrower delivers to Administrative Agent a certificate certifying that such proceeds will be used to repair, restore or replace the remaining portion of the condemned property or to acquire another asset useful in the business of Borrower or the Subsidiary that received such Eminent Domain Proceeds within 180 days after receipt of such proceeds (or such longer period of time as Administrative Agent and Borrower agree is reasonable for the replacement of such damaged property).</w:t>
      </w:r>
    </w:p>
    <w:p>
      <w:pPr>
        <w:spacing w:after="0" w:line="179" w:lineRule="exact"/>
        <w:rPr>
          <w:rFonts w:ascii="Times New Roman" w:cs="Times New Roman" w:eastAsia="Times New Roman" w:hAnsi="Times New Roman"/>
          <w:sz w:val="20"/>
          <w:szCs w:val="20"/>
          <w:color w:val="auto"/>
        </w:rPr>
      </w:pPr>
    </w:p>
    <w:p>
      <w:pPr>
        <w:jc w:val="both"/>
        <w:ind w:left="100" w:firstLine="653"/>
        <w:spacing w:after="0" w:line="250" w:lineRule="auto"/>
        <w:tabs>
          <w:tab w:leader="none" w:pos="136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 of Payments</w:t>
      </w:r>
      <w:r>
        <w:rPr>
          <w:rFonts w:ascii="Times New Roman" w:cs="Times New Roman" w:eastAsia="Times New Roman" w:hAnsi="Times New Roman"/>
          <w:sz w:val="20"/>
          <w:szCs w:val="20"/>
          <w:color w:val="auto"/>
        </w:rPr>
        <w:t>. Each prepayment of Loans pursuant to the foregoing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clauses (i)</w:t>
      </w:r>
      <w:r>
        <w:rPr>
          <w:rFonts w:ascii="Times New Roman" w:cs="Times New Roman" w:eastAsia="Times New Roman" w:hAnsi="Times New Roman"/>
          <w:sz w:val="20"/>
          <w:szCs w:val="20"/>
          <w:b w:val="1"/>
          <w:bCs w:val="1"/>
          <w:color w:val="auto"/>
        </w:rPr>
        <w:t xml:space="preserve"> through </w:t>
      </w:r>
      <w:r>
        <w:rPr>
          <w:rFonts w:ascii="Times New Roman" w:cs="Times New Roman" w:eastAsia="Times New Roman" w:hAnsi="Times New Roman"/>
          <w:sz w:val="20"/>
          <w:szCs w:val="20"/>
          <w:b w:val="1"/>
          <w:bCs w:val="1"/>
          <w:i w:val="1"/>
          <w:iCs w:val="1"/>
          <w:color w:val="auto"/>
        </w:rPr>
        <w:t>(v)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applied, to the Revolving Facility in the manner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 (viii)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i w:val="1"/>
          <w:iCs w:val="1"/>
          <w:color w:val="auto"/>
        </w:rPr>
        <w:t xml:space="preserve"> Section 2.15</w:t>
      </w:r>
      <w:r>
        <w:rPr>
          <w:rFonts w:ascii="Times New Roman" w:cs="Times New Roman" w:eastAsia="Times New Roman" w:hAnsi="Times New Roman"/>
          <w:sz w:val="20"/>
          <w:szCs w:val="20"/>
          <w:color w:val="auto"/>
        </w:rPr>
        <w:t>, such prepayments shall be paid to the Lenders in accordance with their respective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Applicable Percentages in respect of the relevant Facilities.</w:t>
      </w:r>
    </w:p>
    <w:p>
      <w:pPr>
        <w:spacing w:after="0" w:line="176" w:lineRule="exact"/>
        <w:rPr>
          <w:rFonts w:ascii="Times New Roman" w:cs="Times New Roman" w:eastAsia="Times New Roman" w:hAnsi="Times New Roman"/>
          <w:sz w:val="20"/>
          <w:szCs w:val="20"/>
          <w:color w:val="auto"/>
        </w:rPr>
      </w:pPr>
    </w:p>
    <w:p>
      <w:pPr>
        <w:jc w:val="both"/>
        <w:ind w:left="100" w:firstLine="653"/>
        <w:spacing w:after="0" w:line="264" w:lineRule="auto"/>
        <w:tabs>
          <w:tab w:leader="none" w:pos="128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Revolving Outstandings</w:t>
      </w:r>
      <w:r>
        <w:rPr>
          <w:rFonts w:ascii="Times New Roman" w:cs="Times New Roman" w:eastAsia="Times New Roman" w:hAnsi="Times New Roman"/>
          <w:sz w:val="19"/>
          <w:szCs w:val="19"/>
          <w:color w:val="auto"/>
        </w:rPr>
        <w:t>. If for any reason the Total Revolving Outstandings at any time exceed the Revolving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Facility at such time, the Borrower shall immediately prepay Revolving Loans, Swingline Loans and L/C Borrowings and/or Cash Collateralize the L/C Obligations in an aggregate amount equal to such excess;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Borrower shall not be required to Cash Collateralize the L/C Obligations pursuant to this </w:t>
      </w:r>
      <w:r>
        <w:rPr>
          <w:rFonts w:ascii="Times New Roman" w:cs="Times New Roman" w:eastAsia="Times New Roman" w:hAnsi="Times New Roman"/>
          <w:sz w:val="19"/>
          <w:szCs w:val="19"/>
          <w:b w:val="1"/>
          <w:bCs w:val="1"/>
          <w:i w:val="1"/>
          <w:iCs w:val="1"/>
          <w:color w:val="auto"/>
        </w:rPr>
        <w:t>Section 2.05(b)</w:t>
      </w:r>
      <w:r>
        <w:rPr>
          <w:rFonts w:ascii="Times New Roman" w:cs="Times New Roman" w:eastAsia="Times New Roman" w:hAnsi="Times New Roman"/>
          <w:sz w:val="19"/>
          <w:szCs w:val="19"/>
          <w:color w:val="auto"/>
        </w:rPr>
        <w:t xml:space="preserve"> unless, after the prepayment of the Revolving Loans and Swingline Loans, the Total Revolving Outstandings exceed the Revolving Facility at such time.</w:t>
      </w:r>
    </w:p>
    <w:p>
      <w:pPr>
        <w:spacing w:after="0" w:line="162" w:lineRule="exact"/>
        <w:rPr>
          <w:rFonts w:ascii="Times New Roman" w:cs="Times New Roman" w:eastAsia="Times New Roman" w:hAnsi="Times New Roman"/>
          <w:sz w:val="19"/>
          <w:szCs w:val="19"/>
          <w:color w:val="auto"/>
        </w:rPr>
      </w:pPr>
    </w:p>
    <w:p>
      <w:pPr>
        <w:jc w:val="both"/>
        <w:ind w:left="100" w:firstLine="653"/>
        <w:spacing w:after="0" w:line="264" w:lineRule="auto"/>
        <w:tabs>
          <w:tab w:leader="none" w:pos="1337"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Application of Other Payments</w:t>
      </w:r>
      <w:r>
        <w:rPr>
          <w:rFonts w:ascii="Times New Roman" w:cs="Times New Roman" w:eastAsia="Times New Roman" w:hAnsi="Times New Roman"/>
          <w:sz w:val="19"/>
          <w:szCs w:val="19"/>
          <w:color w:val="auto"/>
        </w:rPr>
        <w:t>. Except as otherwise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Section 2.15</w:t>
      </w:r>
      <w:r>
        <w:rPr>
          <w:rFonts w:ascii="Times New Roman" w:cs="Times New Roman" w:eastAsia="Times New Roman" w:hAnsi="Times New Roman"/>
          <w:sz w:val="19"/>
          <w:szCs w:val="19"/>
          <w:color w:val="auto"/>
        </w:rPr>
        <w:t>, prepayments of the Revolving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Facility made pursuant to this </w:t>
      </w:r>
      <w:r>
        <w:rPr>
          <w:rFonts w:ascii="Times New Roman" w:cs="Times New Roman" w:eastAsia="Times New Roman" w:hAnsi="Times New Roman"/>
          <w:sz w:val="19"/>
          <w:szCs w:val="19"/>
          <w:b w:val="1"/>
          <w:bCs w:val="1"/>
          <w:i w:val="1"/>
          <w:iCs w:val="1"/>
          <w:color w:val="auto"/>
        </w:rPr>
        <w:t>Section 2.05(b)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shall be applied ratably to the L/C Borrowings and the Swingline Loans,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shall be applied to the outstanding Revolving Loans, and,</w:t>
      </w:r>
      <w:r>
        <w:rPr>
          <w:rFonts w:ascii="Times New Roman" w:cs="Times New Roman" w:eastAsia="Times New Roman" w:hAnsi="Times New Roman"/>
          <w:sz w:val="19"/>
          <w:szCs w:val="19"/>
          <w:i w:val="1"/>
          <w:iCs w:val="1"/>
          <w:color w:val="auto"/>
        </w:rPr>
        <w:t xml:space="preserve"> third</w:t>
      </w:r>
      <w:r>
        <w:rPr>
          <w:rFonts w:ascii="Times New Roman" w:cs="Times New Roman" w:eastAsia="Times New Roman" w:hAnsi="Times New Roman"/>
          <w:sz w:val="19"/>
          <w:szCs w:val="19"/>
          <w:color w:val="auto"/>
        </w:rPr>
        <w:t>, at the option of Administrative Agent, shall be used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Cash Collateralize the remaining L/C Obligations. Upon the drawing of any Letter of Credit that has been Cash Collateralized, the funds held as Cash Collateral shall be applied (without any further action by or notice to or from the Borrower or any</w:t>
      </w:r>
    </w:p>
    <w:p>
      <w:pPr>
        <w:sectPr>
          <w:pgSz w:w="11900" w:h="16838" w:orient="portrait"/>
          <w:cols w:equalWidth="0" w:num="1">
            <w:col w:w="10220"/>
          </w:cols>
          <w:pgMar w:left="1440" w:top="562" w:right="239" w:bottom="1440" w:gutter="0" w:footer="0" w:header="0"/>
        </w:sectPr>
      </w:pPr>
    </w:p>
    <w:bookmarkStart w:id="119" w:name="page120"/>
    <w:bookmarkEnd w:id="119"/>
    <w:p>
      <w:pPr>
        <w:ind w:left="644"/>
        <w:spacing w:after="0" w:line="269" w:lineRule="auto"/>
        <w:rPr>
          <w:sz w:val="20"/>
          <w:szCs w:val="20"/>
          <w:color w:val="auto"/>
        </w:rPr>
      </w:pPr>
      <w:r>
        <w:rPr>
          <w:rFonts w:ascii="Times New Roman" w:cs="Times New Roman" w:eastAsia="Times New Roman" w:hAnsi="Times New Roman"/>
          <w:sz w:val="20"/>
          <w:szCs w:val="20"/>
          <w:color w:val="auto"/>
        </w:rPr>
        <w:t>other Loan Party or any Defaulting Lender that has provided Cash Collateral) to reimburse the L/C Issuer or the Lenders, as applicable.</w:t>
      </w:r>
    </w:p>
    <w:p>
      <w:pPr>
        <w:spacing w:after="0" w:line="156" w:lineRule="exact"/>
        <w:rPr>
          <w:sz w:val="20"/>
          <w:szCs w:val="20"/>
          <w:color w:val="auto"/>
        </w:rPr>
      </w:pPr>
    </w:p>
    <w:p>
      <w:pPr>
        <w:jc w:val="both"/>
        <w:ind w:left="4" w:firstLine="648"/>
        <w:spacing w:after="0" w:line="250"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pursuant to this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 xml:space="preserve"> shall be applied first to Base Rate Loans and then to Eurocurrency Rate Loans in direct order of Interest Period maturities. All prepayments under this </w:t>
      </w:r>
      <w:r>
        <w:rPr>
          <w:rFonts w:ascii="Times New Roman" w:cs="Times New Roman" w:eastAsia="Times New Roman" w:hAnsi="Times New Roman"/>
          <w:sz w:val="20"/>
          <w:szCs w:val="20"/>
          <w:b w:val="1"/>
          <w:bCs w:val="1"/>
          <w:i w:val="1"/>
          <w:iCs w:val="1"/>
          <w:color w:val="auto"/>
        </w:rPr>
        <w:t xml:space="preserve">Section 2.05(b) </w:t>
      </w:r>
      <w:r>
        <w:rPr>
          <w:rFonts w:ascii="Times New Roman" w:cs="Times New Roman" w:eastAsia="Times New Roman" w:hAnsi="Times New Roman"/>
          <w:sz w:val="20"/>
          <w:szCs w:val="20"/>
          <w:color w:val="auto"/>
        </w:rPr>
        <w:t>shall be subject to</w:t>
      </w:r>
      <w:r>
        <w:rPr>
          <w:rFonts w:ascii="Times New Roman" w:cs="Times New Roman" w:eastAsia="Times New Roman" w:hAnsi="Times New Roman"/>
          <w:sz w:val="20"/>
          <w:szCs w:val="20"/>
          <w:b w:val="1"/>
          <w:bCs w:val="1"/>
          <w:i w:val="1"/>
          <w:iCs w:val="1"/>
          <w:color w:val="auto"/>
        </w:rPr>
        <w:t xml:space="preserve"> Section 3.05</w:t>
      </w:r>
      <w:r>
        <w:rPr>
          <w:rFonts w:ascii="Times New Roman" w:cs="Times New Roman" w:eastAsia="Times New Roman" w:hAnsi="Times New Roman"/>
          <w:sz w:val="20"/>
          <w:szCs w:val="20"/>
          <w:color w:val="auto"/>
        </w:rPr>
        <w:t>, but otherwise without premium or penalty, and shall be accompanied by interest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principal amount prepaid through the date of prepayment.</w:t>
      </w:r>
    </w:p>
    <w:p>
      <w:pPr>
        <w:spacing w:after="0" w:line="176" w:lineRule="exact"/>
        <w:rPr>
          <w:sz w:val="20"/>
          <w:szCs w:val="20"/>
          <w:color w:val="auto"/>
        </w:rPr>
      </w:pPr>
    </w:p>
    <w:p>
      <w:pPr>
        <w:ind w:left="4"/>
        <w:spacing w:after="0"/>
        <w:tabs>
          <w:tab w:leader="none" w:pos="503"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b w:val="1"/>
          <w:bCs w:val="1"/>
          <w:color w:val="auto"/>
        </w:rPr>
        <w:t>Termination or Reduction of 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4" w:firstLine="645"/>
        <w:spacing w:after="0" w:line="245" w:lineRule="auto"/>
        <w:tabs>
          <w:tab w:leader="none" w:pos="111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Optional</w:t>
      </w:r>
      <w:r>
        <w:rPr>
          <w:rFonts w:ascii="Times New Roman" w:cs="Times New Roman" w:eastAsia="Times New Roman" w:hAnsi="Times New Roman"/>
          <w:sz w:val="20"/>
          <w:szCs w:val="20"/>
          <w:color w:val="auto"/>
        </w:rPr>
        <w:t>. The Borrower may, upon notice to the Administrative Agent, terminate the Revolving Facility, the Letter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Sublimit or the Swingline Sublimit, or from time to time permanently reduce the Revolving Facility, the Letter of Credit Sublimit or the Swingline Sublimit; provided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Borrower shall not terminate or reduce</w:t>
      </w:r>
    </w:p>
    <w:p>
      <w:pPr>
        <w:jc w:val="both"/>
        <w:ind w:left="4" w:hanging="4"/>
        <w:spacing w:after="0" w:line="241" w:lineRule="auto"/>
        <w:tabs>
          <w:tab w:leader="none" w:pos="39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Letter of Credit Sublimit.</w:t>
      </w:r>
    </w:p>
    <w:p>
      <w:pPr>
        <w:spacing w:after="0" w:line="183" w:lineRule="exact"/>
        <w:rPr>
          <w:rFonts w:ascii="Times New Roman" w:cs="Times New Roman" w:eastAsia="Times New Roman" w:hAnsi="Times New Roman"/>
          <w:sz w:val="20"/>
          <w:szCs w:val="20"/>
          <w:color w:val="auto"/>
        </w:rPr>
      </w:pPr>
    </w:p>
    <w:p>
      <w:pPr>
        <w:jc w:val="both"/>
        <w:ind w:left="4" w:firstLine="645"/>
        <w:spacing w:after="0" w:line="248" w:lineRule="auto"/>
        <w:tabs>
          <w:tab w:leader="none" w:pos="106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 of Commitment Reductions; Payment of Fees</w:t>
      </w:r>
      <w:r>
        <w:rPr>
          <w:rFonts w:ascii="Times New Roman" w:cs="Times New Roman" w:eastAsia="Times New Roman" w:hAnsi="Times New Roman"/>
          <w:sz w:val="20"/>
          <w:szCs w:val="20"/>
          <w:color w:val="auto"/>
        </w:rPr>
        <w:t>. The Administrative Agent will promptly notify the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any termination or reduction of the Letter of Credit Sublimit, Swingline Sublimit, or the Revolving Commitment under this </w:t>
      </w:r>
      <w:r>
        <w:rPr>
          <w:rFonts w:ascii="Times New Roman" w:cs="Times New Roman" w:eastAsia="Times New Roman" w:hAnsi="Times New Roman"/>
          <w:sz w:val="20"/>
          <w:szCs w:val="20"/>
          <w:b w:val="1"/>
          <w:bCs w:val="1"/>
          <w:i w:val="1"/>
          <w:iCs w:val="1"/>
          <w:color w:val="auto"/>
        </w:rPr>
        <w:t>Section 2.06</w:t>
      </w:r>
      <w:r>
        <w:rPr>
          <w:rFonts w:ascii="Times New Roman" w:cs="Times New Roman" w:eastAsia="Times New Roman" w:hAnsi="Times New Roman"/>
          <w:sz w:val="20"/>
          <w:szCs w:val="20"/>
          <w:color w:val="auto"/>
        </w:rPr>
        <w:t>. Upon any reduction of the Revolving Commitments, the Revolving Commitment of each Lender shall be reduced by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Lender’s Applicable Revolving Percentage of such amount. All fees in respect of the Revolving Facility accrued until the effective date of any termination of the Revolving Facility shall be paid on the effective date of such termination.</w:t>
      </w:r>
    </w:p>
    <w:p>
      <w:pPr>
        <w:spacing w:after="0" w:line="176" w:lineRule="exact"/>
        <w:rPr>
          <w:sz w:val="20"/>
          <w:szCs w:val="20"/>
          <w:color w:val="auto"/>
        </w:rPr>
      </w:pPr>
    </w:p>
    <w:p>
      <w:pPr>
        <w:ind w:left="4"/>
        <w:spacing w:after="0"/>
        <w:tabs>
          <w:tab w:leader="none" w:pos="503" w:val="left"/>
        </w:tabs>
        <w:rPr>
          <w:sz w:val="20"/>
          <w:szCs w:val="20"/>
          <w:color w:val="auto"/>
        </w:rPr>
      </w:pPr>
      <w:r>
        <w:rPr>
          <w:rFonts w:ascii="Times New Roman" w:cs="Times New Roman" w:eastAsia="Times New Roman" w:hAnsi="Times New Roman"/>
          <w:sz w:val="20"/>
          <w:szCs w:val="20"/>
          <w:color w:val="auto"/>
        </w:rPr>
        <w:t>2.07</w:t>
      </w:r>
      <w:r>
        <w:rPr>
          <w:sz w:val="20"/>
          <w:szCs w:val="20"/>
          <w:color w:val="auto"/>
        </w:rPr>
        <w:tab/>
      </w:r>
      <w:r>
        <w:rPr>
          <w:rFonts w:ascii="Times New Roman" w:cs="Times New Roman" w:eastAsia="Times New Roman" w:hAnsi="Times New Roman"/>
          <w:sz w:val="19"/>
          <w:szCs w:val="19"/>
          <w:b w:val="1"/>
          <w:bCs w:val="1"/>
          <w:color w:val="auto"/>
        </w:rPr>
        <w:t>Repayment of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4" w:right="20" w:firstLine="645"/>
        <w:spacing w:after="0" w:line="273" w:lineRule="auto"/>
        <w:tabs>
          <w:tab w:leader="none" w:pos="106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The Borrower shall repay to the Lenders on the Maturity Date for the Revolving Facility the aggregate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amount of all Revolving Loans outstanding on such date.</w:t>
      </w:r>
    </w:p>
    <w:p>
      <w:pPr>
        <w:spacing w:after="0" w:line="152" w:lineRule="exact"/>
        <w:rPr>
          <w:rFonts w:ascii="Times New Roman" w:cs="Times New Roman" w:eastAsia="Times New Roman" w:hAnsi="Times New Roman"/>
          <w:sz w:val="20"/>
          <w:szCs w:val="20"/>
          <w:color w:val="auto"/>
        </w:rPr>
      </w:pPr>
    </w:p>
    <w:p>
      <w:pPr>
        <w:ind w:left="4" w:firstLine="645"/>
        <w:spacing w:after="0" w:line="273" w:lineRule="auto"/>
        <w:tabs>
          <w:tab w:leader="none" w:pos="107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Swingline Loans</w:t>
      </w:r>
      <w:r>
        <w:rPr>
          <w:rFonts w:ascii="Times New Roman" w:cs="Times New Roman" w:eastAsia="Times New Roman" w:hAnsi="Times New Roman"/>
          <w:sz w:val="20"/>
          <w:szCs w:val="20"/>
          <w:color w:val="auto"/>
        </w:rPr>
        <w:t>. The Borrower shall repay each Swingline Loan on the earlier to occur of (i) the date 10 Business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such Loan is made and (ii) the Maturity Date for the Revolving Facility.</w:t>
      </w:r>
    </w:p>
    <w:p>
      <w:pPr>
        <w:spacing w:after="0" w:line="152" w:lineRule="exact"/>
        <w:rPr>
          <w:sz w:val="20"/>
          <w:szCs w:val="20"/>
          <w:color w:val="auto"/>
        </w:rPr>
      </w:pPr>
    </w:p>
    <w:p>
      <w:pPr>
        <w:ind w:left="4"/>
        <w:spacing w:after="0"/>
        <w:tabs>
          <w:tab w:leader="none" w:pos="503" w:val="left"/>
        </w:tabs>
        <w:rPr>
          <w:sz w:val="20"/>
          <w:szCs w:val="20"/>
          <w:color w:val="auto"/>
        </w:rPr>
      </w:pPr>
      <w:r>
        <w:rPr>
          <w:rFonts w:ascii="Times New Roman" w:cs="Times New Roman" w:eastAsia="Times New Roman" w:hAnsi="Times New Roman"/>
          <w:sz w:val="20"/>
          <w:szCs w:val="20"/>
          <w:color w:val="auto"/>
        </w:rPr>
        <w:t>2.08</w:t>
      </w:r>
      <w:r>
        <w:rPr>
          <w:sz w:val="20"/>
          <w:szCs w:val="20"/>
          <w:color w:val="auto"/>
        </w:rPr>
        <w:tab/>
      </w:r>
      <w:r>
        <w:rPr>
          <w:rFonts w:ascii="Times New Roman" w:cs="Times New Roman" w:eastAsia="Times New Roman" w:hAnsi="Times New Roman"/>
          <w:sz w:val="19"/>
          <w:szCs w:val="19"/>
          <w:b w:val="1"/>
          <w:bCs w:val="1"/>
          <w:color w:val="auto"/>
        </w:rPr>
        <w:t>Interest and Default Rate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4" w:firstLine="645"/>
        <w:spacing w:after="0" w:line="250" w:lineRule="auto"/>
        <w:tabs>
          <w:tab w:leader="none" w:pos="105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w:t>
      </w:r>
      <w:r>
        <w:rPr>
          <w:rFonts w:ascii="Times New Roman" w:cs="Times New Roman" w:eastAsia="Times New Roman" w:hAnsi="Times New Roman"/>
          <w:sz w:val="20"/>
          <w:szCs w:val="20"/>
          <w:color w:val="auto"/>
        </w:rPr>
        <w:t>. Subject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2.08(b)</w:t>
      </w:r>
      <w:r>
        <w:rPr>
          <w:rFonts w:ascii="Times New Roman" w:cs="Times New Roman" w:eastAsia="Times New Roman" w:hAnsi="Times New Roman"/>
          <w:sz w:val="20"/>
          <w:szCs w:val="20"/>
          <w:color w:val="auto"/>
        </w:rPr>
        <w:t>, (i) each Eurocurrency Rate Loan under the Revolving Facility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bear interest on the outstanding principal amount thereof for each Interest Period from the applicable Borrowing date at a rate per annum equal to the Eurocurrency Rate for such Interest Period plus the Applicable Rate for the Revolving Facility; (ii) each Base Rate Loan under the Revolving Facility shall bear interest on the outstanding principal</w:t>
      </w:r>
    </w:p>
    <w:p>
      <w:pPr>
        <w:sectPr>
          <w:pgSz w:w="11900" w:h="16838" w:orient="portrait"/>
          <w:cols w:equalWidth="0" w:num="1">
            <w:col w:w="10764"/>
          </w:cols>
          <w:pgMar w:left="896" w:top="562" w:right="239" w:bottom="1440" w:gutter="0" w:footer="0" w:header="0"/>
        </w:sectPr>
      </w:pPr>
    </w:p>
    <w:bookmarkStart w:id="120" w:name="page121"/>
    <w:bookmarkEnd w:id="120"/>
    <w:p>
      <w:pPr>
        <w:jc w:val="both"/>
        <w:spacing w:after="0" w:line="247" w:lineRule="auto"/>
        <w:rPr>
          <w:sz w:val="20"/>
          <w:szCs w:val="20"/>
          <w:color w:val="auto"/>
        </w:rPr>
      </w:pPr>
      <w:r>
        <w:rPr>
          <w:rFonts w:ascii="Times New Roman" w:cs="Times New Roman" w:eastAsia="Times New Roman" w:hAnsi="Times New Roman"/>
          <w:sz w:val="20"/>
          <w:szCs w:val="20"/>
          <w:color w:val="auto"/>
        </w:rPr>
        <w:t>amount thereof from the applicable Borrowing date at a rate per annum equal to the Base Rate plus the Applicable Rate for the Revolving Facility; and (iii) each Swingline Loan shall bear interest on the outstanding principal amount thereof from the applicable Borrowing date at a rate per annum equal to the Base Rate plus the Applicable Rate for the Revolving Facility. To the extent that any calculation of interest or any fee required to be paid under this Agreement shall be based on (or result in) a calculation that is less than zero, such calculation shall be deemed zero for purposes of this Agreement.</w:t>
      </w:r>
    </w:p>
    <w:p>
      <w:pPr>
        <w:spacing w:after="0" w:line="177" w:lineRule="exact"/>
        <w:rPr>
          <w:sz w:val="20"/>
          <w:szCs w:val="20"/>
          <w:color w:val="auto"/>
        </w:rPr>
      </w:pPr>
    </w:p>
    <w:p>
      <w:pPr>
        <w:ind w:left="1060" w:hanging="415"/>
        <w:spacing w:after="0"/>
        <w:tabs>
          <w:tab w:leader="none" w:pos="10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2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4" w:lineRule="exact"/>
        <w:rPr>
          <w:rFonts w:ascii="Times New Roman" w:cs="Times New Roman" w:eastAsia="Times New Roman" w:hAnsi="Times New Roman"/>
          <w:sz w:val="20"/>
          <w:szCs w:val="20"/>
          <w:color w:val="auto"/>
        </w:rPr>
      </w:pPr>
    </w:p>
    <w:p>
      <w:pPr>
        <w:jc w:val="both"/>
        <w:ind w:left="640" w:firstLine="653"/>
        <w:spacing w:after="0" w:line="249" w:lineRule="auto"/>
        <w:tabs>
          <w:tab w:leader="none" w:pos="172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0"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80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(including a payment default), all outstanding Obligations (including Letter of Credit Fees) may accrue at a fluctuating interest rate per annum at all times equal to the Default Rate to the fullest extent permitted by Applicable Laws.</w:t>
      </w:r>
    </w:p>
    <w:p>
      <w:pPr>
        <w:spacing w:after="0" w:line="174" w:lineRule="exact"/>
        <w:rPr>
          <w:rFonts w:ascii="Times New Roman" w:cs="Times New Roman" w:eastAsia="Times New Roman" w:hAnsi="Times New Roman"/>
          <w:sz w:val="20"/>
          <w:szCs w:val="20"/>
          <w:color w:val="auto"/>
        </w:rPr>
      </w:pPr>
    </w:p>
    <w:p>
      <w:pPr>
        <w:ind w:left="640" w:firstLine="653"/>
        <w:spacing w:after="0" w:line="269" w:lineRule="auto"/>
        <w:tabs>
          <w:tab w:leader="none" w:pos="186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155" w:lineRule="exact"/>
        <w:rPr>
          <w:rFonts w:ascii="Times New Roman" w:cs="Times New Roman" w:eastAsia="Times New Roman" w:hAnsi="Times New Roman"/>
          <w:sz w:val="20"/>
          <w:szCs w:val="20"/>
          <w:color w:val="auto"/>
        </w:rPr>
      </w:pPr>
    </w:p>
    <w:p>
      <w:pPr>
        <w:jc w:val="both"/>
        <w:ind w:firstLine="645"/>
        <w:spacing w:after="0" w:line="256" w:lineRule="auto"/>
        <w:tabs>
          <w:tab w:leader="none" w:pos="108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Payments</w:t>
      </w:r>
      <w:r>
        <w:rPr>
          <w:rFonts w:ascii="Times New Roman" w:cs="Times New Roman" w:eastAsia="Times New Roman" w:hAnsi="Times New Roman"/>
          <w:sz w:val="20"/>
          <w:szCs w:val="20"/>
          <w:color w:val="auto"/>
        </w:rPr>
        <w:t>. Interest on each Loan shall be due and payable in arrears on each Interest Payment Date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2.09</w:t>
      </w:r>
      <w:r>
        <w:rPr>
          <w:sz w:val="20"/>
          <w:szCs w:val="20"/>
          <w:color w:val="auto"/>
        </w:rPr>
        <w:tab/>
      </w: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 In addition to certain fees described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Section 2.03</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3" w:lineRule="auto"/>
        <w:tabs>
          <w:tab w:leader="none" w:pos="111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Commitment Fee. </w:t>
      </w:r>
      <w:r>
        <w:rPr>
          <w:rFonts w:ascii="Times New Roman" w:cs="Times New Roman" w:eastAsia="Times New Roman" w:hAnsi="Times New Roman"/>
          <w:sz w:val="20"/>
          <w:szCs w:val="20"/>
          <w:color w:val="auto"/>
        </w:rPr>
        <w:t>The Borrower shall pay to the Administrative Agent for the account of each Lender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its Applicable Revolving Percentage, a commitment fee in Dollars equal to the Applicable Rate </w:t>
      </w:r>
      <w:r>
        <w:rPr>
          <w:rFonts w:ascii="Times New Roman" w:cs="Times New Roman" w:eastAsia="Times New Roman" w:hAnsi="Times New Roman"/>
          <w:sz w:val="20"/>
          <w:szCs w:val="20"/>
          <w:i w:val="1"/>
          <w:iCs w:val="1"/>
          <w:color w:val="auto"/>
        </w:rPr>
        <w:t>times</w:t>
      </w:r>
      <w:r>
        <w:rPr>
          <w:rFonts w:ascii="Times New Roman" w:cs="Times New Roman" w:eastAsia="Times New Roman" w:hAnsi="Times New Roman"/>
          <w:sz w:val="20"/>
          <w:szCs w:val="20"/>
          <w:color w:val="auto"/>
        </w:rPr>
        <w:t xml:space="preserve"> the actual daily amount by which the Revolving Facility exceeds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(i) the Outstanding Amount of Revolving Loans and (ii) the Outstanding Amount of L/C Obligations, subject to adjustment as provided in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20"/>
          <w:szCs w:val="20"/>
          <w:b w:val="1"/>
          <w:bCs w:val="1"/>
          <w:i w:val="1"/>
          <w:iCs w:val="1"/>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Closing Date, and, in the case of the commitment fee with respect to the Revolving Facility, on the last day of the Availability Period for the Revolving Facility. The commitment fee shall be calculated quarterly in arrears, and if there is any change in the Applicable</w:t>
      </w:r>
    </w:p>
    <w:p>
      <w:pPr>
        <w:sectPr>
          <w:pgSz w:w="11900" w:h="16838" w:orient="portrait"/>
          <w:cols w:equalWidth="0" w:num="1">
            <w:col w:w="10760"/>
          </w:cols>
          <w:pgMar w:left="900" w:top="562" w:right="239" w:bottom="1440" w:gutter="0" w:footer="0" w:header="0"/>
        </w:sectPr>
      </w:pPr>
    </w:p>
    <w:bookmarkStart w:id="121" w:name="page122"/>
    <w:bookmarkEnd w:id="121"/>
    <w:p>
      <w:pPr>
        <w:spacing w:after="0" w:line="273" w:lineRule="auto"/>
        <w:rPr>
          <w:sz w:val="20"/>
          <w:szCs w:val="20"/>
          <w:color w:val="auto"/>
        </w:rPr>
      </w:pPr>
      <w:r>
        <w:rPr>
          <w:rFonts w:ascii="Times New Roman" w:cs="Times New Roman" w:eastAsia="Times New Roman" w:hAnsi="Times New Roman"/>
          <w:sz w:val="20"/>
          <w:szCs w:val="20"/>
          <w:color w:val="auto"/>
        </w:rPr>
        <w:t xml:space="preserve">Rate during any quarter, the actual daily amount shall be computed and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Applicable Rate separately for each period during such quarter that such Applicable Rate was in effect.</w:t>
      </w:r>
    </w:p>
    <w:p>
      <w:pPr>
        <w:spacing w:after="0" w:line="152" w:lineRule="exact"/>
        <w:rPr>
          <w:sz w:val="20"/>
          <w:szCs w:val="20"/>
          <w:color w:val="auto"/>
        </w:rPr>
      </w:pPr>
    </w:p>
    <w:p>
      <w:pPr>
        <w:ind w:left="1060" w:hanging="415"/>
        <w:spacing w:after="0"/>
        <w:tabs>
          <w:tab w:leader="none" w:pos="10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Fees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68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Administrative Agent and the Arranger for its own account, in Dollars, fees in the amounts and at the times specified in the Fee Letter. Such fees shall be fully earned when paid and shall not be refundable for any reason whatsoever.</w:t>
      </w:r>
    </w:p>
    <w:p>
      <w:pPr>
        <w:spacing w:after="0" w:line="174"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2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7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b w:val="1"/>
          <w:bCs w:val="1"/>
          <w:color w:val="auto"/>
        </w:rPr>
        <w:t>Computation of Interest and Fees; Retroactive Adjustments of Applicable Rate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3" w:lineRule="auto"/>
        <w:tabs>
          <w:tab w:leader="none" w:pos="117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Computation of Interest and Fees</w:t>
      </w:r>
      <w:r>
        <w:rPr>
          <w:rFonts w:ascii="Times New Roman" w:cs="Times New Roman" w:eastAsia="Times New Roman" w:hAnsi="Times New Roman"/>
          <w:sz w:val="20"/>
          <w:szCs w:val="20"/>
          <w:color w:val="auto"/>
        </w:rPr>
        <w:t>. All computations of interest for Base Rate Loans (including Base Rate Loans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cs="Times New Roman" w:eastAsia="Times New Roman" w:hAnsi="Times New Roman"/>
          <w:sz w:val="20"/>
          <w:szCs w:val="20"/>
          <w:b w:val="1"/>
          <w:bCs w:val="1"/>
          <w:i w:val="1"/>
          <w:iCs w:val="1"/>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86" w:lineRule="exact"/>
        <w:rPr>
          <w:rFonts w:ascii="Times New Roman" w:cs="Times New Roman" w:eastAsia="Times New Roman" w:hAnsi="Times New Roman"/>
          <w:sz w:val="20"/>
          <w:szCs w:val="20"/>
          <w:color w:val="auto"/>
        </w:rPr>
      </w:pPr>
    </w:p>
    <w:p>
      <w:pPr>
        <w:jc w:val="both"/>
        <w:ind w:firstLine="645"/>
        <w:spacing w:after="0" w:line="242" w:lineRule="auto"/>
        <w:tabs>
          <w:tab w:leader="none" w:pos="115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Statement Adjustments or Restatements</w:t>
      </w:r>
      <w:r>
        <w:rPr>
          <w:rFonts w:ascii="Times New Roman" w:cs="Times New Roman" w:eastAsia="Times New Roman" w:hAnsi="Times New Roman"/>
          <w:sz w:val="20"/>
          <w:szCs w:val="20"/>
          <w:color w:val="auto"/>
        </w:rPr>
        <w:t>. If, as a result of any restatement of or other adjustment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financial statements of the Borrower and its Subsidiaries or for any other reason, the Borrower, or the Administrative Agent determines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any provision of this Agreement to payment of any Obligations hereunder at the Default Rate or under </w:t>
      </w:r>
      <w:r>
        <w:rPr>
          <w:rFonts w:ascii="Times New Roman" w:cs="Times New Roman" w:eastAsia="Times New Roman" w:hAnsi="Times New Roman"/>
          <w:sz w:val="20"/>
          <w:szCs w:val="20"/>
          <w:b w:val="1"/>
          <w:bCs w:val="1"/>
          <w:i w:val="1"/>
          <w:iCs w:val="1"/>
          <w:color w:val="auto"/>
        </w:rPr>
        <w:t>Article VIII</w:t>
      </w:r>
      <w:r>
        <w:rPr>
          <w:rFonts w:ascii="Times New Roman" w:cs="Times New Roman" w:eastAsia="Times New Roman" w:hAnsi="Times New Roman"/>
          <w:sz w:val="20"/>
          <w:szCs w:val="20"/>
          <w:color w:val="auto"/>
        </w:rPr>
        <w:t xml:space="preserve">. The Borrower's obligations under this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shall survive the termination of the Aggregate Commitments and the repayment of all other Obligations hereunder.</w:t>
      </w:r>
    </w:p>
    <w:p>
      <w:pPr>
        <w:spacing w:after="0" w:line="18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b w:val="1"/>
          <w:bCs w:val="1"/>
          <w:color w:val="auto"/>
        </w:rPr>
        <w:t>Evidence of Debt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5"/>
        <w:spacing w:after="0" w:line="273" w:lineRule="auto"/>
        <w:tabs>
          <w:tab w:leader="none" w:pos="108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Maintenance of Accounts</w:t>
      </w:r>
      <w:r>
        <w:rPr>
          <w:rFonts w:ascii="Times New Roman" w:cs="Times New Roman" w:eastAsia="Times New Roman" w:hAnsi="Times New Roman"/>
          <w:sz w:val="20"/>
          <w:szCs w:val="20"/>
          <w:color w:val="auto"/>
        </w:rPr>
        <w:t>. The Credit Extensions made by each Lender shall be evidenced by one or more accounts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records maintained by such Lender in the ordinary course of</w:t>
      </w:r>
    </w:p>
    <w:p>
      <w:pPr>
        <w:sectPr>
          <w:pgSz w:w="11900" w:h="16838" w:orient="portrait"/>
          <w:cols w:equalWidth="0" w:num="1">
            <w:col w:w="10760"/>
          </w:cols>
          <w:pgMar w:left="900" w:top="558" w:right="239" w:bottom="1440" w:gutter="0" w:footer="0" w:header="0"/>
        </w:sectPr>
      </w:pPr>
    </w:p>
    <w:bookmarkStart w:id="122" w:name="page123"/>
    <w:bookmarkEnd w:id="122"/>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business. The Administrative Agent shall maintain the Register in accordance with </w:t>
      </w:r>
      <w:r>
        <w:rPr>
          <w:rFonts w:ascii="Times New Roman" w:cs="Times New Roman" w:eastAsia="Times New Roman" w:hAnsi="Times New Roman"/>
          <w:sz w:val="20"/>
          <w:szCs w:val="20"/>
          <w:b w:val="1"/>
          <w:bCs w:val="1"/>
          <w:i w:val="1"/>
          <w:iCs w:val="1"/>
          <w:color w:val="auto"/>
        </w:rPr>
        <w:t>Section 11.06(c)</w:t>
      </w:r>
      <w:r>
        <w:rPr>
          <w:rFonts w:ascii="Times New Roman" w:cs="Times New Roman" w:eastAsia="Times New Roman" w:hAnsi="Times New Roman"/>
          <w:sz w:val="20"/>
          <w:szCs w:val="20"/>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currency and maturity of its Loans and payments with respect thereto.</w:t>
      </w:r>
    </w:p>
    <w:p>
      <w:pPr>
        <w:spacing w:after="0" w:line="187" w:lineRule="exact"/>
        <w:rPr>
          <w:sz w:val="20"/>
          <w:szCs w:val="20"/>
          <w:color w:val="auto"/>
        </w:rPr>
      </w:pPr>
    </w:p>
    <w:p>
      <w:pPr>
        <w:jc w:val="both"/>
        <w:ind w:firstLine="645"/>
        <w:spacing w:after="0" w:line="248" w:lineRule="auto"/>
        <w:tabs>
          <w:tab w:leader="none" w:pos="112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Maintenance of Records</w:t>
      </w:r>
      <w:r>
        <w:rPr>
          <w:rFonts w:ascii="Times New Roman" w:cs="Times New Roman" w:eastAsia="Times New Roman" w:hAnsi="Times New Roman"/>
          <w:sz w:val="20"/>
          <w:szCs w:val="20"/>
          <w:color w:val="auto"/>
        </w:rPr>
        <w:t>. In addition to the accounts and records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2.11(a)</w:t>
      </w:r>
      <w:r>
        <w:rPr>
          <w:rFonts w:ascii="Times New Roman" w:cs="Times New Roman" w:eastAsia="Times New Roman" w:hAnsi="Times New Roman"/>
          <w:sz w:val="20"/>
          <w:szCs w:val="20"/>
          <w:color w:val="auto"/>
        </w:rPr>
        <w:t>, each Lender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b w:val="1"/>
          <w:bCs w:val="1"/>
          <w:color w:val="auto"/>
        </w:rPr>
        <w:t>Payments Generally; Administrative Agent’s Clawback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1" w:lineRule="auto"/>
        <w:tabs>
          <w:tab w:leader="none" w:pos="10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All payments to be made by the Borrower shall be made free and clear of and without condition or deduction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counterclaim, defense, recoupment or setoff. Except as otherwise expressly provided herein and except with respect to principal of and interest on Loans denominated in an Alternative Currency, all payments by the Borrower hereunder shall be made to the applicable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the Borrower shall make such payment in Dollars in the Dollar Equivalent of the Alternative Currency payment amount. The Administrative Agent will promptly distribute to each Lender its Applicable Percentage in respect of the Revolving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w:t>
      </w:r>
      <w:r>
        <w:rPr>
          <w:rFonts w:ascii="Times New Roman" w:cs="Times New Roman" w:eastAsia="Times New Roman" w:hAnsi="Times New Roman"/>
          <w:sz w:val="20"/>
          <w:szCs w:val="20"/>
          <w:b w:val="1"/>
          <w:bCs w:val="1"/>
          <w:i w:val="1"/>
          <w:iCs w:val="1"/>
          <w:color w:val="auto"/>
        </w:rPr>
        <w:t>Section 2.07(a)</w:t>
      </w:r>
      <w:r>
        <w:rPr>
          <w:rFonts w:ascii="Times New Roman" w:cs="Times New Roman" w:eastAsia="Times New Roman" w:hAnsi="Times New Roman"/>
          <w:sz w:val="20"/>
          <w:szCs w:val="20"/>
          <w:color w:val="auto"/>
        </w:rPr>
        <w:t xml:space="preserve"> and as otherwise specifically provided for in this Agreement, if any payment to be made by the Borrower shall come due on a day other than a Business Day, payment shall be made on the Business Day, and such extension of time shall be reflected in computing interest or fees, as the case may be.</w:t>
      </w:r>
    </w:p>
    <w:p>
      <w:pPr>
        <w:sectPr>
          <w:pgSz w:w="11900" w:h="16838" w:orient="portrait"/>
          <w:cols w:equalWidth="0" w:num="1">
            <w:col w:w="10760"/>
          </w:cols>
          <w:pgMar w:left="900" w:top="558" w:right="239" w:bottom="1440" w:gutter="0" w:footer="0" w:header="0"/>
        </w:sectPr>
      </w:pPr>
    </w:p>
    <w:bookmarkStart w:id="123" w:name="page124"/>
    <w:bookmarkEnd w:id="123"/>
    <w:p>
      <w:pPr>
        <w:jc w:val="both"/>
        <w:ind w:firstLine="645"/>
        <w:spacing w:after="0" w:line="241" w:lineRule="auto"/>
        <w:tabs>
          <w:tab w:leader="none" w:pos="119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b w:val="1"/>
          <w:bCs w:val="1"/>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connection with the foregoing, and (B) in the case of a payment to be made by the Borrower, the interest rate applicable to Base Rate Loans or in the case of Alternative Currencies in accordance with such market practice, in each case, as applicable.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91" w:lineRule="exact"/>
        <w:rPr>
          <w:rFonts w:ascii="Times New Roman" w:cs="Times New Roman" w:eastAsia="Times New Roman" w:hAnsi="Times New Roman"/>
          <w:sz w:val="20"/>
          <w:szCs w:val="20"/>
          <w:color w:val="auto"/>
        </w:rPr>
      </w:pPr>
    </w:p>
    <w:p>
      <w:pPr>
        <w:jc w:val="both"/>
        <w:ind w:left="640" w:firstLine="653"/>
        <w:spacing w:after="0" w:line="243" w:lineRule="auto"/>
        <w:tabs>
          <w:tab w:leader="none" w:pos="169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87"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the Borrower with respect to any amount owing under this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shall be conclusive, absent manifest error.</w:t>
      </w:r>
    </w:p>
    <w:p>
      <w:pPr>
        <w:spacing w:after="0" w:line="152" w:lineRule="exact"/>
        <w:rPr>
          <w:sz w:val="20"/>
          <w:szCs w:val="20"/>
          <w:color w:val="auto"/>
        </w:rPr>
      </w:pPr>
    </w:p>
    <w:p>
      <w:pPr>
        <w:jc w:val="both"/>
        <w:ind w:firstLine="645"/>
        <w:spacing w:after="0" w:line="248" w:lineRule="auto"/>
        <w:tabs>
          <w:tab w:leader="none" w:pos="106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Failure to Satisfy Conditions Precedent</w:t>
      </w:r>
      <w:r>
        <w:rPr>
          <w:rFonts w:ascii="Times New Roman" w:cs="Times New Roman" w:eastAsia="Times New Roman" w:hAnsi="Times New Roman"/>
          <w:sz w:val="20"/>
          <w:szCs w:val="20"/>
          <w:color w:val="auto"/>
        </w:rPr>
        <w:t>. If any Lender makes available to the Administrative Agent funds for any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be made by such Lender as provided in the foregoing provisions of this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0"/>
          <w:szCs w:val="20"/>
          <w:b w:val="1"/>
          <w:bCs w:val="1"/>
          <w:i w:val="1"/>
          <w:iCs w:val="1"/>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ectPr>
          <w:pgSz w:w="11900" w:h="16838" w:orient="portrait"/>
          <w:cols w:equalWidth="0" w:num="1">
            <w:col w:w="10760"/>
          </w:cols>
          <w:pgMar w:left="900" w:top="558" w:right="239" w:bottom="1440" w:gutter="0" w:footer="0" w:header="0"/>
        </w:sectPr>
      </w:pPr>
    </w:p>
    <w:bookmarkStart w:id="124" w:name="page125"/>
    <w:bookmarkEnd w:id="124"/>
    <w:p>
      <w:pPr>
        <w:jc w:val="both"/>
        <w:ind w:left="660" w:firstLine="645"/>
        <w:spacing w:after="0" w:line="246" w:lineRule="auto"/>
        <w:tabs>
          <w:tab w:leader="none" w:pos="192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Obligations of Lenders Several</w:t>
      </w:r>
      <w:r>
        <w:rPr>
          <w:rFonts w:ascii="Times New Roman" w:cs="Times New Roman" w:eastAsia="Times New Roman" w:hAnsi="Times New Roman"/>
          <w:sz w:val="20"/>
          <w:szCs w:val="20"/>
          <w:color w:val="auto"/>
        </w:rPr>
        <w:t>. The obligations of the Lenders hereunder to make Revolving Loans, to fund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participations in Letters of Credit and Swingline Loans and to make payments pursuant to </w:t>
      </w:r>
      <w:r>
        <w:rPr>
          <w:rFonts w:ascii="Times New Roman" w:cs="Times New Roman" w:eastAsia="Times New Roman" w:hAnsi="Times New Roman"/>
          <w:sz w:val="20"/>
          <w:szCs w:val="20"/>
          <w:b w:val="1"/>
          <w:bCs w:val="1"/>
          <w:i w:val="1"/>
          <w:iCs w:val="1"/>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b w:val="1"/>
          <w:bCs w:val="1"/>
          <w:i w:val="1"/>
          <w:iCs w:val="1"/>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b w:val="1"/>
          <w:bCs w:val="1"/>
          <w:i w:val="1"/>
          <w:iCs w:val="1"/>
          <w:color w:val="auto"/>
        </w:rPr>
        <w:t>Section 11.04(c)</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84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particular place or manner or to constitute a representation by any Lender that it has obtained or will obtain the funds for any Loan in any particular place or manner.</w:t>
      </w:r>
    </w:p>
    <w:p>
      <w:pPr>
        <w:spacing w:after="0" w:line="168" w:lineRule="exact"/>
        <w:rPr>
          <w:rFonts w:ascii="Times New Roman" w:cs="Times New Roman" w:eastAsia="Times New Roman" w:hAnsi="Times New Roman"/>
          <w:sz w:val="20"/>
          <w:szCs w:val="20"/>
          <w:color w:val="auto"/>
        </w:rPr>
      </w:pPr>
    </w:p>
    <w:p>
      <w:pPr>
        <w:jc w:val="both"/>
        <w:ind w:left="660" w:firstLine="645"/>
        <w:spacing w:after="0" w:line="243" w:lineRule="auto"/>
        <w:tabs>
          <w:tab w:leader="none" w:pos="18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 Rata Treatment</w:t>
      </w:r>
      <w:r>
        <w:rPr>
          <w:rFonts w:ascii="Times New Roman" w:cs="Times New Roman" w:eastAsia="Times New Roman" w:hAnsi="Times New Roman"/>
          <w:sz w:val="20"/>
          <w:szCs w:val="20"/>
          <w:color w:val="auto"/>
        </w:rPr>
        <w:t>. Except to the extent otherwise provided herein: (i) each Borrowing (other than Swingline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Borrowings) shall be made from the Appropriate Lenders, each payment of fees under </w:t>
      </w:r>
      <w:r>
        <w:rPr>
          <w:rFonts w:ascii="Times New Roman" w:cs="Times New Roman" w:eastAsia="Times New Roman" w:hAnsi="Times New Roman"/>
          <w:sz w:val="20"/>
          <w:szCs w:val="20"/>
          <w:b w:val="1"/>
          <w:bCs w:val="1"/>
          <w:i w:val="1"/>
          <w:iCs w:val="1"/>
          <w:color w:val="auto"/>
        </w:rPr>
        <w:t>Section 2.09</w:t>
      </w:r>
      <w:r>
        <w:rPr>
          <w:rFonts w:ascii="Times New Roman" w:cs="Times New Roman" w:eastAsia="Times New Roman" w:hAnsi="Times New Roman"/>
          <w:sz w:val="20"/>
          <w:szCs w:val="20"/>
          <w:color w:val="auto"/>
        </w:rPr>
        <w:t xml:space="preserve"> and of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shall be made for account of the Appropriate Lenders, and each termination or reduction of the amount of the Commitments shall be applied to the respective Commitments of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8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b w:val="1"/>
          <w:bCs w:val="1"/>
          <w:color w:val="auto"/>
        </w:rPr>
        <w:t>Sharing of Payments by Lenders</w:t>
      </w:r>
      <w:r>
        <w:rPr>
          <w:rFonts w:ascii="Times New Roman" w:cs="Times New Roman" w:eastAsia="Times New Roman" w:hAnsi="Times New Roman"/>
          <w:sz w:val="20"/>
          <w:szCs w:val="20"/>
          <w:color w:val="auto"/>
        </w:rPr>
        <w:t xml:space="preserve">.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Times New Roman" w:cs="Times New Roman" w:eastAsia="Times New Roman" w:hAnsi="Times New Roman"/>
          <w:sz w:val="20"/>
          <w:szCs w:val="20"/>
          <w:b w:val="1"/>
          <w:bCs w:val="1"/>
          <w:i w:val="1"/>
          <w:iCs w:val="1"/>
          <w:color w:val="auto"/>
        </w:rPr>
        <w:t xml:space="preserve">clauses (a)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(b) </w:t>
      </w:r>
      <w:r>
        <w:rPr>
          <w:rFonts w:ascii="Times New Roman" w:cs="Times New Roman" w:eastAsia="Times New Roman" w:hAnsi="Times New Roman"/>
          <w:sz w:val="20"/>
          <w:szCs w:val="20"/>
          <w:color w:val="auto"/>
        </w:rPr>
        <w:t>above, the Lender receiving such greater proportion shall (A) notify the Administrative Agent of such fact, and (B) purchase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ectPr>
          <w:pgSz w:w="11900" w:h="16838" w:orient="portrait"/>
          <w:cols w:equalWidth="0" w:num="1">
            <w:col w:w="11420"/>
          </w:cols>
          <w:pgMar w:left="240" w:top="558" w:right="239" w:bottom="1440" w:gutter="0" w:footer="0" w:header="0"/>
        </w:sectPr>
      </w:pPr>
    </w:p>
    <w:bookmarkStart w:id="125" w:name="page126"/>
    <w:bookmarkEnd w:id="125"/>
    <w:p>
      <w:pPr>
        <w:jc w:val="both"/>
        <w:ind w:left="1300" w:firstLine="653"/>
        <w:spacing w:after="0" w:line="254" w:lineRule="auto"/>
        <w:tabs>
          <w:tab w:leader="none" w:pos="238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0" w:lineRule="exact"/>
        <w:rPr>
          <w:rFonts w:ascii="Times New Roman" w:cs="Times New Roman" w:eastAsia="Times New Roman" w:hAnsi="Times New Roman"/>
          <w:sz w:val="20"/>
          <w:szCs w:val="20"/>
          <w:color w:val="auto"/>
        </w:rPr>
      </w:pPr>
    </w:p>
    <w:p>
      <w:pPr>
        <w:jc w:val="both"/>
        <w:ind w:left="1300" w:firstLine="653"/>
        <w:spacing w:after="0" w:line="246" w:lineRule="auto"/>
        <w:tabs>
          <w:tab w:leader="none" w:pos="237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i w:val="1"/>
          <w:iCs w:val="1"/>
          <w:color w:val="auto"/>
        </w:rPr>
        <w:t>Section 2.13</w:t>
      </w:r>
      <w:r>
        <w:rPr>
          <w:rFonts w:ascii="Times New Roman" w:cs="Times New Roman" w:eastAsia="Times New Roman" w:hAnsi="Times New Roman"/>
          <w:sz w:val="20"/>
          <w:szCs w:val="20"/>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 w:cs="Times New Roman" w:eastAsia="Times New Roman" w:hAnsi="Times New Roman"/>
          <w:sz w:val="20"/>
          <w:szCs w:val="20"/>
          <w:b w:val="1"/>
          <w:bCs w:val="1"/>
          <w:i w:val="1"/>
          <w:iCs w:val="1"/>
          <w:color w:val="auto"/>
        </w:rPr>
        <w:t>Section 2.13</w:t>
      </w:r>
      <w:r>
        <w:rPr>
          <w:rFonts w:ascii="Times New Roman" w:cs="Times New Roman" w:eastAsia="Times New Roman" w:hAnsi="Times New Roman"/>
          <w:sz w:val="20"/>
          <w:szCs w:val="20"/>
          <w:color w:val="auto"/>
        </w:rPr>
        <w:t xml:space="preserve"> shall apply).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b w:val="1"/>
          <w:bCs w:val="1"/>
          <w:color w:val="auto"/>
        </w:rPr>
        <w:t>Cash Collateral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3" w:lineRule="auto"/>
        <w:tabs>
          <w:tab w:leader="none" w:pos="180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Obligation to Cash Collateralize</w:t>
      </w:r>
      <w:r>
        <w:rPr>
          <w:rFonts w:ascii="Times New Roman" w:cs="Times New Roman" w:eastAsia="Times New Roman" w:hAnsi="Times New Roman"/>
          <w:sz w:val="20"/>
          <w:szCs w:val="20"/>
          <w:color w:val="auto"/>
        </w:rPr>
        <w:t>. If: (i) as of the Letter of Credit Cash Collateralization Date, any Letter of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Obligations for any reason remains outstanding, or (ii) at any time there shall exist a Defaulting Lender; then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20"/>
          <w:szCs w:val="20"/>
          <w:b w:val="1"/>
          <w:bCs w:val="1"/>
          <w:i w:val="1"/>
          <w:iCs w:val="1"/>
          <w:color w:val="auto"/>
        </w:rPr>
        <w:t xml:space="preserve">Section 2.15(a)(iv) </w:t>
      </w:r>
      <w:r>
        <w:rPr>
          <w:rFonts w:ascii="Times New Roman" w:cs="Times New Roman" w:eastAsia="Times New Roman" w:hAnsi="Times New Roman"/>
          <w:sz w:val="20"/>
          <w:szCs w:val="20"/>
          <w:color w:val="auto"/>
        </w:rPr>
        <w:t>and any Cash Collateral provided by such Defaulting Lender) in an amount not less than the Minimum Collateral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Amount. Additionally, if the Administrative Agent notifies the Borrower at any time that the Outstanding Amount of all L/C Obligations at such time exceeds 105% of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42" w:lineRule="auto"/>
        <w:tabs>
          <w:tab w:leader="none" w:pos="171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Grant of Security Interest</w:t>
      </w:r>
      <w:r>
        <w:rPr>
          <w:rFonts w:ascii="Times New Roman" w:cs="Times New Roman" w:eastAsia="Times New Roman" w:hAnsi="Times New Roman"/>
          <w:sz w:val="20"/>
          <w:szCs w:val="20"/>
          <w:color w:val="auto"/>
        </w:rPr>
        <w:t>. The Borrower, and to the extent provided by any Defaulting Lender, such Defaulting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b w:val="1"/>
          <w:bCs w:val="1"/>
          <w:i w:val="1"/>
          <w:iCs w:val="1"/>
          <w:color w:val="auto"/>
        </w:rPr>
        <w:t>Section 2.14(c)</w:t>
      </w:r>
      <w:r>
        <w:rPr>
          <w:rFonts w:ascii="Times New Roman" w:cs="Times New Roman" w:eastAsia="Times New Roman" w:hAnsi="Times New Roman"/>
          <w:sz w:val="20"/>
          <w:szCs w:val="20"/>
          <w:color w:val="auto"/>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20"/>
          <w:szCs w:val="20"/>
          <w:b w:val="1"/>
          <w:bCs w:val="1"/>
          <w:i w:val="1"/>
          <w:iCs w:val="1"/>
          <w:color w:val="auto"/>
        </w:rPr>
        <w:t>Section 2.15(a)(v)</w:t>
      </w:r>
      <w:r>
        <w:rPr>
          <w:rFonts w:ascii="Times New Roman" w:cs="Times New Roman" w:eastAsia="Times New Roman" w:hAnsi="Times New Roman"/>
          <w:sz w:val="20"/>
          <w:szCs w:val="20"/>
          <w:color w:val="auto"/>
        </w:rPr>
        <w:t xml:space="preserve">, after giving effect to </w:t>
      </w:r>
      <w:r>
        <w:rPr>
          <w:rFonts w:ascii="Times New Roman" w:cs="Times New Roman" w:eastAsia="Times New Roman" w:hAnsi="Times New Roman"/>
          <w:sz w:val="20"/>
          <w:szCs w:val="20"/>
          <w:b w:val="1"/>
          <w:bCs w:val="1"/>
          <w:i w:val="1"/>
          <w:iCs w:val="1"/>
          <w:color w:val="auto"/>
        </w:rPr>
        <w:t xml:space="preserve">Section 2.15(a)(v) </w:t>
      </w:r>
      <w:r>
        <w:rPr>
          <w:rFonts w:ascii="Times New Roman" w:cs="Times New Roman" w:eastAsia="Times New Roman" w:hAnsi="Times New Roman"/>
          <w:sz w:val="20"/>
          <w:szCs w:val="20"/>
          <w:color w:val="auto"/>
        </w:rPr>
        <w:t>and any Cash Collateral provided by the Defaulting Lender). All Cash Collateral (other than credit support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constituting funds subject to deposit) shall be maintained at Bank of America. The Borrower shall pay on demand therefor from time to time all</w:t>
      </w:r>
    </w:p>
    <w:p>
      <w:pPr>
        <w:sectPr>
          <w:pgSz w:w="11900" w:h="16838" w:orient="portrait"/>
          <w:cols w:equalWidth="0" w:num="1">
            <w:col w:w="11420"/>
          </w:cols>
          <w:pgMar w:left="240" w:top="562" w:right="239" w:bottom="1440" w:gutter="0" w:footer="0" w:header="0"/>
        </w:sectPr>
      </w:pPr>
    </w:p>
    <w:bookmarkStart w:id="126" w:name="page127"/>
    <w:bookmarkEnd w:id="126"/>
    <w:p>
      <w:pPr>
        <w:spacing w:after="0" w:line="269" w:lineRule="auto"/>
        <w:rPr>
          <w:sz w:val="20"/>
          <w:szCs w:val="20"/>
          <w:color w:val="auto"/>
        </w:rPr>
      </w:pPr>
      <w:r>
        <w:rPr>
          <w:rFonts w:ascii="Times New Roman" w:cs="Times New Roman" w:eastAsia="Times New Roman" w:hAnsi="Times New Roman"/>
          <w:sz w:val="20"/>
          <w:szCs w:val="20"/>
          <w:color w:val="auto"/>
        </w:rPr>
        <w:t>customary account opening, activity and other administrative fees and charges in connection with the maintenance and disbursement of Cash Collateral.</w:t>
      </w:r>
    </w:p>
    <w:p>
      <w:pPr>
        <w:spacing w:after="0" w:line="156" w:lineRule="exact"/>
        <w:rPr>
          <w:sz w:val="20"/>
          <w:szCs w:val="20"/>
          <w:color w:val="auto"/>
        </w:rPr>
      </w:pPr>
    </w:p>
    <w:p>
      <w:pPr>
        <w:jc w:val="both"/>
        <w:ind w:firstLine="645"/>
        <w:spacing w:after="0" w:line="248" w:lineRule="auto"/>
        <w:tabs>
          <w:tab w:leader="none" w:pos="107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w:t>
      </w:r>
      <w:r>
        <w:rPr>
          <w:rFonts w:ascii="Times New Roman" w:cs="Times New Roman" w:eastAsia="Times New Roman" w:hAnsi="Times New Roman"/>
          <w:sz w:val="20"/>
          <w:szCs w:val="20"/>
          <w:color w:val="auto"/>
        </w:rPr>
        <w:t>. Notwithstanding anything to the contrary contained in this Agreement, Cash Collateral provided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be provided for herein.</w:t>
      </w:r>
    </w:p>
    <w:p>
      <w:pPr>
        <w:spacing w:after="0" w:line="175" w:lineRule="exact"/>
        <w:rPr>
          <w:rFonts w:ascii="Times New Roman" w:cs="Times New Roman" w:eastAsia="Times New Roman" w:hAnsi="Times New Roman"/>
          <w:sz w:val="20"/>
          <w:szCs w:val="20"/>
          <w:color w:val="auto"/>
        </w:rPr>
      </w:pPr>
    </w:p>
    <w:p>
      <w:pPr>
        <w:jc w:val="both"/>
        <w:ind w:firstLine="645"/>
        <w:spacing w:after="0" w:line="244" w:lineRule="auto"/>
        <w:tabs>
          <w:tab w:leader="none" w:pos="11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Cash Collateral (or the appropriate portion thereof) provided to reduce Fronting Exposure or to secure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b w:val="1"/>
          <w:bCs w:val="1"/>
          <w:i w:val="1"/>
          <w:iCs w:val="1"/>
          <w:color w:val="auto"/>
        </w:rPr>
        <w:t>Section 11.06(b)(vi)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b w:val="1"/>
          <w:bCs w:val="1"/>
          <w:color w:val="auto"/>
        </w:rPr>
        <w:t>Defaulting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5"/>
        <w:spacing w:after="0" w:line="273" w:lineRule="auto"/>
        <w:tabs>
          <w:tab w:leader="none" w:pos="104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then, until such time as that Lender is no longer a Defaulting Lender, to the extent permitted by Applicable Law:</w:t>
      </w:r>
    </w:p>
    <w:p>
      <w:pPr>
        <w:spacing w:after="0" w:line="152" w:lineRule="exact"/>
        <w:rPr>
          <w:rFonts w:ascii="Times New Roman" w:cs="Times New Roman" w:eastAsia="Times New Roman" w:hAnsi="Times New Roman"/>
          <w:sz w:val="20"/>
          <w:szCs w:val="20"/>
          <w:color w:val="auto"/>
        </w:rPr>
      </w:pPr>
    </w:p>
    <w:p>
      <w:pPr>
        <w:jc w:val="both"/>
        <w:ind w:left="640" w:firstLine="653"/>
        <w:spacing w:after="0" w:line="256" w:lineRule="auto"/>
        <w:tabs>
          <w:tab w:leader="none" w:pos="1682"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Waivers and Amendments</w:t>
      </w:r>
      <w:r>
        <w:rPr>
          <w:rFonts w:ascii="Times New Roman" w:cs="Times New Roman" w:eastAsia="Times New Roman" w:hAnsi="Times New Roman"/>
          <w:sz w:val="20"/>
          <w:szCs w:val="20"/>
          <w:color w:val="auto"/>
        </w:rPr>
        <w:t>. Such Defaulting Lender’s right to approve or disapprove any amendment, waiver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 with respect to this Agreement shall be restricted as set forth in the definition of “</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left="640" w:firstLine="653"/>
        <w:spacing w:after="0" w:line="242" w:lineRule="auto"/>
        <w:tabs>
          <w:tab w:leader="none" w:pos="1872"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Defaulting Lender Waterfall</w:t>
      </w:r>
      <w:r>
        <w:rPr>
          <w:rFonts w:ascii="Times New Roman" w:cs="Times New Roman" w:eastAsia="Times New Roman" w:hAnsi="Times New Roman"/>
          <w:sz w:val="20"/>
          <w:szCs w:val="20"/>
          <w:color w:val="auto"/>
        </w:rPr>
        <w:t>. Any payment of principal, interest, fees or other amounts received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Administrative Agent for the account of such Defaulting Lender (whether voluntary or mandatory, at maturity, pursuant to </w:t>
      </w:r>
      <w:r>
        <w:rPr>
          <w:rFonts w:ascii="Times New Roman" w:cs="Times New Roman" w:eastAsia="Times New Roman" w:hAnsi="Times New Roman"/>
          <w:sz w:val="20"/>
          <w:szCs w:val="20"/>
          <w:b w:val="1"/>
          <w:bCs w:val="1"/>
          <w:i w:val="1"/>
          <w:iCs w:val="1"/>
          <w:color w:val="auto"/>
        </w:rPr>
        <w:t xml:space="preserve">Article VIII </w:t>
      </w:r>
      <w:r>
        <w:rPr>
          <w:rFonts w:ascii="Times New Roman" w:cs="Times New Roman" w:eastAsia="Times New Roman" w:hAnsi="Times New Roman"/>
          <w:sz w:val="20"/>
          <w:szCs w:val="20"/>
          <w:color w:val="auto"/>
        </w:rPr>
        <w:t>or otherwise) or received by the Administrative Agent from a Defaulting Lender pursuant to</w:t>
      </w:r>
      <w:r>
        <w:rPr>
          <w:rFonts w:ascii="Times New Roman" w:cs="Times New Roman" w:eastAsia="Times New Roman" w:hAnsi="Times New Roman"/>
          <w:sz w:val="20"/>
          <w:szCs w:val="20"/>
          <w:b w:val="1"/>
          <w:bCs w:val="1"/>
          <w:i w:val="1"/>
          <w:iCs w:val="1"/>
          <w:color w:val="auto"/>
        </w:rPr>
        <w:t xml:space="preserve"> Section 11.08 </w:t>
      </w:r>
      <w:r>
        <w:rPr>
          <w:rFonts w:ascii="Times New Roman" w:cs="Times New Roman" w:eastAsia="Times New Roman" w:hAnsi="Times New Roman"/>
          <w:sz w:val="20"/>
          <w:szCs w:val="20"/>
          <w:color w:val="auto"/>
        </w:rPr>
        <w:t>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the Swingline Lender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Cash Collateralize the L/C Issuer</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Fronting Exposure with respect to such Defaulting Lender in accordance with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as the Borrower may request (so long as no Default or Event of Default exists), to the funding of any Loan in respect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order to (A) satisfy such Defaulting Lender’s potential future funding obligations with respect to Loans under this Agreement and (B) Cash Collateralize the L/C Issuer’</w:t>
      </w:r>
      <w:r>
        <w:rPr>
          <w:rFonts w:ascii="Times New Roman" w:cs="Times New Roman" w:eastAsia="Times New Roman" w:hAnsi="Times New Roman"/>
          <w:sz w:val="20"/>
          <w:szCs w:val="20"/>
          <w:b w:val="1"/>
          <w:bCs w:val="1"/>
          <w:color w:val="auto"/>
        </w:rPr>
        <w:t>s</w:t>
      </w:r>
    </w:p>
    <w:p>
      <w:pPr>
        <w:sectPr>
          <w:pgSz w:w="11900" w:h="16838" w:orient="portrait"/>
          <w:cols w:equalWidth="0" w:num="1">
            <w:col w:w="10760"/>
          </w:cols>
          <w:pgMar w:left="900" w:top="562" w:right="239" w:bottom="1440" w:gutter="0" w:footer="0" w:header="0"/>
        </w:sectPr>
      </w:pPr>
    </w:p>
    <w:bookmarkStart w:id="127" w:name="page128"/>
    <w:bookmarkEnd w:id="127"/>
    <w:p>
      <w:pPr>
        <w:jc w:val="both"/>
        <w:ind w:left="100"/>
        <w:spacing w:after="0" w:line="241" w:lineRule="auto"/>
        <w:rPr>
          <w:sz w:val="20"/>
          <w:szCs w:val="20"/>
          <w:color w:val="auto"/>
        </w:rPr>
      </w:pPr>
      <w:r>
        <w:rPr>
          <w:rFonts w:ascii="Times New Roman" w:cs="Times New Roman" w:eastAsia="Times New Roman" w:hAnsi="Times New Roman"/>
          <w:sz w:val="20"/>
          <w:szCs w:val="20"/>
          <w:color w:val="auto"/>
        </w:rPr>
        <w:t xml:space="preserve">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Obligations owed to, such Defaulting Lender until such time as all Loans and funded and unfunded participations in L/C Obligations and Swingline Loans are held by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Commitments hereunder without giving effect to </w:t>
      </w:r>
      <w:r>
        <w:rPr>
          <w:rFonts w:ascii="Times New Roman" w:cs="Times New Roman" w:eastAsia="Times New Roman" w:hAnsi="Times New Roman"/>
          <w:sz w:val="20"/>
          <w:szCs w:val="20"/>
          <w:b w:val="1"/>
          <w:bCs w:val="1"/>
          <w:i w:val="1"/>
          <w:iCs w:val="1"/>
          <w:color w:val="auto"/>
        </w:rPr>
        <w:t>Section 2.15(a)(v)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b w:val="1"/>
          <w:bCs w:val="1"/>
          <w:i w:val="1"/>
          <w:iCs w:val="1"/>
          <w:color w:val="auto"/>
        </w:rPr>
        <w:t>Section 2.15(a)(ii)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88" w:lineRule="exact"/>
        <w:rPr>
          <w:sz w:val="20"/>
          <w:szCs w:val="20"/>
          <w:color w:val="auto"/>
        </w:rPr>
      </w:pPr>
    </w:p>
    <w:p>
      <w:pPr>
        <w:ind w:left="1220" w:hanging="467"/>
        <w:spacing w:after="0"/>
        <w:tabs>
          <w:tab w:leader="none" w:pos="12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641"/>
        <w:spacing w:after="0" w:line="256" w:lineRule="auto"/>
        <w:tabs>
          <w:tab w:leader="none" w:pos="1917"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 No Defaulting Lender shall be entitled to receive any fee payable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during which that Lender is a Defaulting Lender (and the Borrower shall not be required to pay any such fee that otherwise would have been required to have been paid to that Defaulting Lender).</w:t>
      </w:r>
    </w:p>
    <w:p>
      <w:pPr>
        <w:spacing w:after="0" w:line="168" w:lineRule="exact"/>
        <w:rPr>
          <w:rFonts w:ascii="Times New Roman" w:cs="Times New Roman" w:eastAsia="Times New Roman" w:hAnsi="Times New Roman"/>
          <w:sz w:val="20"/>
          <w:szCs w:val="20"/>
          <w:color w:val="auto"/>
        </w:rPr>
      </w:pPr>
    </w:p>
    <w:p>
      <w:pPr>
        <w:jc w:val="both"/>
        <w:ind w:left="760" w:firstLine="641"/>
        <w:spacing w:after="0" w:line="276" w:lineRule="auto"/>
        <w:tabs>
          <w:tab w:leader="none" w:pos="1879"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Letter of Credit Fees</w:t>
      </w:r>
      <w:r>
        <w:rPr>
          <w:rFonts w:ascii="Times New Roman" w:cs="Times New Roman" w:eastAsia="Times New Roman" w:hAnsi="Times New Roman"/>
          <w:sz w:val="19"/>
          <w:szCs w:val="19"/>
          <w:color w:val="auto"/>
        </w:rPr>
        <w:t>. Each Defaulting Lender shall be entitled to receive Letter of Credit Fees for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period during which that Lender is a Defaulting Lender only to the extent allocable to its Applicable Revolving Percentage of the stated amount of Letters of Credit for which it has provided Cash Collateral pursuant to </w:t>
      </w:r>
      <w:r>
        <w:rPr>
          <w:rFonts w:ascii="Times New Roman" w:cs="Times New Roman" w:eastAsia="Times New Roman" w:hAnsi="Times New Roman"/>
          <w:sz w:val="19"/>
          <w:szCs w:val="19"/>
          <w:b w:val="1"/>
          <w:bCs w:val="1"/>
          <w:i w:val="1"/>
          <w:iCs w:val="1"/>
          <w:color w:val="auto"/>
        </w:rPr>
        <w:t>Section 2.14</w:t>
      </w:r>
      <w:r>
        <w:rPr>
          <w:rFonts w:ascii="Times New Roman" w:cs="Times New Roman" w:eastAsia="Times New Roman" w:hAnsi="Times New Roman"/>
          <w:sz w:val="19"/>
          <w:szCs w:val="19"/>
          <w:color w:val="auto"/>
        </w:rPr>
        <w:t>.</w:t>
      </w:r>
    </w:p>
    <w:p>
      <w:pPr>
        <w:spacing w:after="0" w:line="151" w:lineRule="exact"/>
        <w:rPr>
          <w:rFonts w:ascii="Times New Roman" w:cs="Times New Roman" w:eastAsia="Times New Roman" w:hAnsi="Times New Roman"/>
          <w:sz w:val="19"/>
          <w:szCs w:val="19"/>
          <w:color w:val="auto"/>
        </w:rPr>
      </w:pPr>
    </w:p>
    <w:p>
      <w:pPr>
        <w:jc w:val="both"/>
        <w:ind w:left="760" w:firstLine="641"/>
        <w:spacing w:after="0" w:line="259" w:lineRule="auto"/>
        <w:tabs>
          <w:tab w:leader="none" w:pos="1987"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Defaulting Lender Fees</w:t>
      </w:r>
      <w:r>
        <w:rPr>
          <w:rFonts w:ascii="Times New Roman" w:cs="Times New Roman" w:eastAsia="Times New Roman" w:hAnsi="Times New Roman"/>
          <w:sz w:val="19"/>
          <w:szCs w:val="19"/>
          <w:color w:val="auto"/>
        </w:rPr>
        <w:t>. With respect to any Letter of Credit Fee not required to be paid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Defaulting Lender pursuant to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19"/>
          <w:szCs w:val="19"/>
          <w:b w:val="1"/>
          <w:bCs w:val="1"/>
          <w:i w:val="1"/>
          <w:iCs w:val="1"/>
          <w:color w:val="auto"/>
        </w:rPr>
        <w:t>clause (iv)</w:t>
      </w:r>
      <w:r>
        <w:rPr>
          <w:rFonts w:ascii="Times New Roman" w:cs="Times New Roman" w:eastAsia="Times New Roman" w:hAnsi="Times New Roman"/>
          <w:sz w:val="19"/>
          <w:szCs w:val="19"/>
          <w:color w:val="auto"/>
        </w:rPr>
        <w:t xml:space="preserve"> below,</w:t>
      </w:r>
    </w:p>
    <w:p>
      <w:pPr>
        <w:spacing w:after="0" w:line="1" w:lineRule="exact"/>
        <w:rPr>
          <w:rFonts w:ascii="Times New Roman" w:cs="Times New Roman" w:eastAsia="Times New Roman" w:hAnsi="Times New Roman"/>
          <w:sz w:val="19"/>
          <w:szCs w:val="19"/>
          <w:color w:val="auto"/>
        </w:rPr>
      </w:pPr>
    </w:p>
    <w:p>
      <w:pPr>
        <w:jc w:val="both"/>
        <w:ind w:left="76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pay to the L/C Issuer and the Swingline Lender, as applicable, the amount of any such fee otherwise payable to such Defaulting Lender to the extent allocable to such L/C Issuer’s or Swingline Lender’s Fronting Exposure to such Defaulting Lender, and (3) not be required to pay the remaining amount of any such fee.</w:t>
      </w:r>
    </w:p>
    <w:p>
      <w:pPr>
        <w:sectPr>
          <w:pgSz w:w="11900" w:h="16838" w:orient="portrait"/>
          <w:cols w:equalWidth="0" w:num="1">
            <w:col w:w="10220"/>
          </w:cols>
          <w:pgMar w:left="1440" w:top="562" w:right="239" w:bottom="1440" w:gutter="0" w:footer="0" w:header="0"/>
        </w:sectPr>
      </w:pPr>
    </w:p>
    <w:bookmarkStart w:id="128" w:name="page129"/>
    <w:bookmarkEnd w:id="128"/>
    <w:p>
      <w:pPr>
        <w:jc w:val="both"/>
        <w:ind w:left="640" w:firstLine="653"/>
        <w:spacing w:after="0" w:line="244" w:lineRule="auto"/>
        <w:tabs>
          <w:tab w:leader="none" w:pos="183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Reallocation of Applicable Revolving Percentages to Reduce Fronting Exposure</w:t>
      </w:r>
      <w:r>
        <w:rPr>
          <w:rFonts w:ascii="Times New Roman" w:cs="Times New Roman" w:eastAsia="Times New Roman" w:hAnsi="Times New Roman"/>
          <w:sz w:val="20"/>
          <w:szCs w:val="20"/>
          <w:color w:val="auto"/>
        </w:rPr>
        <w:t>. All or any part 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20"/>
          <w:szCs w:val="20"/>
          <w:b w:val="1"/>
          <w:bCs w:val="1"/>
          <w:i w:val="1"/>
          <w:iCs w:val="1"/>
          <w:color w:val="auto"/>
        </w:rPr>
        <w:t>Section 11.20</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2" w:lineRule="exact"/>
        <w:rPr>
          <w:rFonts w:ascii="Times New Roman" w:cs="Times New Roman" w:eastAsia="Times New Roman" w:hAnsi="Times New Roman"/>
          <w:sz w:val="20"/>
          <w:szCs w:val="20"/>
          <w:color w:val="auto"/>
        </w:rPr>
      </w:pPr>
    </w:p>
    <w:p>
      <w:pPr>
        <w:jc w:val="both"/>
        <w:ind w:left="640" w:firstLine="653"/>
        <w:spacing w:after="0" w:line="261" w:lineRule="auto"/>
        <w:tabs>
          <w:tab w:leader="none" w:pos="1699"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Cash Collateral, Repayment of Swingline Loans</w:t>
      </w:r>
      <w:r>
        <w:rPr>
          <w:rFonts w:ascii="Times New Roman" w:cs="Times New Roman" w:eastAsia="Times New Roman" w:hAnsi="Times New Roman"/>
          <w:sz w:val="19"/>
          <w:szCs w:val="19"/>
          <w:color w:val="auto"/>
        </w:rPr>
        <w:t>. If the reallocation described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clause (a)(iv)</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above cannot,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can only partially, be effected, the Borrower shall, without prejudice to any right or remedy available to it hereunder or under Applicable Law, (A)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prepay Swingline Loans in an amount equal to the Swingline Lender’s Fronting Exposure and</w:t>
      </w:r>
    </w:p>
    <w:p>
      <w:pPr>
        <w:spacing w:after="0" w:line="1" w:lineRule="exact"/>
        <w:rPr>
          <w:rFonts w:ascii="Times New Roman" w:cs="Times New Roman" w:eastAsia="Times New Roman" w:hAnsi="Times New Roman"/>
          <w:sz w:val="19"/>
          <w:szCs w:val="19"/>
          <w:color w:val="auto"/>
        </w:rPr>
      </w:pPr>
    </w:p>
    <w:p>
      <w:pPr>
        <w:ind w:left="960" w:hanging="315"/>
        <w:spacing w:after="0"/>
        <w:tabs>
          <w:tab w:leader="none" w:pos="96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Cash Collateralize the L/C Issuer’</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Fronting Exposure in accordance with the procedures set forth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2.14</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645"/>
        <w:spacing w:after="0" w:line="242" w:lineRule="auto"/>
        <w:tabs>
          <w:tab w:leader="none" w:pos="11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Defaulting Lender Cure</w:t>
      </w:r>
      <w:r>
        <w:rPr>
          <w:rFonts w:ascii="Times New Roman" w:cs="Times New Roman" w:eastAsia="Times New Roman" w:hAnsi="Times New Roman"/>
          <w:sz w:val="20"/>
          <w:szCs w:val="20"/>
          <w:color w:val="auto"/>
        </w:rPr>
        <w:t>. If the Borrower, the Administrative Agent, the Swingline Lender and the L/C Issuer agree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Commitments (without giving effect to </w:t>
      </w:r>
      <w:r>
        <w:rPr>
          <w:rFonts w:ascii="Times New Roman" w:cs="Times New Roman" w:eastAsia="Times New Roman" w:hAnsi="Times New Roman"/>
          <w:sz w:val="20"/>
          <w:szCs w:val="20"/>
          <w:b w:val="1"/>
          <w:bCs w:val="1"/>
          <w:i w:val="1"/>
          <w:iCs w:val="1"/>
          <w:color w:val="auto"/>
        </w:rPr>
        <w:t>Section 2.15(a)(iv)</w:t>
      </w:r>
      <w:r>
        <w:rPr>
          <w:rFonts w:ascii="Times New Roman" w:cs="Times New Roman" w:eastAsia="Times New Roman" w:hAnsi="Times New Roman"/>
          <w:sz w:val="20"/>
          <w:szCs w:val="20"/>
          <w:color w:val="auto"/>
        </w:rPr>
        <w:t>),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0" w:lineRule="exact"/>
        <w:rPr>
          <w:rFonts w:ascii="Times New Roman" w:cs="Times New Roman" w:eastAsia="Times New Roman" w:hAnsi="Times New Roman"/>
          <w:sz w:val="20"/>
          <w:szCs w:val="20"/>
          <w:color w:val="auto"/>
        </w:rPr>
      </w:pPr>
    </w:p>
    <w:p>
      <w:pPr>
        <w:jc w:val="both"/>
        <w:ind w:firstLine="645"/>
        <w:spacing w:after="0" w:line="250" w:lineRule="auto"/>
        <w:tabs>
          <w:tab w:leader="none" w:pos="1089"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b w:val="1"/>
          <w:bCs w:val="1"/>
          <w:color w:val="auto"/>
        </w:rPr>
        <w:t>Increase in Revolving Facility.</w:t>
      </w:r>
    </w:p>
    <w:p>
      <w:pPr>
        <w:spacing w:after="0" w:line="216" w:lineRule="exact"/>
        <w:rPr>
          <w:sz w:val="20"/>
          <w:szCs w:val="20"/>
          <w:color w:val="auto"/>
        </w:rPr>
      </w:pPr>
    </w:p>
    <w:p>
      <w:pPr>
        <w:jc w:val="both"/>
        <w:ind w:firstLine="645"/>
        <w:spacing w:after="0" w:line="248" w:lineRule="auto"/>
        <w:tabs>
          <w:tab w:leader="none" w:pos="1089"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Request for Increase. </w:t>
      </w:r>
      <w:r>
        <w:rPr>
          <w:rFonts w:ascii="Times New Roman" w:cs="Times New Roman" w:eastAsia="Times New Roman" w:hAnsi="Times New Roman"/>
          <w:sz w:val="20"/>
          <w:szCs w:val="20"/>
          <w:color w:val="auto"/>
        </w:rPr>
        <w:t>Provided there exists no Default, upon notice to the Administrative Agent (which shall promptly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notify the Lenders), the Borrower may from time to time, request an increase in the Revolving Facility by an amount (for all such requests) not exceeding $50,000,000 (an “</w:t>
      </w:r>
      <w:r>
        <w:rPr>
          <w:rFonts w:ascii="Times New Roman" w:cs="Times New Roman" w:eastAsia="Times New Roman" w:hAnsi="Times New Roman"/>
          <w:sz w:val="20"/>
          <w:szCs w:val="20"/>
          <w:b w:val="1"/>
          <w:bCs w:val="1"/>
          <w:i w:val="1"/>
          <w:iCs w:val="1"/>
          <w:color w:val="auto"/>
        </w:rPr>
        <w:t>Incremental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such request for an Incremental Facility shall be in a minimum amount of $15,000,000, or if less, the then remaining portion of the increase and (ii) the Borrower may make a maximum of four such requests.</w:t>
      </w:r>
    </w:p>
    <w:p>
      <w:pPr>
        <w:sectPr>
          <w:pgSz w:w="11900" w:h="16838" w:orient="portrait"/>
          <w:cols w:equalWidth="0" w:num="1">
            <w:col w:w="10760"/>
          </w:cols>
          <w:pgMar w:left="900" w:top="558" w:right="239" w:bottom="1440" w:gutter="0" w:footer="0" w:header="0"/>
        </w:sectPr>
      </w:pPr>
    </w:p>
    <w:bookmarkStart w:id="129" w:name="page130"/>
    <w:bookmarkEnd w:id="129"/>
    <w:p>
      <w:pPr>
        <w:jc w:val="both"/>
        <w:ind w:left="652" w:firstLine="645"/>
        <w:spacing w:after="0" w:line="250" w:lineRule="auto"/>
        <w:tabs>
          <w:tab w:leader="none" w:pos="1711"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Lender Elections to Increase. </w:t>
      </w:r>
      <w:r>
        <w:rPr>
          <w:rFonts w:ascii="Times New Roman" w:cs="Times New Roman" w:eastAsia="Times New Roman" w:hAnsi="Times New Roman"/>
          <w:sz w:val="20"/>
          <w:szCs w:val="20"/>
          <w:color w:val="auto"/>
        </w:rPr>
        <w:t>Each Lender shall notify the Administrative Agent within such time period whether or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agrees to increase its Revolving Commitment and, if so, whether by an amount equal to, greater than, or less than its Applicable Revolving Percentage of such requested increase. Any Lender not responding within such time period shall be deemed to have declined to increase its Revolving Commitment.</w:t>
      </w:r>
    </w:p>
    <w:p>
      <w:pPr>
        <w:spacing w:after="0" w:line="176" w:lineRule="exact"/>
        <w:rPr>
          <w:rFonts w:ascii="Times New Roman" w:cs="Times New Roman" w:eastAsia="Times New Roman" w:hAnsi="Times New Roman"/>
          <w:sz w:val="20"/>
          <w:szCs w:val="20"/>
          <w:color w:val="auto"/>
        </w:rPr>
      </w:pPr>
    </w:p>
    <w:p>
      <w:pPr>
        <w:jc w:val="both"/>
        <w:ind w:left="652" w:firstLine="645"/>
        <w:spacing w:after="0" w:line="248" w:lineRule="auto"/>
        <w:tabs>
          <w:tab w:leader="none" w:pos="175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Notification by Administrative Agent; Additional Lenders. </w:t>
      </w:r>
      <w:r>
        <w:rPr>
          <w:rFonts w:ascii="Times New Roman" w:cs="Times New Roman" w:eastAsia="Times New Roman" w:hAnsi="Times New Roman"/>
          <w:sz w:val="20"/>
          <w:szCs w:val="20"/>
          <w:color w:val="auto"/>
        </w:rPr>
        <w:t>The Administrative Agent shall notify the Borrower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Lender of the Lenders’ responses to each request made hereunder. To achieve the full amount of a requested increase, and subject to the approval of the Administrative Agent, the L/C Issuer and the Swingline Lender, the Borrower may also invite additional Eligible Assignees to become Lenders pursuant to a joinder agreement (“</w:t>
      </w:r>
      <w:r>
        <w:rPr>
          <w:rFonts w:ascii="Times New Roman" w:cs="Times New Roman" w:eastAsia="Times New Roman" w:hAnsi="Times New Roman"/>
          <w:sz w:val="20"/>
          <w:szCs w:val="20"/>
          <w:b w:val="1"/>
          <w:bCs w:val="1"/>
          <w:i w:val="1"/>
          <w:iCs w:val="1"/>
          <w:color w:val="auto"/>
        </w:rPr>
        <w:t>New Lenders</w:t>
      </w:r>
      <w:r>
        <w:rPr>
          <w:rFonts w:ascii="Times New Roman" w:cs="Times New Roman" w:eastAsia="Times New Roman" w:hAnsi="Times New Roman"/>
          <w:sz w:val="20"/>
          <w:szCs w:val="20"/>
          <w:color w:val="auto"/>
        </w:rPr>
        <w:t>”) in form and substance satisfactory to the Administrative Agent and its counsel.</w:t>
      </w:r>
    </w:p>
    <w:p>
      <w:pPr>
        <w:spacing w:after="0" w:line="175" w:lineRule="exact"/>
        <w:rPr>
          <w:rFonts w:ascii="Times New Roman" w:cs="Times New Roman" w:eastAsia="Times New Roman" w:hAnsi="Times New Roman"/>
          <w:sz w:val="20"/>
          <w:szCs w:val="20"/>
          <w:color w:val="auto"/>
        </w:rPr>
      </w:pPr>
    </w:p>
    <w:p>
      <w:pPr>
        <w:jc w:val="both"/>
        <w:ind w:left="652" w:firstLine="645"/>
        <w:spacing w:after="0" w:line="250" w:lineRule="auto"/>
        <w:tabs>
          <w:tab w:leader="none" w:pos="1873"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Effective Date and Allocations. </w:t>
      </w:r>
      <w:r>
        <w:rPr>
          <w:rFonts w:ascii="Times New Roman" w:cs="Times New Roman" w:eastAsia="Times New Roman" w:hAnsi="Times New Roman"/>
          <w:sz w:val="20"/>
          <w:szCs w:val="20"/>
          <w:color w:val="auto"/>
        </w:rPr>
        <w:t>If the Revolving Facility is increased in accordance with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and the Borrower shall determine the effective date (the “</w:t>
      </w:r>
      <w:r>
        <w:rPr>
          <w:rFonts w:ascii="Times New Roman" w:cs="Times New Roman" w:eastAsia="Times New Roman" w:hAnsi="Times New Roman"/>
          <w:sz w:val="20"/>
          <w:szCs w:val="20"/>
          <w:b w:val="1"/>
          <w:bCs w:val="1"/>
          <w:i w:val="1"/>
          <w:iCs w:val="1"/>
          <w:color w:val="auto"/>
        </w:rPr>
        <w:t>Revolving Increase Effective Date</w:t>
      </w:r>
      <w:r>
        <w:rPr>
          <w:rFonts w:ascii="Times New Roman" w:cs="Times New Roman" w:eastAsia="Times New Roman" w:hAnsi="Times New Roman"/>
          <w:sz w:val="20"/>
          <w:szCs w:val="20"/>
          <w:color w:val="auto"/>
        </w:rPr>
        <w:t>”) and the final allocation of such increase. The Administrative Agent shall promptly notify the Borrower and the Lenders and the New Lenders of the final allocation of such increase and the Revolving Increase Effective Date.</w:t>
      </w:r>
    </w:p>
    <w:p>
      <w:pPr>
        <w:spacing w:after="0" w:line="176" w:lineRule="exact"/>
        <w:rPr>
          <w:rFonts w:ascii="Times New Roman" w:cs="Times New Roman" w:eastAsia="Times New Roman" w:hAnsi="Times New Roman"/>
          <w:sz w:val="20"/>
          <w:szCs w:val="20"/>
          <w:color w:val="auto"/>
        </w:rPr>
      </w:pPr>
    </w:p>
    <w:p>
      <w:pPr>
        <w:jc w:val="both"/>
        <w:ind w:left="652" w:firstLine="645"/>
        <w:spacing w:after="0" w:line="242" w:lineRule="auto"/>
        <w:tabs>
          <w:tab w:leader="none" w:pos="176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Conditions to Effectiveness of Increase. </w:t>
      </w:r>
      <w:r>
        <w:rPr>
          <w:rFonts w:ascii="Times New Roman" w:cs="Times New Roman" w:eastAsia="Times New Roman" w:hAnsi="Times New Roman"/>
          <w:sz w:val="20"/>
          <w:szCs w:val="20"/>
          <w:color w:val="auto"/>
        </w:rPr>
        <w:t>As a condition precedent to such increase, the Borrower shall deliver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Administrative Agent a certificate of each Loan Party dated as of the Revolving Increase Effective Date (in sufficient copies for each Lender) signed by a Responsible Officer of such Loan Party (i) certifying and attaching the resolutions adopted by such Loan Party approving or consenting to such increase, and (ii) in the case of the Borrower, certifying that, before and after giving effect to such increase, (A) the representations and warranties contained in </w:t>
      </w:r>
      <w:r>
        <w:rPr>
          <w:rFonts w:ascii="Times New Roman" w:cs="Times New Roman" w:eastAsia="Times New Roman" w:hAnsi="Times New Roman"/>
          <w:sz w:val="20"/>
          <w:szCs w:val="20"/>
          <w:b w:val="1"/>
          <w:bCs w:val="1"/>
          <w:i w:val="1"/>
          <w:iCs w:val="1"/>
          <w:color w:val="auto"/>
        </w:rPr>
        <w:t>Article V</w:t>
      </w:r>
      <w:r>
        <w:rPr>
          <w:rFonts w:ascii="Times New Roman" w:cs="Times New Roman" w:eastAsia="Times New Roman" w:hAnsi="Times New Roman"/>
          <w:sz w:val="20"/>
          <w:szCs w:val="20"/>
          <w:color w:val="auto"/>
        </w:rPr>
        <w:t xml:space="preserve"> and the other Loan Documents are true and correct, on and as of the Revolving Increase Effective Date, and except that for purposes of this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i w:val="1"/>
          <w:iCs w:val="1"/>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b w:val="1"/>
          <w:bCs w:val="1"/>
          <w:i w:val="1"/>
          <w:iCs w:val="1"/>
          <w:color w:val="auto"/>
        </w:rPr>
        <w:t>Section 6.01</w:t>
      </w:r>
      <w:r>
        <w:rPr>
          <w:rFonts w:ascii="Times New Roman" w:cs="Times New Roman" w:eastAsia="Times New Roman" w:hAnsi="Times New Roman"/>
          <w:sz w:val="20"/>
          <w:szCs w:val="20"/>
          <w:color w:val="auto"/>
        </w:rPr>
        <w:t xml:space="preserve">, and (B) both before and after giving effect to the Incremental Facility, no Default exists. The Borrower shall deliver or cause to be delivered any other customary documents (including, without limitation, legal opinions) as reasonably requested by the Administrative Agent in connection with any Incremental Facility. The Borrower shall prepay any Revolving Loans outstanding on the Revolving Increase Effective Date (and pay any additional amounts required pursuant to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xml:space="preserve">) to the extent necessary to keep the outstanding Revolving Loans ratable with any revised Applicable Revolving Percentages arising from any nonratable increase in the Revolving Commitments under this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b w:val="1"/>
          <w:bCs w:val="1"/>
          <w:color w:val="auto"/>
        </w:rPr>
        <w:t>.</w:t>
      </w:r>
    </w:p>
    <w:p>
      <w:pPr>
        <w:spacing w:after="0" w:line="186" w:lineRule="exact"/>
        <w:rPr>
          <w:rFonts w:ascii="Times New Roman" w:cs="Times New Roman" w:eastAsia="Times New Roman" w:hAnsi="Times New Roman"/>
          <w:sz w:val="20"/>
          <w:szCs w:val="20"/>
          <w:color w:val="auto"/>
        </w:rPr>
      </w:pPr>
    </w:p>
    <w:p>
      <w:pPr>
        <w:ind w:left="1672" w:hanging="375"/>
        <w:spacing w:after="0"/>
        <w:tabs>
          <w:tab w:leader="none" w:pos="167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Conflicting Provisions.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supersede any provisions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11.01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contrary.</w:t>
      </w:r>
    </w:p>
    <w:p>
      <w:pPr>
        <w:spacing w:after="0" w:line="215" w:lineRule="exact"/>
        <w:rPr>
          <w:rFonts w:ascii="Times New Roman" w:cs="Times New Roman" w:eastAsia="Times New Roman" w:hAnsi="Times New Roman"/>
          <w:sz w:val="20"/>
          <w:szCs w:val="20"/>
          <w:color w:val="auto"/>
        </w:rPr>
      </w:pPr>
    </w:p>
    <w:p>
      <w:pPr>
        <w:ind w:left="652" w:firstLine="645"/>
        <w:spacing w:after="0" w:line="273" w:lineRule="auto"/>
        <w:tabs>
          <w:tab w:leader="none" w:pos="172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Incremental Facility. </w:t>
      </w:r>
      <w:r>
        <w:rPr>
          <w:rFonts w:ascii="Times New Roman" w:cs="Times New Roman" w:eastAsia="Times New Roman" w:hAnsi="Times New Roman"/>
          <w:sz w:val="20"/>
          <w:szCs w:val="20"/>
          <w:color w:val="auto"/>
        </w:rPr>
        <w:t>Except as otherwise specifically set forth herein, all of the other terms and conditions applicable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Incremental Facility shall be identical to the terms and conditions applicable to the Revolving Facility.</w:t>
      </w:r>
    </w:p>
    <w:p>
      <w:pPr>
        <w:spacing w:after="0" w:line="152" w:lineRule="exact"/>
        <w:rPr>
          <w:rFonts w:ascii="Times New Roman" w:cs="Times New Roman" w:eastAsia="Times New Roman" w:hAnsi="Times New Roman"/>
          <w:sz w:val="20"/>
          <w:szCs w:val="20"/>
          <w:color w:val="auto"/>
        </w:rPr>
      </w:pPr>
    </w:p>
    <w:p>
      <w:pPr>
        <w:ind w:left="432" w:hanging="432"/>
        <w:spacing w:after="0"/>
        <w:tabs>
          <w:tab w:leader="none" w:pos="43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TAXES, YIELD PROTECTION AND ILLEGALITY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52"/>
        <w:spacing w:after="0"/>
        <w:tabs>
          <w:tab w:leader="none" w:pos="1152"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52" w:firstLine="645"/>
        <w:spacing w:after="0" w:line="273" w:lineRule="auto"/>
        <w:tabs>
          <w:tab w:leader="none" w:pos="175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the term “Applicable Law” includes FATCA and the term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any L/C Issuer.</w:t>
      </w:r>
    </w:p>
    <w:p>
      <w:pPr>
        <w:sectPr>
          <w:pgSz w:w="11900" w:h="16838" w:orient="portrait"/>
          <w:cols w:equalWidth="0" w:num="1">
            <w:col w:w="11412"/>
          </w:cols>
          <w:pgMar w:left="248" w:top="558" w:right="239" w:bottom="1440" w:gutter="0" w:footer="0" w:header="0"/>
        </w:sectPr>
      </w:pPr>
    </w:p>
    <w:bookmarkStart w:id="130" w:name="page131"/>
    <w:bookmarkEnd w:id="130"/>
    <w:p>
      <w:pPr>
        <w:jc w:val="both"/>
        <w:ind w:left="-540" w:firstLine="645"/>
        <w:spacing w:after="0" w:line="243" w:lineRule="auto"/>
        <w:tabs>
          <w:tab w:leader="none" w:pos="58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Free of Taxes; Obligation to Withhold; Payments on Account of Taxes</w:t>
      </w:r>
      <w:r>
        <w:rPr>
          <w:rFonts w:ascii="Times New Roman" w:cs="Times New Roman" w:eastAsia="Times New Roman" w:hAnsi="Times New Roman"/>
          <w:sz w:val="20"/>
          <w:szCs w:val="20"/>
          <w:color w:val="auto"/>
        </w:rPr>
        <w:t>. Any and all payments by or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6" w:lineRule="exact"/>
        <w:rPr>
          <w:rFonts w:ascii="Times New Roman" w:cs="Times New Roman" w:eastAsia="Times New Roman" w:hAnsi="Times New Roman"/>
          <w:sz w:val="20"/>
          <w:szCs w:val="20"/>
          <w:color w:val="auto"/>
        </w:rPr>
      </w:pPr>
    </w:p>
    <w:p>
      <w:pPr>
        <w:jc w:val="both"/>
        <w:ind w:left="-540" w:firstLine="645"/>
        <w:spacing w:after="0" w:line="256" w:lineRule="auto"/>
        <w:tabs>
          <w:tab w:leader="none" w:pos="50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Applicable Law, or at the option of the Administrative Agent timely reimburse it for the payment of, any Other Taxes.</w:t>
      </w:r>
    </w:p>
    <w:p>
      <w:pPr>
        <w:spacing w:after="0" w:line="168" w:lineRule="exact"/>
        <w:rPr>
          <w:rFonts w:ascii="Times New Roman" w:cs="Times New Roman" w:eastAsia="Times New Roman" w:hAnsi="Times New Roman"/>
          <w:sz w:val="20"/>
          <w:szCs w:val="20"/>
          <w:color w:val="auto"/>
        </w:rPr>
      </w:pPr>
    </w:p>
    <w:p>
      <w:pPr>
        <w:ind w:left="520" w:hanging="415"/>
        <w:spacing w:after="0"/>
        <w:tabs>
          <w:tab w:leader="none" w:pos="5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Indemnifications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00" w:firstLine="653"/>
        <w:spacing w:after="0" w:line="242" w:lineRule="auto"/>
        <w:tabs>
          <w:tab w:leader="none" w:pos="1155"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Each of the Loan Parties shall also, and does hereby, jointly and severally indemnify the Administrative Agent, and shall make payment in respect thereof within 10 days after demand therefor, for any amount which a Lender for any reason fails to pay indefeasibly to the Administrative Agent as required pursuant to </w:t>
      </w:r>
      <w:r>
        <w:rPr>
          <w:rFonts w:ascii="Times New Roman" w:cs="Times New Roman" w:eastAsia="Times New Roman" w:hAnsi="Times New Roman"/>
          <w:sz w:val="20"/>
          <w:szCs w:val="20"/>
          <w:b w:val="1"/>
          <w:bCs w:val="1"/>
          <w:i w:val="1"/>
          <w:iCs w:val="1"/>
          <w:color w:val="auto"/>
        </w:rPr>
        <w:t xml:space="preserve">Section 3.01(d)(ii) </w:t>
      </w:r>
      <w:r>
        <w:rPr>
          <w:rFonts w:ascii="Times New Roman" w:cs="Times New Roman" w:eastAsia="Times New Roman" w:hAnsi="Times New Roman"/>
          <w:sz w:val="20"/>
          <w:szCs w:val="20"/>
          <w:color w:val="auto"/>
        </w:rPr>
        <w:t>below.</w:t>
      </w:r>
    </w:p>
    <w:p>
      <w:pPr>
        <w:spacing w:after="0" w:line="190" w:lineRule="exact"/>
        <w:rPr>
          <w:rFonts w:ascii="Times New Roman" w:cs="Times New Roman" w:eastAsia="Times New Roman" w:hAnsi="Times New Roman"/>
          <w:sz w:val="20"/>
          <w:szCs w:val="20"/>
          <w:color w:val="auto"/>
        </w:rPr>
      </w:pPr>
    </w:p>
    <w:p>
      <w:pPr>
        <w:jc w:val="both"/>
        <w:ind w:left="100" w:firstLine="653"/>
        <w:spacing w:after="0" w:line="242" w:lineRule="auto"/>
        <w:tabs>
          <w:tab w:leader="none" w:pos="1291"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and does hereby, severally indemnify and shall make payment in respect thereof within 10 days after demand therefor, (A) the Administrative Agent against any Indemnified Taxes attributable to such Lender, (B) the Administrative Agent any Taxes attributable to such Lender’s failure to comply with the provisions of </w:t>
      </w:r>
      <w:r>
        <w:rPr>
          <w:rFonts w:ascii="Times New Roman" w:cs="Times New Roman" w:eastAsia="Times New Roman" w:hAnsi="Times New Roman"/>
          <w:sz w:val="20"/>
          <w:szCs w:val="20"/>
          <w:b w:val="1"/>
          <w:bCs w:val="1"/>
          <w:i w:val="1"/>
          <w:iCs w:val="1"/>
          <w:color w:val="auto"/>
        </w:rPr>
        <w:t>Section 11.06(d)</w:t>
      </w:r>
      <w:r>
        <w:rPr>
          <w:rFonts w:ascii="Times New Roman" w:cs="Times New Roman" w:eastAsia="Times New Roman" w:hAnsi="Times New Roman"/>
          <w:sz w:val="20"/>
          <w:szCs w:val="20"/>
          <w:color w:val="auto"/>
        </w:rPr>
        <w:t xml:space="preserve"> relating to the maintenance of a Participant Register and (C) the Administrative Agent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w:t>
      </w:r>
    </w:p>
    <w:p>
      <w:pPr>
        <w:sectPr>
          <w:pgSz w:w="11900" w:h="16838" w:orient="portrait"/>
          <w:cols w:equalWidth="0" w:num="1">
            <w:col w:w="10220"/>
          </w:cols>
          <w:pgMar w:left="1440" w:top="558" w:right="239" w:bottom="1440" w:gutter="0" w:footer="0" w:header="0"/>
        </w:sectPr>
      </w:pPr>
    </w:p>
    <w:bookmarkStart w:id="131" w:name="page132"/>
    <w:bookmarkEnd w:id="131"/>
    <w:p>
      <w:pPr>
        <w:ind w:left="100" w:right="20"/>
        <w:spacing w:after="0" w:line="269" w:lineRule="auto"/>
        <w:rPr>
          <w:sz w:val="20"/>
          <w:szCs w:val="20"/>
          <w:color w:val="auto"/>
        </w:rPr>
      </w:pPr>
      <w:r>
        <w:rPr>
          <w:rFonts w:ascii="Times New Roman" w:cs="Times New Roman" w:eastAsia="Times New Roman" w:hAnsi="Times New Roman"/>
          <w:sz w:val="20"/>
          <w:szCs w:val="20"/>
          <w:color w:val="auto"/>
        </w:rPr>
        <w:t xml:space="preserve">payable by the Administrative Agent to the Lender from any other source against any amount due to the Administrative Agent under this </w:t>
      </w:r>
      <w:r>
        <w:rPr>
          <w:rFonts w:ascii="Times New Roman" w:cs="Times New Roman" w:eastAsia="Times New Roman" w:hAnsi="Times New Roman"/>
          <w:sz w:val="20"/>
          <w:szCs w:val="20"/>
          <w:b w:val="1"/>
          <w:bCs w:val="1"/>
          <w:i w:val="1"/>
          <w:iCs w:val="1"/>
          <w:color w:val="auto"/>
        </w:rPr>
        <w:t>clause (d)(ii)</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left="-540" w:firstLine="645"/>
        <w:spacing w:after="0" w:line="250" w:lineRule="auto"/>
        <w:tabs>
          <w:tab w:leader="none" w:pos="64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Evidence of Payments</w:t>
      </w:r>
      <w:r>
        <w:rPr>
          <w:rFonts w:ascii="Times New Roman" w:cs="Times New Roman" w:eastAsia="Times New Roman" w:hAnsi="Times New Roman"/>
          <w:sz w:val="20"/>
          <w:szCs w:val="20"/>
          <w:color w:val="auto"/>
        </w:rPr>
        <w:t>. As soon as practicable after any payment of Taxes by any Loan Party to a Governmental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Authority, as provided in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0"/>
          <w:szCs w:val="20"/>
          <w:color w:val="auto"/>
        </w:rPr>
      </w:pPr>
    </w:p>
    <w:p>
      <w:pPr>
        <w:ind w:left="480" w:hanging="375"/>
        <w:spacing w:after="0"/>
        <w:tabs>
          <w:tab w:leader="none" w:pos="4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Status of Lenders; Tax Documentation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00" w:firstLine="653"/>
        <w:spacing w:after="0" w:line="242" w:lineRule="auto"/>
        <w:tabs>
          <w:tab w:leader="none" w:pos="112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b w:val="1"/>
          <w:bCs w:val="1"/>
          <w:i w:val="1"/>
          <w:iCs w:val="1"/>
          <w:color w:val="auto"/>
        </w:rPr>
        <w:t>Section 3.01(f)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(ii)(A)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(ii)(B)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(ii)(D) </w:t>
      </w:r>
      <w:r>
        <w:rPr>
          <w:rFonts w:ascii="Times New Roman" w:cs="Times New Roman" w:eastAsia="Times New Roman" w:hAnsi="Times New Roman"/>
          <w:sz w:val="20"/>
          <w:szCs w:val="20"/>
          <w:color w:val="auto"/>
        </w:rPr>
        <w:t>below) shall not be required if in the Lender’s reasonable judgment such completion, execution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submission would subject such Lender to any material unreimbursed cost or expense or would materially prejudice the legal or commercial position of such Lender.</w:t>
      </w:r>
    </w:p>
    <w:p>
      <w:pPr>
        <w:spacing w:after="0" w:line="188" w:lineRule="exact"/>
        <w:rPr>
          <w:rFonts w:ascii="Times New Roman" w:cs="Times New Roman" w:eastAsia="Times New Roman" w:hAnsi="Times New Roman"/>
          <w:sz w:val="20"/>
          <w:szCs w:val="20"/>
          <w:color w:val="auto"/>
        </w:rPr>
      </w:pPr>
    </w:p>
    <w:p>
      <w:pPr>
        <w:ind w:left="1180" w:hanging="427"/>
        <w:spacing w:after="0"/>
        <w:tabs>
          <w:tab w:leader="none" w:pos="118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215" w:lineRule="exact"/>
        <w:rPr>
          <w:rFonts w:ascii="Times New Roman" w:cs="Times New Roman" w:eastAsia="Times New Roman" w:hAnsi="Times New Roman"/>
          <w:sz w:val="20"/>
          <w:szCs w:val="20"/>
          <w:color w:val="auto"/>
        </w:rPr>
      </w:pPr>
    </w:p>
    <w:p>
      <w:pPr>
        <w:jc w:val="both"/>
        <w:ind w:left="760" w:firstLine="641"/>
        <w:spacing w:after="0" w:line="249" w:lineRule="auto"/>
        <w:tabs>
          <w:tab w:leader="none" w:pos="1890"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0" w:lineRule="exact"/>
        <w:rPr>
          <w:rFonts w:ascii="Times New Roman" w:cs="Times New Roman" w:eastAsia="Times New Roman" w:hAnsi="Times New Roman"/>
          <w:sz w:val="20"/>
          <w:szCs w:val="20"/>
          <w:color w:val="auto"/>
        </w:rPr>
      </w:pPr>
    </w:p>
    <w:p>
      <w:pPr>
        <w:jc w:val="both"/>
        <w:ind w:left="760" w:firstLine="641"/>
        <w:spacing w:after="0" w:line="249" w:lineRule="auto"/>
        <w:tabs>
          <w:tab w:leader="none" w:pos="1933"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rFonts w:ascii="Times New Roman" w:cs="Times New Roman" w:eastAsia="Times New Roman" w:hAnsi="Times New Roman"/>
          <w:sz w:val="20"/>
          <w:szCs w:val="20"/>
          <w:color w:val="auto"/>
        </w:rPr>
      </w:pPr>
    </w:p>
    <w:p>
      <w:pPr>
        <w:jc w:val="both"/>
        <w:ind w:left="1400" w:firstLine="649"/>
        <w:spacing w:after="0" w:line="249" w:lineRule="auto"/>
        <w:tabs>
          <w:tab w:leader="none" w:pos="2472" w:val="left"/>
        </w:tabs>
        <w:numPr>
          <w:ilvl w:val="3"/>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w:t>
      </w:r>
    </w:p>
    <w:p>
      <w:pPr>
        <w:sectPr>
          <w:pgSz w:w="11900" w:h="16838" w:orient="portrait"/>
          <w:cols w:equalWidth="0" w:num="1">
            <w:col w:w="10220"/>
          </w:cols>
          <w:pgMar w:left="1440" w:top="562" w:right="239" w:bottom="1440" w:gutter="0" w:footer="0" w:header="0"/>
        </w:sectPr>
      </w:pPr>
    </w:p>
    <w:bookmarkStart w:id="132" w:name="page133"/>
    <w:bookmarkEnd w:id="132"/>
    <w:p>
      <w:pPr>
        <w:jc w:val="both"/>
        <w:ind w:left="1400"/>
        <w:spacing w:after="0" w:line="254" w:lineRule="auto"/>
        <w:rPr>
          <w:sz w:val="20"/>
          <w:szCs w:val="20"/>
          <w:color w:val="auto"/>
        </w:rPr>
      </w:pPr>
      <w:r>
        <w:rPr>
          <w:rFonts w:ascii="Times New Roman" w:cs="Times New Roman" w:eastAsia="Times New Roman" w:hAnsi="Times New Roman"/>
          <w:sz w:val="20"/>
          <w:szCs w:val="20"/>
          <w:color w:val="auto"/>
        </w:rPr>
        <w:t>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75" w:lineRule="exact"/>
        <w:rPr>
          <w:sz w:val="20"/>
          <w:szCs w:val="20"/>
          <w:color w:val="auto"/>
        </w:rPr>
      </w:pPr>
    </w:p>
    <w:p>
      <w:pPr>
        <w:ind w:left="2460" w:hanging="411"/>
        <w:spacing w:after="0"/>
        <w:tabs>
          <w:tab w:leader="none" w:pos="24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1400" w:firstLine="649"/>
        <w:spacing w:after="0" w:line="257" w:lineRule="auto"/>
        <w:tabs>
          <w:tab w:leader="none" w:pos="245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w:t>
      </w:r>
      <w:r>
        <w:rPr>
          <w:rFonts w:ascii="Times New Roman" w:cs="Times New Roman" w:eastAsia="Times New Roman" w:hAnsi="Times New Roman"/>
          <w:sz w:val="19"/>
          <w:szCs w:val="19"/>
          <w:i w:val="1"/>
          <w:iCs w:val="1"/>
          <w:color w:val="auto"/>
        </w:rPr>
        <w:t xml:space="preserve">Section 881(c) </w:t>
      </w:r>
      <w:r>
        <w:rPr>
          <w:rFonts w:ascii="Times New Roman" w:cs="Times New Roman" w:eastAsia="Times New Roman" w:hAnsi="Times New Roman"/>
          <w:sz w:val="19"/>
          <w:szCs w:val="19"/>
          <w:color w:val="auto"/>
        </w:rPr>
        <w:t>of the Code, (x) a certificate substantially in the form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Exhibit M-1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effect that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Foreign Lender is not a “</w:t>
      </w:r>
      <w:r>
        <w:rPr>
          <w:rFonts w:ascii="Times New Roman" w:cs="Times New Roman" w:eastAsia="Times New Roman" w:hAnsi="Times New Roman"/>
          <w:sz w:val="19"/>
          <w:szCs w:val="19"/>
          <w:i w:val="1"/>
          <w:iCs w:val="1"/>
          <w:color w:val="auto"/>
        </w:rPr>
        <w:t>bank</w:t>
      </w:r>
      <w:r>
        <w:rPr>
          <w:rFonts w:ascii="Times New Roman" w:cs="Times New Roman" w:eastAsia="Times New Roman" w:hAnsi="Times New Roman"/>
          <w:sz w:val="19"/>
          <w:szCs w:val="19"/>
          <w:color w:val="auto"/>
        </w:rPr>
        <w:t xml:space="preserve">” within the meaning of </w:t>
      </w:r>
      <w:r>
        <w:rPr>
          <w:rFonts w:ascii="Times New Roman" w:cs="Times New Roman" w:eastAsia="Times New Roman" w:hAnsi="Times New Roman"/>
          <w:sz w:val="19"/>
          <w:szCs w:val="19"/>
          <w:i w:val="1"/>
          <w:iCs w:val="1"/>
          <w:color w:val="auto"/>
        </w:rPr>
        <w:t>Section 881(c)(3)(A)</w:t>
      </w:r>
      <w:r>
        <w:rPr>
          <w:rFonts w:ascii="Times New Roman" w:cs="Times New Roman" w:eastAsia="Times New Roman" w:hAnsi="Times New Roman"/>
          <w:sz w:val="19"/>
          <w:szCs w:val="19"/>
          <w:color w:val="auto"/>
        </w:rPr>
        <w:t xml:space="preserve"> of the Code, a “</w:t>
      </w:r>
      <w:r>
        <w:rPr>
          <w:rFonts w:ascii="Times New Roman" w:cs="Times New Roman" w:eastAsia="Times New Roman" w:hAnsi="Times New Roman"/>
          <w:sz w:val="19"/>
          <w:szCs w:val="19"/>
          <w:i w:val="1"/>
          <w:iCs w:val="1"/>
          <w:color w:val="auto"/>
        </w:rPr>
        <w:t>10 percent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shareholder</w:t>
      </w:r>
      <w:r>
        <w:rPr>
          <w:rFonts w:ascii="Times New Roman" w:cs="Times New Roman" w:eastAsia="Times New Roman" w:hAnsi="Times New Roman"/>
          <w:sz w:val="19"/>
          <w:szCs w:val="19"/>
          <w:color w:val="auto"/>
        </w:rPr>
        <w:t>” of the Borrower within the meaning of</w:t>
      </w:r>
      <w:r>
        <w:rPr>
          <w:rFonts w:ascii="Times New Roman" w:cs="Times New Roman" w:eastAsia="Times New Roman" w:hAnsi="Times New Roman"/>
          <w:sz w:val="19"/>
          <w:szCs w:val="19"/>
          <w:i w:val="1"/>
          <w:iCs w:val="1"/>
          <w:color w:val="auto"/>
        </w:rPr>
        <w:t xml:space="preserve"> Section 881(c)(3)(B) </w:t>
      </w:r>
      <w:r>
        <w:rPr>
          <w:rFonts w:ascii="Times New Roman" w:cs="Times New Roman" w:eastAsia="Times New Roman" w:hAnsi="Times New Roman"/>
          <w:sz w:val="19"/>
          <w:szCs w:val="19"/>
          <w:color w:val="auto"/>
        </w:rPr>
        <w:t>of the Code, or a “</w:t>
      </w:r>
      <w:r>
        <w:rPr>
          <w:rFonts w:ascii="Times New Roman" w:cs="Times New Roman" w:eastAsia="Times New Roman" w:hAnsi="Times New Roman"/>
          <w:sz w:val="19"/>
          <w:szCs w:val="19"/>
          <w:i w:val="1"/>
          <w:iCs w:val="1"/>
          <w:color w:val="auto"/>
        </w:rPr>
        <w:t>controlled foreign corporation</w:t>
      </w:r>
      <w:r>
        <w:rPr>
          <w:rFonts w:ascii="Times New Roman" w:cs="Times New Roman" w:eastAsia="Times New Roman" w:hAnsi="Times New Roman"/>
          <w:sz w:val="19"/>
          <w:szCs w:val="19"/>
          <w:color w:val="auto"/>
        </w:rPr>
        <w:t>” described in</w:t>
      </w:r>
      <w:r>
        <w:rPr>
          <w:rFonts w:ascii="Times New Roman" w:cs="Times New Roman" w:eastAsia="Times New Roman" w:hAnsi="Times New Roman"/>
          <w:sz w:val="19"/>
          <w:szCs w:val="19"/>
          <w:i w:val="1"/>
          <w:iCs w:val="1"/>
          <w:color w:val="auto"/>
        </w:rPr>
        <w:t xml:space="preserve"> Section 881(c)(3)(C) </w:t>
      </w:r>
      <w:r>
        <w:rPr>
          <w:rFonts w:ascii="Times New Roman" w:cs="Times New Roman" w:eastAsia="Times New Roman" w:hAnsi="Times New Roman"/>
          <w:sz w:val="19"/>
          <w:szCs w:val="19"/>
          <w:color w:val="auto"/>
        </w:rPr>
        <w:t>of the Code (a “</w:t>
      </w:r>
      <w:r>
        <w:rPr>
          <w:rFonts w:ascii="Times New Roman" w:cs="Times New Roman" w:eastAsia="Times New Roman" w:hAnsi="Times New Roman"/>
          <w:sz w:val="19"/>
          <w:szCs w:val="19"/>
          <w:b w:val="1"/>
          <w:bCs w:val="1"/>
          <w:i w:val="1"/>
          <w:iCs w:val="1"/>
          <w:color w:val="auto"/>
        </w:rPr>
        <w:t>U.S. Tax Compliance Certificate</w:t>
      </w:r>
      <w:r>
        <w:rPr>
          <w:rFonts w:ascii="Times New Roman" w:cs="Times New Roman" w:eastAsia="Times New Roman" w:hAnsi="Times New Roman"/>
          <w:sz w:val="19"/>
          <w:szCs w:val="19"/>
          <w:color w:val="auto"/>
        </w:rPr>
        <w:t>”) and</w:t>
      </w:r>
    </w:p>
    <w:p>
      <w:pPr>
        <w:ind w:left="1680" w:hanging="279"/>
        <w:spacing w:after="0"/>
        <w:tabs>
          <w:tab w:leader="none" w:pos="16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W-8BEN-E (or W-8BEN, as applicable); or</w:t>
      </w:r>
    </w:p>
    <w:p>
      <w:pPr>
        <w:spacing w:after="0" w:line="193" w:lineRule="exact"/>
        <w:rPr>
          <w:rFonts w:ascii="Times New Roman" w:cs="Times New Roman" w:eastAsia="Times New Roman" w:hAnsi="Times New Roman"/>
          <w:sz w:val="20"/>
          <w:szCs w:val="20"/>
          <w:color w:val="auto"/>
        </w:rPr>
      </w:pPr>
    </w:p>
    <w:p>
      <w:pPr>
        <w:jc w:val="both"/>
        <w:ind w:left="1400" w:firstLine="649"/>
        <w:spacing w:after="0" w:line="244" w:lineRule="auto"/>
        <w:tabs>
          <w:tab w:leader="none" w:pos="2459"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0"/>
          <w:szCs w:val="20"/>
          <w:b w:val="1"/>
          <w:bCs w:val="1"/>
          <w:i w:val="1"/>
          <w:iCs w:val="1"/>
          <w:color w:val="auto"/>
        </w:rPr>
        <w:t>Exhibit M-2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Exhibit M-3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b w:val="1"/>
          <w:bCs w:val="1"/>
          <w:i w:val="1"/>
          <w:iCs w:val="1"/>
          <w:color w:val="auto"/>
        </w:rPr>
        <w:t>Exhibit M-4</w:t>
      </w:r>
      <w:r>
        <w:rPr>
          <w:rFonts w:ascii="Times New Roman" w:cs="Times New Roman" w:eastAsia="Times New Roman" w:hAnsi="Times New Roman"/>
          <w:sz w:val="20"/>
          <w:szCs w:val="20"/>
          <w:color w:val="auto"/>
        </w:rPr>
        <w:t xml:space="preserve"> on behalf of each such direct and indirect partner;</w:t>
      </w:r>
    </w:p>
    <w:p>
      <w:pPr>
        <w:spacing w:after="0" w:line="187" w:lineRule="exact"/>
        <w:rPr>
          <w:sz w:val="20"/>
          <w:szCs w:val="20"/>
          <w:color w:val="auto"/>
        </w:rPr>
      </w:pPr>
    </w:p>
    <w:p>
      <w:pPr>
        <w:jc w:val="both"/>
        <w:ind w:left="760" w:firstLine="641"/>
        <w:spacing w:after="0" w:line="259" w:lineRule="auto"/>
        <w:tabs>
          <w:tab w:leader="none" w:pos="193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2" w:lineRule="exact"/>
        <w:rPr>
          <w:rFonts w:ascii="Times New Roman" w:cs="Times New Roman" w:eastAsia="Times New Roman" w:hAnsi="Times New Roman"/>
          <w:sz w:val="19"/>
          <w:szCs w:val="19"/>
          <w:color w:val="auto"/>
        </w:rPr>
      </w:pPr>
    </w:p>
    <w:p>
      <w:pPr>
        <w:jc w:val="both"/>
        <w:ind w:left="760" w:firstLine="641"/>
        <w:spacing w:after="0" w:line="244" w:lineRule="auto"/>
        <w:tabs>
          <w:tab w:leader="none" w:pos="189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Loan Document would be subject to U.S. federal withholding Tax imposed by FATCA if such Lender were to fail to comply with the applicable reporting requirements of FATCA (including those contained in </w:t>
      </w:r>
      <w:r>
        <w:rPr>
          <w:rFonts w:ascii="Times New Roman" w:cs="Times New Roman" w:eastAsia="Times New Roman" w:hAnsi="Times New Roman"/>
          <w:sz w:val="20"/>
          <w:szCs w:val="20"/>
          <w:i w:val="1"/>
          <w:iCs w:val="1"/>
          <w:color w:val="auto"/>
        </w:rPr>
        <w:t>Section 1471(b)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1472(b)</w:t>
      </w:r>
      <w:r>
        <w:rPr>
          <w:rFonts w:ascii="Times New Roman" w:cs="Times New Roman" w:eastAsia="Times New Roman" w:hAnsi="Times New Roman"/>
          <w:sz w:val="20"/>
          <w:szCs w:val="20"/>
          <w:color w:val="auto"/>
        </w:rPr>
        <w:t xml:space="preserve">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w:t>
      </w:r>
      <w:r>
        <w:rPr>
          <w:rFonts w:ascii="Times New Roman" w:cs="Times New Roman" w:eastAsia="Times New Roman" w:hAnsi="Times New Roman"/>
          <w:sz w:val="20"/>
          <w:szCs w:val="20"/>
          <w:i w:val="1"/>
          <w:iCs w:val="1"/>
          <w:color w:val="auto"/>
        </w:rPr>
        <w:t>Section 1471(b)(3)(C)(i)</w:t>
      </w:r>
      <w:r>
        <w:rPr>
          <w:rFonts w:ascii="Times New Roman" w:cs="Times New Roman" w:eastAsia="Times New Roman" w:hAnsi="Times New Roman"/>
          <w:sz w:val="20"/>
          <w:szCs w:val="20"/>
          <w:color w:val="auto"/>
        </w:rPr>
        <w:t xml:space="preserve"> of the Code) and such additional documentation reasonably requested by the Borrower or the</w:t>
      </w:r>
    </w:p>
    <w:p>
      <w:pPr>
        <w:sectPr>
          <w:pgSz w:w="11900" w:h="16838" w:orient="portrait"/>
          <w:cols w:equalWidth="0" w:num="1">
            <w:col w:w="10220"/>
          </w:cols>
          <w:pgMar w:left="1440" w:top="562" w:right="239" w:bottom="1440" w:gutter="0" w:footer="0" w:header="0"/>
        </w:sectPr>
      </w:pPr>
    </w:p>
    <w:bookmarkStart w:id="133" w:name="page134"/>
    <w:bookmarkEnd w:id="133"/>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 xml:space="preserve">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 w:cs="Times New Roman" w:eastAsia="Times New Roman" w:hAnsi="Times New Roman"/>
          <w:sz w:val="20"/>
          <w:szCs w:val="20"/>
          <w:b w:val="1"/>
          <w:bCs w:val="1"/>
          <w:i w:val="1"/>
          <w:iCs w:val="1"/>
          <w:color w:val="auto"/>
        </w:rPr>
        <w:t xml:space="preserve">clause (f)(ii)(D)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FATCA</w:t>
      </w:r>
      <w:r>
        <w:rPr>
          <w:rFonts w:ascii="Times New Roman" w:cs="Times New Roman" w:eastAsia="Times New Roman" w:hAnsi="Times New Roman"/>
          <w:sz w:val="20"/>
          <w:szCs w:val="20"/>
          <w:color w:val="auto"/>
        </w:rPr>
        <w:t>” shall include any amendments made to FATCA after the date of this Agreement.</w:t>
      </w:r>
    </w:p>
    <w:p>
      <w:pPr>
        <w:spacing w:after="0" w:line="176" w:lineRule="exact"/>
        <w:rPr>
          <w:sz w:val="20"/>
          <w:szCs w:val="20"/>
          <w:color w:val="auto"/>
        </w:rPr>
      </w:pPr>
    </w:p>
    <w:p>
      <w:pPr>
        <w:jc w:val="both"/>
        <w:ind w:left="640" w:firstLine="653"/>
        <w:spacing w:after="0" w:line="256" w:lineRule="auto"/>
        <w:tabs>
          <w:tab w:leader="none" w:pos="179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68" w:lineRule="exact"/>
        <w:rPr>
          <w:rFonts w:ascii="Times New Roman" w:cs="Times New Roman" w:eastAsia="Times New Roman" w:hAnsi="Times New Roman"/>
          <w:sz w:val="20"/>
          <w:szCs w:val="20"/>
          <w:color w:val="auto"/>
        </w:rPr>
      </w:pPr>
    </w:p>
    <w:p>
      <w:pPr>
        <w:jc w:val="both"/>
        <w:ind w:firstLine="645"/>
        <w:spacing w:after="0" w:line="241" w:lineRule="auto"/>
        <w:tabs>
          <w:tab w:leader="none" w:pos="105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Treatment of Certain Refunds</w:t>
      </w:r>
      <w:r>
        <w:rPr>
          <w:rFonts w:ascii="Times New Roman" w:cs="Times New Roman" w:eastAsia="Times New Roman" w:hAnsi="Times New Roman"/>
          <w:sz w:val="20"/>
          <w:szCs w:val="20"/>
          <w:color w:val="auto"/>
        </w:rPr>
        <w:t>. Unless required by Applicable Laws, at no time shall the Administrative Agent have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it shall pay to such Loan Party an amount equal to such refund (but only to the extent of indemnity payments made, or additional amounts paid, by such Loan Party under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20"/>
          <w:szCs w:val="20"/>
          <w:b w:val="1"/>
          <w:bCs w:val="1"/>
          <w:i w:val="1"/>
          <w:iCs w:val="1"/>
          <w:color w:val="auto"/>
        </w:rPr>
        <w:t>clause (g)</w:t>
      </w:r>
      <w:r>
        <w:rPr>
          <w:rFonts w:ascii="Times New Roman" w:cs="Times New Roman" w:eastAsia="Times New Roman" w:hAnsi="Times New Roman"/>
          <w:sz w:val="20"/>
          <w:szCs w:val="20"/>
          <w:color w:val="auto"/>
        </w:rPr>
        <w:t xml:space="preserve">, in no event will the applicable Recipient be required to pay any amount to such Loan Party pursuant to this </w:t>
      </w:r>
      <w:r>
        <w:rPr>
          <w:rFonts w:ascii="Times New Roman" w:cs="Times New Roman" w:eastAsia="Times New Roman" w:hAnsi="Times New Roman"/>
          <w:sz w:val="20"/>
          <w:szCs w:val="20"/>
          <w:b w:val="1"/>
          <w:bCs w:val="1"/>
          <w:i w:val="1"/>
          <w:iCs w:val="1"/>
          <w:color w:val="auto"/>
        </w:rPr>
        <w:t>clause (g)</w:t>
      </w:r>
      <w:r>
        <w:rPr>
          <w:rFonts w:ascii="Times New Roman" w:cs="Times New Roman" w:eastAsia="Times New Roman" w:hAnsi="Times New Roman"/>
          <w:sz w:val="20"/>
          <w:szCs w:val="20"/>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b w:val="1"/>
          <w:bCs w:val="1"/>
          <w:i w:val="1"/>
          <w:iCs w:val="1"/>
          <w:color w:val="auto"/>
        </w:rPr>
        <w:t>clause (g</w:t>
      </w:r>
      <w:r>
        <w:rPr>
          <w:rFonts w:ascii="Times New Roman" w:cs="Times New Roman" w:eastAsia="Times New Roman" w:hAnsi="Times New Roman"/>
          <w:sz w:val="20"/>
          <w:szCs w:val="20"/>
          <w:color w:val="auto"/>
        </w:rPr>
        <w:t>) shall not be construed to require any Recipient to make available its tax returns (or any other information relating to its Taxes that it deems confidential) to any Loan Party or any other Person.</w:t>
      </w:r>
    </w:p>
    <w:p>
      <w:pPr>
        <w:spacing w:after="0" w:line="193" w:lineRule="exact"/>
        <w:rPr>
          <w:rFonts w:ascii="Times New Roman" w:cs="Times New Roman" w:eastAsia="Times New Roman" w:hAnsi="Times New Roman"/>
          <w:sz w:val="20"/>
          <w:szCs w:val="20"/>
          <w:color w:val="auto"/>
        </w:rPr>
      </w:pPr>
    </w:p>
    <w:p>
      <w:pPr>
        <w:jc w:val="both"/>
        <w:ind w:firstLine="645"/>
        <w:spacing w:after="0" w:line="256" w:lineRule="auto"/>
        <w:tabs>
          <w:tab w:leader="none" w:pos="128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Survival. Each party’s obligations under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6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b w:val="1"/>
          <w:bCs w:val="1"/>
          <w:color w:val="auto"/>
        </w:rPr>
        <w:t>Illegality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or charge interest with respect to any Credit Extension,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upon notice thereof by such Lender to the Borrower (through the Administrative Agent), (i) any obligation of such Lender to</w:t>
      </w:r>
    </w:p>
    <w:p>
      <w:pPr>
        <w:sectPr>
          <w:pgSz w:w="11900" w:h="16838" w:orient="portrait"/>
          <w:cols w:equalWidth="0" w:num="1">
            <w:col w:w="10760"/>
          </w:cols>
          <w:pgMar w:left="900" w:top="562" w:right="239" w:bottom="1440" w:gutter="0" w:footer="0" w:header="0"/>
        </w:sectPr>
      </w:pPr>
    </w:p>
    <w:bookmarkStart w:id="134" w:name="page135"/>
    <w:bookmarkEnd w:id="134"/>
    <w:p>
      <w:pPr>
        <w:jc w:val="both"/>
        <w:ind w:left="4"/>
        <w:spacing w:after="0" w:line="241" w:lineRule="auto"/>
        <w:rPr>
          <w:sz w:val="20"/>
          <w:szCs w:val="20"/>
          <w:color w:val="auto"/>
        </w:rPr>
      </w:pPr>
      <w:r>
        <w:rPr>
          <w:rFonts w:ascii="Times New Roman" w:cs="Times New Roman" w:eastAsia="Times New Roman" w:hAnsi="Times New Roman"/>
          <w:sz w:val="20"/>
          <w:szCs w:val="20"/>
          <w:color w:val="auto"/>
        </w:rPr>
        <w:t xml:space="preserve">make or continue Eurocurrency Rate Loans in the affected currency or currencies or, in the case of Eurocurrency Rate Loans in Dollars,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Borrower that the circumstances giving rise to such determination no longer exist. Upon receipt of such notice, (A) the Borrower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(B)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4"/>
        <w:spacing w:after="0"/>
        <w:tabs>
          <w:tab w:leader="none" w:pos="503"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b w:val="1"/>
          <w:bCs w:val="1"/>
          <w:color w:val="auto"/>
        </w:rPr>
        <w:t>Inability to Determine Rates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4" w:firstLine="645"/>
        <w:spacing w:after="0" w:line="254" w:lineRule="auto"/>
        <w:tabs>
          <w:tab w:leader="none" w:pos="1187"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in connection with any request for a Eurocurrency Rate Loan or a conversion to or continuation thereof, (i) the Administrative Agent determines that (A) deposits (whether in Dollars or an Alternative Currency) are not being offered to banks in the applicable offshore interbank market for such currency for the applicable amount and Interest Period of such Eurocurrency Rate Loan, or (B) (1)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and (2) the circumstances described in </w:t>
      </w:r>
      <w:r>
        <w:rPr>
          <w:rFonts w:ascii="Times New Roman" w:cs="Times New Roman" w:eastAsia="Times New Roman" w:hAnsi="Times New Roman"/>
          <w:sz w:val="19"/>
          <w:szCs w:val="19"/>
          <w:b w:val="1"/>
          <w:bCs w:val="1"/>
          <w:i w:val="1"/>
          <w:iCs w:val="1"/>
          <w:color w:val="auto"/>
        </w:rPr>
        <w:t>Section 3.03(c)(i)</w:t>
      </w:r>
      <w:r>
        <w:rPr>
          <w:rFonts w:ascii="Times New Roman" w:cs="Times New Roman" w:eastAsia="Times New Roman" w:hAnsi="Times New Roman"/>
          <w:sz w:val="19"/>
          <w:szCs w:val="19"/>
          <w:color w:val="auto"/>
        </w:rPr>
        <w:t xml:space="preserve"> do not apply or (C) a fundamental change has occurred in the foreign exchange or interbank markets with respect to such Alternative Currency (including, without limitation, changes in national or international financial, political or economic conditions or currency exchange rates or exchange controls) (in each case with respect to this </w:t>
      </w:r>
      <w:r>
        <w:rPr>
          <w:rFonts w:ascii="Times New Roman" w:cs="Times New Roman" w:eastAsia="Times New Roman" w:hAnsi="Times New Roman"/>
          <w:sz w:val="19"/>
          <w:szCs w:val="19"/>
          <w:b w:val="1"/>
          <w:bCs w:val="1"/>
          <w:i w:val="1"/>
          <w:iCs w:val="1"/>
          <w:color w:val="auto"/>
        </w:rPr>
        <w:t>clause (i)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Impacted Loans</w:t>
      </w:r>
      <w:r>
        <w:rPr>
          <w:rFonts w:ascii="Times New Roman" w:cs="Times New Roman" w:eastAsia="Times New Roman" w:hAnsi="Times New Roman"/>
          <w:sz w:val="19"/>
          <w:szCs w:val="19"/>
          <w:color w:val="auto"/>
        </w:rPr>
        <w:t>”), or (ii) the Administrative Agent or the Required Lenders determine that for any reason Eurocurrency Rate for any requested Interest Period with respect to a proposed Eurocurrency Rate Loan does not adequately and fairly reflect the cost to such Lenders of funding such Loan, the Administrative Agent will promptly so notify the Borrower and each Lender. Thereafter, (x) the obligation of the Lenders to make or maintain Eurocurrency Rate Loans in the affected currency or currencies shall be suspended (to the extent of the affected Eurocurrency Rate Loans or Interest Periods), and</w:t>
      </w:r>
    </w:p>
    <w:p>
      <w:pPr>
        <w:jc w:val="both"/>
        <w:ind w:left="4" w:hanging="4"/>
        <w:spacing w:after="0" w:line="241" w:lineRule="auto"/>
        <w:tabs>
          <w:tab w:leader="none" w:pos="29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20"/>
          <w:szCs w:val="20"/>
          <w:b w:val="1"/>
          <w:bCs w:val="1"/>
          <w:i w:val="1"/>
          <w:iCs w:val="1"/>
          <w:color w:val="auto"/>
        </w:rPr>
        <w:t>clause (ii)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3.03(a)</w:t>
      </w:r>
      <w:r>
        <w:rPr>
          <w:rFonts w:ascii="Times New Roman" w:cs="Times New Roman" w:eastAsia="Times New Roman" w:hAnsi="Times New Roman"/>
          <w:sz w:val="20"/>
          <w:szCs w:val="20"/>
          <w:color w:val="auto"/>
        </w:rPr>
        <w:t>, until the Administrative Agent upon instruction of the Required Lenders) revokes such notice. Upon receipt of such notice, the Borrower may revoke</w:t>
      </w:r>
    </w:p>
    <w:p>
      <w:pPr>
        <w:sectPr>
          <w:pgSz w:w="11900" w:h="16838" w:orient="portrait"/>
          <w:cols w:equalWidth="0" w:num="1">
            <w:col w:w="10764"/>
          </w:cols>
          <w:pgMar w:left="896" w:top="562" w:right="239" w:bottom="1440" w:gutter="0" w:footer="0" w:header="0"/>
        </w:sectPr>
      </w:pPr>
    </w:p>
    <w:bookmarkStart w:id="135" w:name="page136"/>
    <w:bookmarkEnd w:id="135"/>
    <w:p>
      <w:pPr>
        <w:jc w:val="both"/>
        <w:spacing w:after="0" w:line="254" w:lineRule="auto"/>
        <w:rPr>
          <w:sz w:val="20"/>
          <w:szCs w:val="20"/>
          <w:color w:val="auto"/>
        </w:rPr>
      </w:pPr>
      <w:r>
        <w:rPr>
          <w:rFonts w:ascii="Times New Roman" w:cs="Times New Roman" w:eastAsia="Times New Roman" w:hAnsi="Times New Roman"/>
          <w:sz w:val="20"/>
          <w:szCs w:val="20"/>
          <w:color w:val="auto"/>
        </w:rPr>
        <w:t>any pending request for a Borrowing of, conversion to or continuation of Eurocurrency Rate Loans in the affected currency or currencies (to the extent of the affected Eurocurrency Rate Loans or Interest Periods) or, failing that, will be deemed to have converted such request into a request for a Borrowing of Base Rate Loans in Dollars in the amount specified therein.</w:t>
      </w:r>
    </w:p>
    <w:p>
      <w:pPr>
        <w:spacing w:after="0" w:line="171" w:lineRule="exact"/>
        <w:rPr>
          <w:sz w:val="20"/>
          <w:szCs w:val="20"/>
          <w:color w:val="auto"/>
        </w:rPr>
      </w:pPr>
    </w:p>
    <w:p>
      <w:pPr>
        <w:jc w:val="both"/>
        <w:ind w:firstLine="645"/>
        <w:spacing w:after="0" w:line="243" w:lineRule="auto"/>
        <w:tabs>
          <w:tab w:leader="none" w:pos="10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if the Administrative Agent has made the determination described in </w:t>
      </w:r>
      <w:r>
        <w:rPr>
          <w:rFonts w:ascii="Times New Roman" w:cs="Times New Roman" w:eastAsia="Times New Roman" w:hAnsi="Times New Roman"/>
          <w:sz w:val="20"/>
          <w:szCs w:val="20"/>
          <w:b w:val="1"/>
          <w:bCs w:val="1"/>
          <w:i w:val="1"/>
          <w:iCs w:val="1"/>
          <w:color w:val="auto"/>
        </w:rPr>
        <w:t>clause (a)(i)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3.03</w:t>
      </w:r>
      <w:r>
        <w:rPr>
          <w:rFonts w:ascii="Times New Roman" w:cs="Times New Roman" w:eastAsia="Times New Roman" w:hAnsi="Times New Roman"/>
          <w:sz w:val="20"/>
          <w:szCs w:val="20"/>
          <w:color w:val="auto"/>
        </w:rPr>
        <w:t>, the Administrative Agent in consultation with the Borrower, may establish an alternative interest rate for the Impacted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Loans, in which case, such alternative rate of interest shall apply with respect to the Impacted Loans until (i) the Administrative Agent revokes the notice delivered with respect to the Impacted Loans under </w:t>
      </w:r>
      <w:r>
        <w:rPr>
          <w:rFonts w:ascii="Times New Roman" w:cs="Times New Roman" w:eastAsia="Times New Roman" w:hAnsi="Times New Roman"/>
          <w:sz w:val="20"/>
          <w:szCs w:val="20"/>
          <w:b w:val="1"/>
          <w:bCs w:val="1"/>
          <w:i w:val="1"/>
          <w:iCs w:val="1"/>
          <w:color w:val="auto"/>
        </w:rPr>
        <w:t>clause (a)(i)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3.03</w:t>
      </w:r>
      <w:r>
        <w:rPr>
          <w:rFonts w:ascii="Times New Roman" w:cs="Times New Roman" w:eastAsia="Times New Roman" w:hAnsi="Times New Roman"/>
          <w:sz w:val="20"/>
          <w:szCs w:val="20"/>
          <w:color w:val="auto"/>
        </w:rPr>
        <w:t>, (ii) the Administrative Agent or the Required Lenders notify the Administrative Agent and the Borrower that such alternative interest rate does not adequately and fairly reflect the cost to the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7" w:lineRule="exact"/>
        <w:rPr>
          <w:rFonts w:ascii="Times New Roman" w:cs="Times New Roman" w:eastAsia="Times New Roman" w:hAnsi="Times New Roman"/>
          <w:sz w:val="20"/>
          <w:szCs w:val="20"/>
          <w:color w:val="auto"/>
        </w:rPr>
      </w:pPr>
    </w:p>
    <w:p>
      <w:pPr>
        <w:jc w:val="both"/>
        <w:ind w:firstLine="645"/>
        <w:spacing w:after="0" w:line="247" w:lineRule="auto"/>
        <w:tabs>
          <w:tab w:leader="none" w:pos="122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or any other Loan Documents, but without limiting </w:t>
      </w:r>
      <w:r>
        <w:rPr>
          <w:rFonts w:ascii="Times New Roman" w:cs="Times New Roman" w:eastAsia="Times New Roman" w:hAnsi="Times New Roman"/>
          <w:sz w:val="20"/>
          <w:szCs w:val="20"/>
          <w:b w:val="1"/>
          <w:bCs w:val="1"/>
          <w:i w:val="1"/>
          <w:iCs w:val="1"/>
          <w:color w:val="auto"/>
        </w:rPr>
        <w:t xml:space="preserve">Sections 3.01(a)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(b) </w:t>
      </w:r>
      <w:r>
        <w:rPr>
          <w:rFonts w:ascii="Times New Roman" w:cs="Times New Roman" w:eastAsia="Times New Roman" w:hAnsi="Times New Roman"/>
          <w:sz w:val="20"/>
          <w:szCs w:val="20"/>
          <w:color w:val="auto"/>
        </w:rPr>
        <w:t>above, if the Administrative Agent determines (which determination shall be conclusive and binding upon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parties hereto absent manifest error), or the Borrower or Required Lenders notify the Administrative Agent (with, in the case of the Required Lenders, a copy to the Borrower) that the Borrower or Required Lenders (as applicable) have determined (which determination likewise shall be conclusive and binding upon all parties hereto absent manifest error), that:</w:t>
      </w:r>
    </w:p>
    <w:p>
      <w:pPr>
        <w:spacing w:after="0" w:line="180"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68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640" w:firstLine="653"/>
        <w:spacing w:after="0" w:line="249" w:lineRule="auto"/>
        <w:tabs>
          <w:tab w:leader="none" w:pos="188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of the LIBOR Screen Rate or a Governmental Authority having or purporting to have jurisdiction over the Administrative Agent has made a public statement identifying a specific date after which LIBOR or the LIBOR Screen Rate shall no longer be made available, or used for determining the interest rate of loans in the applicable currency (such specific date, the “</w:t>
      </w:r>
      <w:r>
        <w:rPr>
          <w:rFonts w:ascii="Times New Roman" w:cs="Times New Roman" w:eastAsia="Times New Roman" w:hAnsi="Times New Roman"/>
          <w:sz w:val="20"/>
          <w:szCs w:val="20"/>
          <w:b w:val="1"/>
          <w:bCs w:val="1"/>
          <w:i w:val="1"/>
          <w:iCs w:val="1"/>
          <w:color w:val="auto"/>
        </w:rPr>
        <w:t>Scheduled Unavailability Date</w:t>
      </w:r>
      <w:r>
        <w:rPr>
          <w:rFonts w:ascii="Times New Roman" w:cs="Times New Roman" w:eastAsia="Times New Roman" w:hAnsi="Times New Roman"/>
          <w:sz w:val="20"/>
          <w:szCs w:val="20"/>
          <w:color w:val="auto"/>
        </w:rPr>
        <w:t>”), or</w:t>
      </w:r>
    </w:p>
    <w:p>
      <w:pPr>
        <w:spacing w:after="0" w:line="176" w:lineRule="exact"/>
        <w:rPr>
          <w:rFonts w:ascii="Times New Roman" w:cs="Times New Roman" w:eastAsia="Times New Roman" w:hAnsi="Times New Roman"/>
          <w:sz w:val="20"/>
          <w:szCs w:val="20"/>
          <w:color w:val="auto"/>
        </w:rPr>
      </w:pPr>
    </w:p>
    <w:p>
      <w:pPr>
        <w:ind w:left="640" w:firstLine="653"/>
        <w:spacing w:after="0" w:line="273" w:lineRule="auto"/>
        <w:tabs>
          <w:tab w:leader="none" w:pos="176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syndicated loans currently being executed, or that include language similar to that contained in this </w:t>
      </w:r>
      <w:r>
        <w:rPr>
          <w:rFonts w:ascii="Times New Roman" w:cs="Times New Roman" w:eastAsia="Times New Roman" w:hAnsi="Times New Roman"/>
          <w:sz w:val="20"/>
          <w:szCs w:val="20"/>
          <w:b w:val="1"/>
          <w:bCs w:val="1"/>
          <w:i w:val="1"/>
          <w:iCs w:val="1"/>
          <w:color w:val="auto"/>
        </w:rPr>
        <w:t>Section 3.03</w:t>
      </w:r>
      <w:r>
        <w:rPr>
          <w:rFonts w:ascii="Times New Roman" w:cs="Times New Roman" w:eastAsia="Times New Roman" w:hAnsi="Times New Roman"/>
          <w:sz w:val="20"/>
          <w:szCs w:val="20"/>
          <w:color w:val="auto"/>
        </w:rPr>
        <w:t>, are being executed or amended (as applicable) to incorporate or adopt a new benchmark interest rate to replace LIBOR,</w:t>
      </w:r>
    </w:p>
    <w:p>
      <w:pPr>
        <w:spacing w:after="0" w:line="15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(any such proposed rate, a “</w:t>
      </w:r>
      <w:r>
        <w:rPr>
          <w:rFonts w:ascii="Times New Roman" w:cs="Times New Roman" w:eastAsia="Times New Roman" w:hAnsi="Times New Roman"/>
          <w:sz w:val="20"/>
          <w:szCs w:val="20"/>
          <w:b w:val="1"/>
          <w:bCs w:val="1"/>
          <w:i w:val="1"/>
          <w:iCs w:val="1"/>
          <w:color w:val="auto"/>
        </w:rPr>
        <w:t>LIBOR Successor Rate</w:t>
      </w:r>
      <w:r>
        <w:rPr>
          <w:rFonts w:ascii="Times New Roman" w:cs="Times New Roman" w:eastAsia="Times New Roman" w:hAnsi="Times New Roman"/>
          <w:sz w:val="20"/>
          <w:szCs w:val="20"/>
          <w:color w:val="auto"/>
        </w:rPr>
        <w:t>”), together with any proposed LIBOR Successor Rate Conforming Changes (as defined below) and any such amendment shall become effective at</w:t>
      </w:r>
    </w:p>
    <w:p>
      <w:pPr>
        <w:sectPr>
          <w:pgSz w:w="11900" w:h="16838" w:orient="portrait"/>
          <w:cols w:equalWidth="0" w:num="1">
            <w:col w:w="10760"/>
          </w:cols>
          <w:pgMar w:left="900" w:top="562" w:right="239" w:bottom="1440" w:gutter="0" w:footer="0" w:header="0"/>
        </w:sectPr>
      </w:pPr>
    </w:p>
    <w:bookmarkStart w:id="136" w:name="page137"/>
    <w:bookmarkEnd w:id="136"/>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 Such LIBOR Successor Rate shall be applied in a manner consistent with market practice;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77" w:lineRule="exact"/>
        <w:rPr>
          <w:sz w:val="20"/>
          <w:szCs w:val="20"/>
          <w:color w:val="auto"/>
        </w:rPr>
      </w:pPr>
    </w:p>
    <w:p>
      <w:pPr>
        <w:jc w:val="both"/>
        <w:ind w:firstLine="645"/>
        <w:spacing w:after="0" w:line="244" w:lineRule="auto"/>
        <w:tabs>
          <w:tab w:leader="none" w:pos="107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 LIBOR Successor Rate has been determined and the circumstances under </w:t>
      </w:r>
      <w:r>
        <w:rPr>
          <w:rFonts w:ascii="Times New Roman" w:cs="Times New Roman" w:eastAsia="Times New Roman" w:hAnsi="Times New Roman"/>
          <w:sz w:val="20"/>
          <w:szCs w:val="20"/>
          <w:b w:val="1"/>
          <w:bCs w:val="1"/>
          <w:i w:val="1"/>
          <w:iCs w:val="1"/>
          <w:color w:val="auto"/>
        </w:rPr>
        <w:t>clause (c)(i)</w:t>
      </w:r>
      <w:r>
        <w:rPr>
          <w:rFonts w:ascii="Times New Roman" w:cs="Times New Roman" w:eastAsia="Times New Roman" w:hAnsi="Times New Roman"/>
          <w:sz w:val="20"/>
          <w:szCs w:val="20"/>
          <w:color w:val="auto"/>
        </w:rPr>
        <w:t xml:space="preserve"> above exist or the Scheduled Unavailability Date has occurred (as applicable), the Administrative Agent will promptly so notify the Borrower and each Lender. Thereafter, (i) the obligation of the Lenders to make or maintain Eurocurrency Rate Loans shall be suspended, (to the extent of the affected Eurocurrency Rate Loans or Interest Periods), and (ii) the Eurocurrency Rate component shall no longer be utilized in determining the Base Rate. Upon receipt of such notice, the Borrower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(subject to the foregoing </w:t>
      </w:r>
      <w:r>
        <w:rPr>
          <w:rFonts w:ascii="Times New Roman" w:cs="Times New Roman" w:eastAsia="Times New Roman" w:hAnsi="Times New Roman"/>
          <w:sz w:val="20"/>
          <w:szCs w:val="20"/>
          <w:b w:val="1"/>
          <w:bCs w:val="1"/>
          <w:i w:val="1"/>
          <w:iCs w:val="1"/>
          <w:color w:val="auto"/>
        </w:rPr>
        <w:t>clause (ii)</w:t>
      </w:r>
      <w:r>
        <w:rPr>
          <w:rFonts w:ascii="Times New Roman" w:cs="Times New Roman" w:eastAsia="Times New Roman" w:hAnsi="Times New Roman"/>
          <w:sz w:val="20"/>
          <w:szCs w:val="20"/>
          <w:color w:val="auto"/>
        </w:rPr>
        <w:t>) in the amount specified therein.</w:t>
      </w:r>
    </w:p>
    <w:p>
      <w:pPr>
        <w:spacing w:after="0" w:line="186" w:lineRule="exact"/>
        <w:rPr>
          <w:rFonts w:ascii="Times New Roman" w:cs="Times New Roman" w:eastAsia="Times New Roman" w:hAnsi="Times New Roman"/>
          <w:sz w:val="20"/>
          <w:szCs w:val="20"/>
          <w:color w:val="auto"/>
        </w:rPr>
      </w:pPr>
    </w:p>
    <w:p>
      <w:pPr>
        <w:ind w:firstLine="645"/>
        <w:spacing w:after="0" w:line="269" w:lineRule="auto"/>
        <w:tabs>
          <w:tab w:leader="none" w:pos="1089"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else herein, any definition of LIBOR Successor Rate shall provide that in no event shall such LIBOR Successor Rate be less than zero for purposes of this Agreement.</w:t>
      </w:r>
    </w:p>
    <w:p>
      <w:pPr>
        <w:spacing w:after="0" w:line="155" w:lineRule="exact"/>
        <w:rPr>
          <w:rFonts w:ascii="Times New Roman" w:cs="Times New Roman" w:eastAsia="Times New Roman" w:hAnsi="Times New Roman"/>
          <w:sz w:val="20"/>
          <w:szCs w:val="20"/>
          <w:color w:val="auto"/>
        </w:rPr>
      </w:pPr>
    </w:p>
    <w:p>
      <w:pPr>
        <w:jc w:val="both"/>
        <w:ind w:firstLine="645"/>
        <w:spacing w:after="0" w:line="244" w:lineRule="auto"/>
        <w:tabs>
          <w:tab w:leader="none" w:pos="114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hereof, “</w:t>
      </w:r>
      <w:r>
        <w:rPr>
          <w:rFonts w:ascii="Times New Roman" w:cs="Times New Roman" w:eastAsia="Times New Roman" w:hAnsi="Times New Roman"/>
          <w:sz w:val="20"/>
          <w:szCs w:val="20"/>
          <w:b w:val="1"/>
          <w:bCs w:val="1"/>
          <w:i w:val="1"/>
          <w:iCs w:val="1"/>
          <w:color w:val="auto"/>
        </w:rPr>
        <w:t>LIBOR Successor Rate Conforming Changes</w:t>
      </w:r>
      <w:r>
        <w:rPr>
          <w:rFonts w:ascii="Times New Roman" w:cs="Times New Roman" w:eastAsia="Times New Roman" w:hAnsi="Times New Roman"/>
          <w:sz w:val="20"/>
          <w:szCs w:val="20"/>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in consultation with the Borrower,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3.04</w:t>
      </w:r>
      <w:r>
        <w:rPr>
          <w:sz w:val="20"/>
          <w:szCs w:val="20"/>
          <w:color w:val="auto"/>
        </w:rPr>
        <w:tab/>
      </w:r>
      <w:r>
        <w:rPr>
          <w:rFonts w:ascii="Times New Roman" w:cs="Times New Roman" w:eastAsia="Times New Roman" w:hAnsi="Times New Roman"/>
          <w:sz w:val="19"/>
          <w:szCs w:val="19"/>
          <w:b w:val="1"/>
          <w:bCs w:val="1"/>
          <w:color w:val="auto"/>
        </w:rPr>
        <w:t>Increased Costs; Reserves on Eurocurrency Rate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40" w:hanging="395"/>
        <w:spacing w:after="0"/>
        <w:tabs>
          <w:tab w:leader="none" w:pos="10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Increased Costs Generally</w:t>
      </w:r>
      <w:r>
        <w:rPr>
          <w:rFonts w:ascii="Times New Roman" w:cs="Times New Roman" w:eastAsia="Times New Roman" w:hAnsi="Times New Roman"/>
          <w:sz w:val="20"/>
          <w:szCs w:val="20"/>
          <w:color w:val="auto"/>
        </w:rPr>
        <w:t>. If any Change in Law shall:</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36"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20"/>
          <w:szCs w:val="20"/>
          <w:i w:val="1"/>
          <w:iCs w:val="1"/>
          <w:color w:val="auto"/>
        </w:rPr>
        <w:t>Section 3.04(e)</w:t>
      </w:r>
      <w:r>
        <w:rPr>
          <w:rFonts w:ascii="Times New Roman" w:cs="Times New Roman" w:eastAsia="Times New Roman" w:hAnsi="Times New Roman"/>
          <w:sz w:val="20"/>
          <w:szCs w:val="20"/>
          <w:color w:val="auto"/>
        </w:rPr>
        <w:t>) or the L/C Issuer;</w:t>
      </w:r>
    </w:p>
    <w:p>
      <w:pPr>
        <w:spacing w:after="0" w:line="170" w:lineRule="exact"/>
        <w:rPr>
          <w:rFonts w:ascii="Times New Roman" w:cs="Times New Roman" w:eastAsia="Times New Roman" w:hAnsi="Times New Roman"/>
          <w:sz w:val="20"/>
          <w:szCs w:val="20"/>
          <w:color w:val="auto"/>
        </w:rPr>
      </w:pPr>
    </w:p>
    <w:p>
      <w:pPr>
        <w:jc w:val="both"/>
        <w:ind w:left="640" w:firstLine="653"/>
        <w:spacing w:after="0" w:line="256" w:lineRule="auto"/>
        <w:tabs>
          <w:tab w:leader="none" w:pos="1845"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b w:val="1"/>
          <w:bCs w:val="1"/>
          <w:i w:val="1"/>
          <w:iCs w:val="1"/>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ectPr>
          <w:pgSz w:w="11900" w:h="16838" w:orient="portrait"/>
          <w:cols w:equalWidth="0" w:num="1">
            <w:col w:w="10760"/>
          </w:cols>
          <w:pgMar w:left="900" w:top="562" w:right="239" w:bottom="1440" w:gutter="0" w:footer="0" w:header="0"/>
        </w:sectPr>
      </w:pPr>
    </w:p>
    <w:bookmarkStart w:id="137" w:name="page138"/>
    <w:bookmarkEnd w:id="137"/>
    <w:p>
      <w:pPr>
        <w:ind w:left="640" w:firstLine="653"/>
        <w:spacing w:after="0" w:line="269" w:lineRule="auto"/>
        <w:tabs>
          <w:tab w:leader="none" w:pos="181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83" w:lineRule="exact"/>
        <w:rPr>
          <w:sz w:val="20"/>
          <w:szCs w:val="20"/>
          <w:color w:val="auto"/>
        </w:rPr>
      </w:pPr>
    </w:p>
    <w:p>
      <w:pPr>
        <w:jc w:val="both"/>
        <w:ind w:firstLine="645"/>
        <w:spacing w:after="0" w:line="243" w:lineRule="auto"/>
        <w:tabs>
          <w:tab w:leader="none" w:pos="107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L/C Issuer or any Lending Office of such Lender or such Lender’s or the L/C Issuer’s holding company, if any, regarding capital or liquidity requirements has or would have the effect of reducing the rate of return on such Lender’s or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83" w:lineRule="exact"/>
        <w:rPr>
          <w:rFonts w:ascii="Times New Roman" w:cs="Times New Roman" w:eastAsia="Times New Roman" w:hAnsi="Times New Roman"/>
          <w:sz w:val="20"/>
          <w:szCs w:val="20"/>
          <w:color w:val="auto"/>
        </w:rPr>
      </w:pPr>
    </w:p>
    <w:p>
      <w:pPr>
        <w:jc w:val="both"/>
        <w:ind w:firstLine="645"/>
        <w:spacing w:after="0" w:line="256" w:lineRule="auto"/>
        <w:tabs>
          <w:tab w:leader="none" w:pos="106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Mandatory Costs</w:t>
      </w:r>
      <w:r>
        <w:rPr>
          <w:rFonts w:ascii="Times New Roman" w:cs="Times New Roman" w:eastAsia="Times New Roman" w:hAnsi="Times New Roman"/>
          <w:sz w:val="20"/>
          <w:szCs w:val="20"/>
          <w:color w:val="auto"/>
        </w:rPr>
        <w:t>. If any Lender or the L/C Issuer incurs any Mandatory Costs attributable to the Obligations, then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the Borrower will pay to such Lender or the L/C Issuer, as the case may be, such Mandatory Costs. Such amount shall be expressed as a percentage rate per annum and shall be payable on the full amount of the applicable Obligations.</w:t>
      </w:r>
    </w:p>
    <w:p>
      <w:pPr>
        <w:spacing w:after="0" w:line="168" w:lineRule="exact"/>
        <w:rPr>
          <w:rFonts w:ascii="Times New Roman" w:cs="Times New Roman" w:eastAsia="Times New Roman" w:hAnsi="Times New Roman"/>
          <w:sz w:val="20"/>
          <w:szCs w:val="20"/>
          <w:color w:val="auto"/>
        </w:rPr>
      </w:pPr>
    </w:p>
    <w:p>
      <w:pPr>
        <w:jc w:val="both"/>
        <w:ind w:firstLine="645"/>
        <w:spacing w:after="0" w:line="250" w:lineRule="auto"/>
        <w:tabs>
          <w:tab w:leader="none" w:pos="119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Certificates for Reimbursement</w:t>
      </w:r>
      <w:r>
        <w:rPr>
          <w:rFonts w:ascii="Times New Roman" w:cs="Times New Roman" w:eastAsia="Times New Roman" w:hAnsi="Times New Roman"/>
          <w:sz w:val="20"/>
          <w:szCs w:val="20"/>
          <w:color w:val="auto"/>
        </w:rPr>
        <w:t>. A certificate of a Lender or the L/C Issuer setting forth the amount or amounts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necessary to compensate such Lender or the L/C Issuer or its holding company, as the case may be, as specified in </w:t>
      </w:r>
      <w:r>
        <w:rPr>
          <w:rFonts w:ascii="Times New Roman" w:cs="Times New Roman" w:eastAsia="Times New Roman" w:hAnsi="Times New Roman"/>
          <w:sz w:val="20"/>
          <w:szCs w:val="20"/>
          <w:b w:val="1"/>
          <w:bCs w:val="1"/>
          <w:i w:val="1"/>
          <w:iCs w:val="1"/>
          <w:color w:val="auto"/>
        </w:rPr>
        <w:t>clause (a),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xml:space="preserve"> and delivered to the Borrower shall be conclusive absent manifest error. The Borrower shall pay such Lender or the L/C Issuer, as the case may be, the amount shown as due on any such certificate within 10 days after receipt thereof.</w:t>
      </w:r>
    </w:p>
    <w:p>
      <w:pPr>
        <w:spacing w:after="0" w:line="176" w:lineRule="exact"/>
        <w:rPr>
          <w:rFonts w:ascii="Times New Roman" w:cs="Times New Roman" w:eastAsia="Times New Roman" w:hAnsi="Times New Roman"/>
          <w:sz w:val="20"/>
          <w:szCs w:val="20"/>
          <w:color w:val="auto"/>
        </w:rPr>
      </w:pPr>
    </w:p>
    <w:p>
      <w:pPr>
        <w:jc w:val="both"/>
        <w:ind w:firstLine="645"/>
        <w:spacing w:after="0" w:line="246" w:lineRule="auto"/>
        <w:tabs>
          <w:tab w:leader="none" w:pos="112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Reserves on Eurocurrency Rate Loans</w:t>
      </w:r>
      <w:r>
        <w:rPr>
          <w:rFonts w:ascii="Times New Roman" w:cs="Times New Roman" w:eastAsia="Times New Roman" w:hAnsi="Times New Roman"/>
          <w:sz w:val="20"/>
          <w:szCs w:val="20"/>
          <w:color w:val="auto"/>
        </w:rPr>
        <w:t>. The Borrower shall pay to each Lender, (i) as long as such Lender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maintain reserves with respect to liabilities or assets consisting of or including eurocurrency funds or deposits (currently known as “</w:t>
      </w:r>
      <w:r>
        <w:rPr>
          <w:rFonts w:ascii="Times New Roman" w:cs="Times New Roman" w:eastAsia="Times New Roman" w:hAnsi="Times New Roman"/>
          <w:sz w:val="20"/>
          <w:szCs w:val="20"/>
          <w:b w:val="1"/>
          <w:bCs w:val="1"/>
          <w:i w:val="1"/>
          <w:iCs w:val="1"/>
          <w:color w:val="auto"/>
        </w:rPr>
        <w:t>Eurocurrency liabilities</w:t>
      </w:r>
      <w:r>
        <w:rPr>
          <w:rFonts w:ascii="Times New Roman" w:cs="Times New Roman" w:eastAsia="Times New Roman" w:hAnsi="Times New Roman"/>
          <w:sz w:val="20"/>
          <w:szCs w:val="20"/>
          <w:color w:val="auto"/>
        </w:rPr>
        <w:t>”),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central banking or financial regulatory authority imposed in respect of the maintenance of the</w:t>
      </w:r>
    </w:p>
    <w:p>
      <w:pPr>
        <w:sectPr>
          <w:pgSz w:w="11900" w:h="16838" w:orient="portrait"/>
          <w:cols w:equalWidth="0" w:num="1">
            <w:col w:w="10760"/>
          </w:cols>
          <w:pgMar w:left="900" w:top="562" w:right="239" w:bottom="1440" w:gutter="0" w:footer="0" w:header="0"/>
        </w:sectPr>
      </w:pPr>
    </w:p>
    <w:bookmarkStart w:id="138" w:name="page139"/>
    <w:bookmarkEnd w:id="138"/>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Commitments or the funding of the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provided the Borrower shall have received at least 10 days’ prior notice (with a copy to the Administrative Agent) of such additional interest or costs from such Lender. If a Lender fails to give notice 10 days prior to the relevant Interest Payment Date, such additional interest shall be due and payable 10 days from receipt of such notice.</w:t>
      </w:r>
    </w:p>
    <w:p>
      <w:pPr>
        <w:spacing w:after="0" w:line="181" w:lineRule="exact"/>
        <w:rPr>
          <w:sz w:val="20"/>
          <w:szCs w:val="20"/>
          <w:color w:val="auto"/>
        </w:rPr>
      </w:pPr>
    </w:p>
    <w:p>
      <w:pPr>
        <w:jc w:val="both"/>
        <w:ind w:left="660" w:firstLine="645"/>
        <w:spacing w:after="0" w:line="244" w:lineRule="auto"/>
        <w:tabs>
          <w:tab w:leader="none" w:pos="171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Delay in Requests</w:t>
      </w:r>
      <w:r>
        <w:rPr>
          <w:rFonts w:ascii="Times New Roman" w:cs="Times New Roman" w:eastAsia="Times New Roman" w:hAnsi="Times New Roman"/>
          <w:sz w:val="20"/>
          <w:szCs w:val="20"/>
          <w:color w:val="auto"/>
        </w:rPr>
        <w:t>. Failure or delay on the part of any Lender or the L/C Issuer to demand compensation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foregoing provisions of this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xml:space="preserve"> shall not constitute a waiver of such Lender’s or the L/C Issuer’s right to demand such compensation, provided that the Borrower shall not be required to compensate a Lender or the L/C Issuer pursuant to the foregoing provisions of this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xml:space="preserve">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 month period referred to above shall be extended to include the period of retroactive effect thereof).</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3.05 </w:t>
      </w:r>
      <w:r>
        <w:rPr>
          <w:rFonts w:ascii="Times New Roman" w:cs="Times New Roman" w:eastAsia="Times New Roman" w:hAnsi="Times New Roman"/>
          <w:sz w:val="20"/>
          <w:szCs w:val="20"/>
          <w:b w:val="1"/>
          <w:bCs w:val="1"/>
          <w:color w:val="auto"/>
        </w:rPr>
        <w:t>Compensation for Losses</w:t>
      </w:r>
      <w:r>
        <w:rPr>
          <w:rFonts w:ascii="Times New Roman" w:cs="Times New Roman" w:eastAsia="Times New Roman" w:hAnsi="Times New Roman"/>
          <w:sz w:val="20"/>
          <w:szCs w:val="20"/>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73" w:lineRule="exact"/>
        <w:rPr>
          <w:sz w:val="20"/>
          <w:szCs w:val="20"/>
          <w:color w:val="auto"/>
        </w:rPr>
      </w:pPr>
    </w:p>
    <w:p>
      <w:pPr>
        <w:ind w:left="660" w:right="20" w:firstLine="645"/>
        <w:spacing w:after="0" w:line="269" w:lineRule="auto"/>
        <w:tabs>
          <w:tab w:leader="none" w:pos="174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82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other than a Base Rate Loan on the date or in the amount notified by the Borrower;</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0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Eurocurrency Rate Loan on a day other than the last day of the Interest Period therefor as a result of a request by the Borrower pursuant to </w:t>
      </w:r>
      <w:r>
        <w:rPr>
          <w:rFonts w:ascii="Times New Roman" w:cs="Times New Roman" w:eastAsia="Times New Roman" w:hAnsi="Times New Roman"/>
          <w:sz w:val="20"/>
          <w:szCs w:val="20"/>
          <w:b w:val="1"/>
          <w:bCs w:val="1"/>
          <w:i w:val="1"/>
          <w:iCs w:val="1"/>
          <w:color w:val="auto"/>
        </w:rPr>
        <w:t>Section 11.13</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3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to make payment of any Loan or drawing under any Letter of Credit (or interest due thereon) denominated in an Alternative Currency on its scheduled due date or any payment thereof in a different currency;</w:t>
      </w:r>
    </w:p>
    <w:p>
      <w:pPr>
        <w:spacing w:after="0" w:line="16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administrative fees charged by such Lender in connection with the foregoing.</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Borrower to the Lenders under this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ectPr>
          <w:pgSz w:w="11900" w:h="16838" w:orient="portrait"/>
          <w:cols w:equalWidth="0" w:num="1">
            <w:col w:w="11420"/>
          </w:cols>
          <w:pgMar w:left="240" w:top="562" w:right="239" w:bottom="1440" w:gutter="0" w:footer="0" w:header="0"/>
        </w:sectPr>
      </w:pPr>
    </w:p>
    <w:bookmarkStart w:id="139" w:name="page140"/>
    <w:bookmarkEnd w:id="139"/>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3.06</w:t>
      </w:r>
      <w:r>
        <w:rPr>
          <w:sz w:val="20"/>
          <w:szCs w:val="20"/>
          <w:color w:val="auto"/>
        </w:rPr>
        <w:tab/>
      </w:r>
      <w:r>
        <w:rPr>
          <w:rFonts w:ascii="Times New Roman" w:cs="Times New Roman" w:eastAsia="Times New Roman" w:hAnsi="Times New Roman"/>
          <w:sz w:val="19"/>
          <w:szCs w:val="19"/>
          <w:b w:val="1"/>
          <w:bCs w:val="1"/>
          <w:color w:val="auto"/>
        </w:rPr>
        <w:t>Mitigation Obligations; Replacement of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2" w:lineRule="auto"/>
        <w:tabs>
          <w:tab w:leader="none" w:pos="177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Designation of a Different Lending Office</w:t>
      </w:r>
      <w:r>
        <w:rPr>
          <w:rFonts w:ascii="Times New Roman" w:cs="Times New Roman" w:eastAsia="Times New Roman" w:hAnsi="Times New Roman"/>
          <w:sz w:val="20"/>
          <w:szCs w:val="20"/>
          <w:color w:val="auto"/>
        </w:rPr>
        <w:t>. If any Lender requests compensation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or requires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b w:val="1"/>
          <w:bCs w:val="1"/>
          <w:i w:val="1"/>
          <w:iCs w:val="1"/>
          <w:color w:val="auto"/>
        </w:rPr>
        <w:t>Section 3.02</w:t>
      </w:r>
      <w:r>
        <w:rPr>
          <w:rFonts w:ascii="Times New Roman" w:cs="Times New Roman" w:eastAsia="Times New Roman" w:hAnsi="Times New Roman"/>
          <w:sz w:val="20"/>
          <w:szCs w:val="20"/>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b w:val="1"/>
          <w:bCs w:val="1"/>
          <w:i w:val="1"/>
          <w:iCs w:val="1"/>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90"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3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of Lenders</w:t>
      </w:r>
      <w:r>
        <w:rPr>
          <w:rFonts w:ascii="Times New Roman" w:cs="Times New Roman" w:eastAsia="Times New Roman" w:hAnsi="Times New Roman"/>
          <w:sz w:val="20"/>
          <w:szCs w:val="20"/>
          <w:color w:val="auto"/>
        </w:rPr>
        <w:t>. If any Lender requests compensation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or if the Borrower is required to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Indemnified Taxes or additional amounts to any Lender or any Governmental Authority for the account of any Lender pursuant to </w:t>
      </w:r>
      <w:r>
        <w:rPr>
          <w:rFonts w:ascii="Times New Roman" w:cs="Times New Roman" w:eastAsia="Times New Roman" w:hAnsi="Times New Roman"/>
          <w:sz w:val="20"/>
          <w:szCs w:val="20"/>
          <w:b w:val="1"/>
          <w:bCs w:val="1"/>
          <w:i w:val="1"/>
          <w:iCs w:val="1"/>
          <w:color w:val="auto"/>
        </w:rPr>
        <w:t xml:space="preserve">Section 3.01 </w:t>
      </w:r>
      <w:r>
        <w:rPr>
          <w:rFonts w:ascii="Times New Roman" w:cs="Times New Roman" w:eastAsia="Times New Roman" w:hAnsi="Times New Roman"/>
          <w:sz w:val="20"/>
          <w:szCs w:val="20"/>
          <w:color w:val="auto"/>
        </w:rPr>
        <w:t>and, in each case, such Lender has declined or is unable to designate a different lending office in accordance with</w:t>
      </w:r>
      <w:r>
        <w:rPr>
          <w:rFonts w:ascii="Times New Roman" w:cs="Times New Roman" w:eastAsia="Times New Roman" w:hAnsi="Times New Roman"/>
          <w:sz w:val="20"/>
          <w:szCs w:val="20"/>
          <w:b w:val="1"/>
          <w:bCs w:val="1"/>
          <w:i w:val="1"/>
          <w:iCs w:val="1"/>
          <w:color w:val="auto"/>
        </w:rPr>
        <w:t xml:space="preserve"> Section 3.06(a)</w:t>
      </w:r>
      <w:r>
        <w:rPr>
          <w:rFonts w:ascii="Times New Roman" w:cs="Times New Roman" w:eastAsia="Times New Roman" w:hAnsi="Times New Roman"/>
          <w:sz w:val="20"/>
          <w:szCs w:val="20"/>
          <w:color w:val="auto"/>
        </w:rPr>
        <w:t>, the Borrower may replace such Lender in accordance with</w:t>
      </w:r>
      <w:r>
        <w:rPr>
          <w:rFonts w:ascii="Times New Roman" w:cs="Times New Roman" w:eastAsia="Times New Roman" w:hAnsi="Times New Roman"/>
          <w:sz w:val="20"/>
          <w:szCs w:val="20"/>
          <w:b w:val="1"/>
          <w:bCs w:val="1"/>
          <w:i w:val="1"/>
          <w:iCs w:val="1"/>
          <w:color w:val="auto"/>
        </w:rPr>
        <w:t xml:space="preserve"> Section 11.13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3.07 </w:t>
      </w: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xml:space="preserve">. All of the Borrower’s obligations under this </w:t>
      </w:r>
      <w:r>
        <w:rPr>
          <w:rFonts w:ascii="Times New Roman" w:cs="Times New Roman" w:eastAsia="Times New Roman" w:hAnsi="Times New Roman"/>
          <w:sz w:val="20"/>
          <w:szCs w:val="20"/>
          <w:b w:val="1"/>
          <w:bCs w:val="1"/>
          <w:i w:val="1"/>
          <w:iCs w:val="1"/>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resignation of the Administrative Agent and the Facility Termination Date.</w:t>
      </w:r>
    </w:p>
    <w:p>
      <w:pPr>
        <w:spacing w:after="0" w:line="1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IV.</w:t>
      </w:r>
      <w:r>
        <w:rPr>
          <w:sz w:val="20"/>
          <w:szCs w:val="20"/>
          <w:color w:val="auto"/>
        </w:rPr>
        <w:tab/>
      </w:r>
      <w:r>
        <w:rPr>
          <w:rFonts w:ascii="Times New Roman" w:cs="Times New Roman" w:eastAsia="Times New Roman" w:hAnsi="Times New Roman"/>
          <w:sz w:val="19"/>
          <w:szCs w:val="19"/>
          <w:b w:val="1"/>
          <w:bCs w:val="1"/>
          <w:color w:val="auto"/>
        </w:rPr>
        <w:t>CONDITIONS PRECEDENT TO CREDIT EXTENSIONS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4.01 </w:t>
      </w:r>
      <w:r>
        <w:rPr>
          <w:rFonts w:ascii="Times New Roman" w:cs="Times New Roman" w:eastAsia="Times New Roman" w:hAnsi="Times New Roman"/>
          <w:sz w:val="20"/>
          <w:szCs w:val="20"/>
          <w:b w:val="1"/>
          <w:bCs w:val="1"/>
          <w:color w:val="auto"/>
        </w:rPr>
        <w:t>Conditions of Initial Credit Extension</w:t>
      </w:r>
      <w:r>
        <w:rPr>
          <w:rFonts w:ascii="Times New Roman" w:cs="Times New Roman" w:eastAsia="Times New Roman" w:hAnsi="Times New Roman"/>
          <w:sz w:val="20"/>
          <w:szCs w:val="20"/>
          <w:color w:val="auto"/>
        </w:rPr>
        <w:t>. The obligation of the L/C Issuer and each Lender to make its initial Credit Extension hereunder is subject to satisfaction of the following conditions precedent:</w:t>
      </w:r>
    </w:p>
    <w:p>
      <w:pPr>
        <w:spacing w:after="0" w:line="152" w:lineRule="exact"/>
        <w:rPr>
          <w:sz w:val="20"/>
          <w:szCs w:val="20"/>
          <w:color w:val="auto"/>
        </w:rPr>
      </w:pPr>
    </w:p>
    <w:p>
      <w:pPr>
        <w:jc w:val="both"/>
        <w:ind w:left="660" w:firstLine="645"/>
        <w:spacing w:after="0" w:line="246" w:lineRule="auto"/>
        <w:tabs>
          <w:tab w:leader="none" w:pos="177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Execution of Credit Agreement; Loan Documents</w:t>
      </w:r>
      <w:r>
        <w:rPr>
          <w:rFonts w:ascii="Times New Roman" w:cs="Times New Roman" w:eastAsia="Times New Roman" w:hAnsi="Times New Roman"/>
          <w:sz w:val="20"/>
          <w:szCs w:val="20"/>
          <w:color w:val="auto"/>
        </w:rPr>
        <w:t>. The Administrative Agent shall have received (i) counterparts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executed by a Responsible Officer of each Loan Party and a duly authorized officer of each Lender, (ii) for the account of each Lender requesting a Note, a Note executed by a Responsible Officer of the Borrower, (iii) counterparts of the Security Agreement, and each other Collateral Document, executed by a Responsible Officer of the applicable Loan Parties and a duly authorized officer of each other Person party thereto, as applicable and (iv) counterparts of any other Loan Document, executed by a Responsible Officer of the applicable Loan Party and a duly authorized officer of each other Person party thereto.</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81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Officer’s Certificate</w:t>
      </w:r>
      <w:r>
        <w:rPr>
          <w:rFonts w:ascii="Times New Roman" w:cs="Times New Roman" w:eastAsia="Times New Roman" w:hAnsi="Times New Roman"/>
          <w:sz w:val="20"/>
          <w:szCs w:val="20"/>
          <w:color w:val="auto"/>
        </w:rPr>
        <w:t>. The Administrative Agent shall have received an Officer’s Certificate dated the Closing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and of the incumbency (including specimen signatures) of the Responsible Officers of each Loan Party.</w:t>
      </w:r>
    </w:p>
    <w:p>
      <w:pPr>
        <w:spacing w:after="0" w:line="175" w:lineRule="exact"/>
        <w:rPr>
          <w:rFonts w:ascii="Times New Roman" w:cs="Times New Roman" w:eastAsia="Times New Roman" w:hAnsi="Times New Roman"/>
          <w:sz w:val="20"/>
          <w:szCs w:val="20"/>
          <w:color w:val="auto"/>
        </w:rPr>
      </w:pPr>
    </w:p>
    <w:p>
      <w:pPr>
        <w:ind w:left="660" w:firstLine="645"/>
        <w:spacing w:after="0" w:line="273" w:lineRule="auto"/>
        <w:tabs>
          <w:tab w:leader="none" w:pos="170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Legal Opinions of Counsel</w:t>
      </w:r>
      <w:r>
        <w:rPr>
          <w:rFonts w:ascii="Times New Roman" w:cs="Times New Roman" w:eastAsia="Times New Roman" w:hAnsi="Times New Roman"/>
          <w:sz w:val="20"/>
          <w:szCs w:val="20"/>
          <w:color w:val="auto"/>
        </w:rPr>
        <w:t>. The Administrative Agent shall have received an opinion or opinions (including, if requested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Administrative Agent, local counsel opinions) of</w:t>
      </w:r>
    </w:p>
    <w:p>
      <w:pPr>
        <w:sectPr>
          <w:pgSz w:w="11900" w:h="16838" w:orient="portrait"/>
          <w:cols w:equalWidth="0" w:num="1">
            <w:col w:w="11420"/>
          </w:cols>
          <w:pgMar w:left="240" w:top="558" w:right="239" w:bottom="1440" w:gutter="0" w:footer="0" w:header="0"/>
        </w:sectPr>
      </w:pPr>
    </w:p>
    <w:bookmarkStart w:id="140" w:name="page141"/>
    <w:bookmarkEnd w:id="140"/>
    <w:p>
      <w:pPr>
        <w:spacing w:after="0" w:line="269" w:lineRule="auto"/>
        <w:rPr>
          <w:sz w:val="20"/>
          <w:szCs w:val="20"/>
          <w:color w:val="auto"/>
        </w:rPr>
      </w:pPr>
      <w:r>
        <w:rPr>
          <w:rFonts w:ascii="Times New Roman" w:cs="Times New Roman" w:eastAsia="Times New Roman" w:hAnsi="Times New Roman"/>
          <w:sz w:val="20"/>
          <w:szCs w:val="20"/>
          <w:color w:val="auto"/>
        </w:rPr>
        <w:t>counsel for the Loan Parties, dated the Closing Date and addressed to the Administrative Agent and the Lenders, in form and substance acceptable to the Administrative Agent</w:t>
      </w:r>
    </w:p>
    <w:p>
      <w:pPr>
        <w:spacing w:after="0" w:line="156" w:lineRule="exact"/>
        <w:rPr>
          <w:sz w:val="20"/>
          <w:szCs w:val="20"/>
          <w:color w:val="auto"/>
        </w:rPr>
      </w:pPr>
    </w:p>
    <w:p>
      <w:pPr>
        <w:ind w:firstLine="645"/>
        <w:spacing w:after="0" w:line="273" w:lineRule="auto"/>
        <w:tabs>
          <w:tab w:leader="none" w:pos="10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The Administrative Agent and the Lenders shall have received copies of the financial statements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referred to in </w:t>
      </w:r>
      <w:r>
        <w:rPr>
          <w:rFonts w:ascii="Times New Roman" w:cs="Times New Roman" w:eastAsia="Times New Roman" w:hAnsi="Times New Roman"/>
          <w:sz w:val="20"/>
          <w:szCs w:val="20"/>
          <w:b w:val="1"/>
          <w:bCs w:val="1"/>
          <w:i w:val="1"/>
          <w:iCs w:val="1"/>
          <w:color w:val="auto"/>
        </w:rPr>
        <w:t>Section 5.05</w:t>
      </w:r>
      <w:r>
        <w:rPr>
          <w:rFonts w:ascii="Times New Roman" w:cs="Times New Roman" w:eastAsia="Times New Roman" w:hAnsi="Times New Roman"/>
          <w:sz w:val="20"/>
          <w:szCs w:val="20"/>
          <w:color w:val="auto"/>
        </w:rPr>
        <w:t>, each in form and substance satisfactory to each of them.</w:t>
      </w:r>
    </w:p>
    <w:p>
      <w:pPr>
        <w:spacing w:after="0" w:line="152" w:lineRule="exact"/>
        <w:rPr>
          <w:rFonts w:ascii="Times New Roman" w:cs="Times New Roman" w:eastAsia="Times New Roman" w:hAnsi="Times New Roman"/>
          <w:sz w:val="20"/>
          <w:szCs w:val="20"/>
          <w:color w:val="auto"/>
        </w:rPr>
      </w:pPr>
    </w:p>
    <w:p>
      <w:pPr>
        <w:ind w:firstLine="645"/>
        <w:spacing w:after="0" w:line="273" w:lineRule="auto"/>
        <w:tabs>
          <w:tab w:leader="none" w:pos="108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Personal Property Collateral</w:t>
      </w:r>
      <w:r>
        <w:rPr>
          <w:rFonts w:ascii="Times New Roman" w:cs="Times New Roman" w:eastAsia="Times New Roman" w:hAnsi="Times New Roman"/>
          <w:sz w:val="20"/>
          <w:szCs w:val="20"/>
          <w:color w:val="auto"/>
        </w:rPr>
        <w:t>. The Administrative Agent shall have received, in form and substance satisfactory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w:t>
      </w:r>
    </w:p>
    <w:p>
      <w:pPr>
        <w:spacing w:after="0" w:line="156" w:lineRule="exact"/>
        <w:rPr>
          <w:rFonts w:ascii="Times New Roman" w:cs="Times New Roman" w:eastAsia="Times New Roman" w:hAnsi="Times New Roman"/>
          <w:sz w:val="20"/>
          <w:szCs w:val="20"/>
          <w:color w:val="auto"/>
        </w:rPr>
      </w:pPr>
    </w:p>
    <w:p>
      <w:pPr>
        <w:jc w:val="both"/>
        <w:ind w:left="640" w:firstLine="653"/>
        <w:spacing w:after="0" w:line="249" w:lineRule="auto"/>
        <w:tabs>
          <w:tab w:leader="none" w:pos="1709"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judgment and bankruptcy searches;</w:t>
      </w:r>
    </w:p>
    <w:p>
      <w:pPr>
        <w:spacing w:after="0" w:line="180" w:lineRule="exact"/>
        <w:rPr>
          <w:rFonts w:ascii="Times New Roman" w:cs="Times New Roman" w:eastAsia="Times New Roman" w:hAnsi="Times New Roman"/>
          <w:sz w:val="20"/>
          <w:szCs w:val="20"/>
          <w:color w:val="auto"/>
        </w:rPr>
      </w:pPr>
    </w:p>
    <w:p>
      <w:pPr>
        <w:ind w:left="640" w:firstLine="653"/>
        <w:spacing w:after="0" w:line="269" w:lineRule="auto"/>
        <w:tabs>
          <w:tab w:leader="none" w:pos="181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UCC financing statements for each appropriate jurisdiction as is necessary, in the Administrative Agent’s sole discretion, to perfect the Administrative Agent’s security interest in the Collateral;</w:t>
      </w:r>
    </w:p>
    <w:p>
      <w:pPr>
        <w:spacing w:after="0" w:line="159" w:lineRule="exact"/>
        <w:rPr>
          <w:rFonts w:ascii="Times New Roman" w:cs="Times New Roman" w:eastAsia="Times New Roman" w:hAnsi="Times New Roman"/>
          <w:sz w:val="20"/>
          <w:szCs w:val="20"/>
          <w:color w:val="auto"/>
        </w:rPr>
      </w:pPr>
    </w:p>
    <w:p>
      <w:pPr>
        <w:ind w:left="640" w:firstLine="653"/>
        <w:spacing w:after="0" w:line="269" w:lineRule="auto"/>
        <w:tabs>
          <w:tab w:leader="none" w:pos="183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or membership certificates, if any, evidencing the Pledged Equity and undated stock or transfer powers duly executed in blank; in each case to the extent such Pledged Equity is certificated;</w:t>
      </w:r>
    </w:p>
    <w:p>
      <w:pPr>
        <w:spacing w:after="0" w:line="159" w:lineRule="exact"/>
        <w:rPr>
          <w:rFonts w:ascii="Times New Roman" w:cs="Times New Roman" w:eastAsia="Times New Roman" w:hAnsi="Times New Roman"/>
          <w:sz w:val="20"/>
          <w:szCs w:val="20"/>
          <w:color w:val="auto"/>
        </w:rPr>
      </w:pPr>
    </w:p>
    <w:p>
      <w:pPr>
        <w:ind w:left="640" w:right="20" w:firstLine="653"/>
        <w:spacing w:after="0" w:line="269" w:lineRule="auto"/>
        <w:tabs>
          <w:tab w:leader="none" w:pos="180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Qualifying Control Agreements satisfactory to the Administrative Agent to the extent required to be delivered pursuant to </w:t>
      </w:r>
      <w:r>
        <w:rPr>
          <w:rFonts w:ascii="Times New Roman" w:cs="Times New Roman" w:eastAsia="Times New Roman" w:hAnsi="Times New Roman"/>
          <w:sz w:val="20"/>
          <w:szCs w:val="20"/>
          <w:b w:val="1"/>
          <w:bCs w:val="1"/>
          <w:i w:val="1"/>
          <w:iCs w:val="1"/>
          <w:color w:val="auto"/>
        </w:rPr>
        <w:t>Section 6.14</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firstLine="645"/>
        <w:spacing w:after="0" w:line="248" w:lineRule="auto"/>
        <w:tabs>
          <w:tab w:leader="none" w:pos="106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Liability, Casualty, Property, Terrorism and Business Interruption Insurance</w:t>
      </w:r>
      <w:r>
        <w:rPr>
          <w:rFonts w:ascii="Times New Roman" w:cs="Times New Roman" w:eastAsia="Times New Roman" w:hAnsi="Times New Roman"/>
          <w:sz w:val="20"/>
          <w:szCs w:val="20"/>
          <w:color w:val="auto"/>
        </w:rPr>
        <w:t>. The Administrative Agent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copies of insurance policies, declaration pages, certificates, and endorsements of insurance or insurance binders evidencing liability, casualty, property, terrorism and business interruption insurance meeting the requirements set forth herein or in the Collateral Documents or as required by the Administrative Agent. The Loan Parties shall have delivered to the Administrative Agent an Authorization to Share Insurance Information.</w:t>
      </w:r>
    </w:p>
    <w:p>
      <w:pPr>
        <w:spacing w:after="0" w:line="175" w:lineRule="exact"/>
        <w:rPr>
          <w:rFonts w:ascii="Times New Roman" w:cs="Times New Roman" w:eastAsia="Times New Roman" w:hAnsi="Times New Roman"/>
          <w:sz w:val="20"/>
          <w:szCs w:val="20"/>
          <w:color w:val="auto"/>
        </w:rPr>
      </w:pPr>
    </w:p>
    <w:p>
      <w:pPr>
        <w:jc w:val="both"/>
        <w:ind w:firstLine="645"/>
        <w:spacing w:after="0" w:line="256" w:lineRule="auto"/>
        <w:tabs>
          <w:tab w:leader="none" w:pos="116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Solvency Certificate</w:t>
      </w:r>
      <w:r>
        <w:rPr>
          <w:rFonts w:ascii="Times New Roman" w:cs="Times New Roman" w:eastAsia="Times New Roman" w:hAnsi="Times New Roman"/>
          <w:sz w:val="20"/>
          <w:szCs w:val="20"/>
          <w:color w:val="auto"/>
        </w:rPr>
        <w:t>. The Administrative Agent shall have received a Solvency Certificate signed by a Responsible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of the Borrower as to the financial condition, solvency and related matters of the Borrower and its Subsidiaries, after giving effect to the initial Borrowings under the Loan Documents and the other transactions contemplated hereby.</w:t>
      </w:r>
    </w:p>
    <w:p>
      <w:pPr>
        <w:spacing w:after="0" w:line="168" w:lineRule="exact"/>
        <w:rPr>
          <w:rFonts w:ascii="Times New Roman" w:cs="Times New Roman" w:eastAsia="Times New Roman" w:hAnsi="Times New Roman"/>
          <w:sz w:val="20"/>
          <w:szCs w:val="20"/>
          <w:color w:val="auto"/>
        </w:rPr>
      </w:pPr>
    </w:p>
    <w:p>
      <w:pPr>
        <w:ind w:firstLine="645"/>
        <w:spacing w:after="0" w:line="273" w:lineRule="auto"/>
        <w:tabs>
          <w:tab w:leader="none" w:pos="107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Condition Certificate</w:t>
      </w:r>
      <w:r>
        <w:rPr>
          <w:rFonts w:ascii="Times New Roman" w:cs="Times New Roman" w:eastAsia="Times New Roman" w:hAnsi="Times New Roman"/>
          <w:sz w:val="20"/>
          <w:szCs w:val="20"/>
          <w:color w:val="auto"/>
        </w:rPr>
        <w:t>. The Administrative Agent shall have received a certificate or certificates executed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Responsible Officer of the Borrower as of the Closing Date, as to certain financial matters, substantially in the form of </w:t>
      </w:r>
      <w:r>
        <w:rPr>
          <w:rFonts w:ascii="Times New Roman" w:cs="Times New Roman" w:eastAsia="Times New Roman" w:hAnsi="Times New Roman"/>
          <w:sz w:val="20"/>
          <w:szCs w:val="20"/>
          <w:b w:val="1"/>
          <w:bCs w:val="1"/>
          <w:i w:val="1"/>
          <w:iCs w:val="1"/>
          <w:color w:val="auto"/>
        </w:rPr>
        <w:t>Exhibit P</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left="1020" w:hanging="375"/>
        <w:spacing w:after="0"/>
        <w:tabs>
          <w:tab w:leader="none" w:pos="10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645"/>
        <w:spacing w:after="0" w:line="273" w:lineRule="auto"/>
        <w:tabs>
          <w:tab w:leader="none" w:pos="105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Notice</w:t>
      </w:r>
      <w:r>
        <w:rPr>
          <w:rFonts w:ascii="Times New Roman" w:cs="Times New Roman" w:eastAsia="Times New Roman" w:hAnsi="Times New Roman"/>
          <w:sz w:val="20"/>
          <w:szCs w:val="20"/>
          <w:color w:val="auto"/>
        </w:rPr>
        <w:t>. The Administrative Agent shall have received a Loan Notice with respect to the Loans to be made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Closing Date.</w:t>
      </w:r>
    </w:p>
    <w:p>
      <w:pPr>
        <w:sectPr>
          <w:pgSz w:w="11900" w:h="16838" w:orient="portrait"/>
          <w:cols w:equalWidth="0" w:num="1">
            <w:col w:w="10760"/>
          </w:cols>
          <w:pgMar w:left="900" w:top="562" w:right="239" w:bottom="1440" w:gutter="0" w:footer="0" w:header="0"/>
        </w:sectPr>
      </w:pPr>
    </w:p>
    <w:bookmarkStart w:id="141" w:name="page142"/>
    <w:bookmarkEnd w:id="141"/>
    <w:p>
      <w:pPr>
        <w:jc w:val="both"/>
        <w:ind w:left="660" w:firstLine="645"/>
        <w:spacing w:after="0" w:line="256" w:lineRule="auto"/>
        <w:tabs>
          <w:tab w:leader="none" w:pos="171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Existing Indebtedness of the Loan Parties</w:t>
      </w:r>
      <w:r>
        <w:rPr>
          <w:rFonts w:ascii="Times New Roman" w:cs="Times New Roman" w:eastAsia="Times New Roman" w:hAnsi="Times New Roman"/>
          <w:sz w:val="20"/>
          <w:szCs w:val="20"/>
          <w:color w:val="auto"/>
        </w:rPr>
        <w:t>. All of the existing Indebtedness for borrowed money of the Borrower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Subsidiaries (other than Indebtedness permitted to exist pursuant to </w:t>
      </w:r>
      <w:r>
        <w:rPr>
          <w:rFonts w:ascii="Times New Roman" w:cs="Times New Roman" w:eastAsia="Times New Roman" w:hAnsi="Times New Roman"/>
          <w:sz w:val="20"/>
          <w:szCs w:val="20"/>
          <w:b w:val="1"/>
          <w:bCs w:val="1"/>
          <w:i w:val="1"/>
          <w:iCs w:val="1"/>
          <w:color w:val="auto"/>
        </w:rPr>
        <w:t>Section 7.02</w:t>
      </w:r>
      <w:r>
        <w:rPr>
          <w:rFonts w:ascii="Times New Roman" w:cs="Times New Roman" w:eastAsia="Times New Roman" w:hAnsi="Times New Roman"/>
          <w:sz w:val="20"/>
          <w:szCs w:val="20"/>
          <w:color w:val="auto"/>
        </w:rPr>
        <w:t>) shall be repaid in full and all security interests related thereto shall be terminated on or prior to the Closing Date.</w:t>
      </w:r>
    </w:p>
    <w:p>
      <w:pPr>
        <w:spacing w:after="0" w:line="168"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72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Anti-Money-Laundering; Beneficial Ownership</w:t>
      </w:r>
      <w:r>
        <w:rPr>
          <w:rFonts w:ascii="Times New Roman" w:cs="Times New Roman" w:eastAsia="Times New Roman" w:hAnsi="Times New Roman"/>
          <w:sz w:val="20"/>
          <w:szCs w:val="20"/>
          <w:color w:val="auto"/>
        </w:rPr>
        <w:t>. Upon the reasonable request of any Lender, the Borrower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81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Consents</w:t>
      </w:r>
      <w:r>
        <w:rPr>
          <w:rFonts w:ascii="Times New Roman" w:cs="Times New Roman" w:eastAsia="Times New Roman" w:hAnsi="Times New Roman"/>
          <w:sz w:val="20"/>
          <w:szCs w:val="20"/>
          <w:color w:val="auto"/>
        </w:rPr>
        <w:t>. The Administrative Agent shall have received evidence that all members, boards of directors, governmental,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and material third party consents and approvals necessary in connection with the entering into of this Agreement have been obtained.</w:t>
      </w:r>
    </w:p>
    <w:p>
      <w:pPr>
        <w:spacing w:after="0" w:line="168" w:lineRule="exact"/>
        <w:rPr>
          <w:rFonts w:ascii="Times New Roman" w:cs="Times New Roman" w:eastAsia="Times New Roman" w:hAnsi="Times New Roman"/>
          <w:sz w:val="20"/>
          <w:szCs w:val="20"/>
          <w:color w:val="auto"/>
        </w:rPr>
      </w:pPr>
    </w:p>
    <w:p>
      <w:pPr>
        <w:ind w:left="660" w:firstLine="645"/>
        <w:spacing w:after="0" w:line="273" w:lineRule="auto"/>
        <w:tabs>
          <w:tab w:leader="none" w:pos="17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Fees and Expenses</w:t>
      </w:r>
      <w:r>
        <w:rPr>
          <w:rFonts w:ascii="Times New Roman" w:cs="Times New Roman" w:eastAsia="Times New Roman" w:hAnsi="Times New Roman"/>
          <w:sz w:val="20"/>
          <w:szCs w:val="20"/>
          <w:color w:val="auto"/>
        </w:rPr>
        <w:t>. The Administrative Agent and the Lenders shall have received all fees and expenses, if any, 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the Fee Letter and </w:t>
      </w:r>
      <w:r>
        <w:rPr>
          <w:rFonts w:ascii="Times New Roman" w:cs="Times New Roman" w:eastAsia="Times New Roman" w:hAnsi="Times New Roman"/>
          <w:sz w:val="20"/>
          <w:szCs w:val="20"/>
          <w:b w:val="1"/>
          <w:bCs w:val="1"/>
          <w:i w:val="1"/>
          <w:iCs w:val="1"/>
          <w:color w:val="auto"/>
        </w:rPr>
        <w:t>Section 2.09</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left="660" w:right="20" w:firstLine="645"/>
        <w:spacing w:after="0" w:line="273" w:lineRule="auto"/>
        <w:tabs>
          <w:tab w:leader="none" w:pos="177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Due Diligence</w:t>
      </w:r>
      <w:r>
        <w:rPr>
          <w:rFonts w:ascii="Times New Roman" w:cs="Times New Roman" w:eastAsia="Times New Roman" w:hAnsi="Times New Roman"/>
          <w:sz w:val="20"/>
          <w:szCs w:val="20"/>
          <w:color w:val="auto"/>
        </w:rPr>
        <w:t>. The Lenders shall have completed a due diligence investigation of the Borrower and its Subsidiaries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scope, and with results, satisfactory to the Lenders.</w:t>
      </w:r>
    </w:p>
    <w:p>
      <w:pPr>
        <w:spacing w:after="0" w:line="152" w:lineRule="exact"/>
        <w:rPr>
          <w:rFonts w:ascii="Times New Roman" w:cs="Times New Roman" w:eastAsia="Times New Roman" w:hAnsi="Times New Roman"/>
          <w:sz w:val="20"/>
          <w:szCs w:val="20"/>
          <w:color w:val="auto"/>
        </w:rPr>
      </w:pPr>
    </w:p>
    <w:p>
      <w:pPr>
        <w:ind w:left="660" w:firstLine="645"/>
        <w:spacing w:after="0" w:line="273" w:lineRule="auto"/>
        <w:tabs>
          <w:tab w:leader="none" w:pos="173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Documents</w:t>
      </w:r>
      <w:r>
        <w:rPr>
          <w:rFonts w:ascii="Times New Roman" w:cs="Times New Roman" w:eastAsia="Times New Roman" w:hAnsi="Times New Roman"/>
          <w:sz w:val="20"/>
          <w:szCs w:val="20"/>
          <w:color w:val="auto"/>
        </w:rPr>
        <w:t>. All other documents provided for herein or which the Administrative Agent or any other Lender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request or require provided they can be produced without material expense or delay.</w:t>
      </w:r>
    </w:p>
    <w:p>
      <w:pPr>
        <w:spacing w:after="0" w:line="152" w:lineRule="exact"/>
        <w:rPr>
          <w:rFonts w:ascii="Times New Roman" w:cs="Times New Roman" w:eastAsia="Times New Roman" w:hAnsi="Times New Roman"/>
          <w:sz w:val="20"/>
          <w:szCs w:val="20"/>
          <w:color w:val="auto"/>
        </w:rPr>
      </w:pPr>
    </w:p>
    <w:p>
      <w:pPr>
        <w:ind w:left="660" w:firstLine="645"/>
        <w:spacing w:after="0" w:line="273" w:lineRule="auto"/>
        <w:tabs>
          <w:tab w:leader="none" w:pos="17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Such additional information and materials which the Administrative Agent and/or any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reasonably request or require provided they can be produced without material expense or delay.</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b w:val="1"/>
          <w:bCs w:val="1"/>
          <w:i w:val="1"/>
          <w:iCs w:val="1"/>
          <w:color w:val="auto"/>
        </w:rPr>
        <w:t>Section 9.03(c)</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b w:val="1"/>
          <w:bCs w:val="1"/>
          <w:i w:val="1"/>
          <w:iCs w:val="1"/>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4.02 </w:t>
      </w:r>
      <w:r>
        <w:rPr>
          <w:rFonts w:ascii="Times New Roman" w:cs="Times New Roman" w:eastAsia="Times New Roman" w:hAnsi="Times New Roman"/>
          <w:sz w:val="20"/>
          <w:szCs w:val="20"/>
          <w:b w:val="1"/>
          <w:bCs w:val="1"/>
          <w:color w:val="auto"/>
        </w:rPr>
        <w:t>Conditions to all Credit Extensions</w:t>
      </w:r>
      <w:r>
        <w:rPr>
          <w:rFonts w:ascii="Times New Roman" w:cs="Times New Roman" w:eastAsia="Times New Roman" w:hAnsi="Times New Roman"/>
          <w:sz w:val="20"/>
          <w:szCs w:val="20"/>
          <w:color w:val="auto"/>
        </w:rPr>
        <w:t>. The obligation of each Lender and the L/C Issuer to honor any Request for Credit Extension is subject to the following conditions precedent:</w:t>
      </w:r>
    </w:p>
    <w:p>
      <w:pPr>
        <w:spacing w:after="0" w:line="152" w:lineRule="exact"/>
        <w:rPr>
          <w:sz w:val="20"/>
          <w:szCs w:val="20"/>
          <w:color w:val="auto"/>
        </w:rPr>
      </w:pPr>
    </w:p>
    <w:p>
      <w:pPr>
        <w:jc w:val="both"/>
        <w:ind w:left="660" w:firstLine="645"/>
        <w:spacing w:after="0" w:line="248" w:lineRule="auto"/>
        <w:tabs>
          <w:tab w:leader="none" w:pos="185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The representations and warranties of the Borrower and each other Loan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contained in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be true and correct on and as of the date of such Credit Extension, and except that for purposes of this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b w:val="1"/>
          <w:bCs w:val="1"/>
          <w:i w:val="1"/>
          <w:iCs w:val="1"/>
          <w:color w:val="auto"/>
        </w:rPr>
        <w:t>Sections 5.05(a)</w:t>
      </w:r>
      <w:r>
        <w:rPr>
          <w:rFonts w:ascii="Times New Roman" w:cs="Times New Roman" w:eastAsia="Times New Roman" w:hAnsi="Times New Roman"/>
          <w:sz w:val="20"/>
          <w:szCs w:val="20"/>
          <w:color w:val="auto"/>
        </w:rPr>
        <w:t xml:space="preserve"> and (b) shall be deemed to refer to the most recent statements furnished pursuant to </w:t>
      </w:r>
      <w:r>
        <w:rPr>
          <w:rFonts w:ascii="Times New Roman" w:cs="Times New Roman" w:eastAsia="Times New Roman" w:hAnsi="Times New Roman"/>
          <w:sz w:val="20"/>
          <w:szCs w:val="20"/>
          <w:b w:val="1"/>
          <w:bCs w:val="1"/>
          <w:i w:val="1"/>
          <w:iCs w:val="1"/>
          <w:color w:val="auto"/>
        </w:rPr>
        <w:t>Sections 6.01(a)</w:t>
      </w:r>
      <w:r>
        <w:rPr>
          <w:rFonts w:ascii="Times New Roman" w:cs="Times New Roman" w:eastAsia="Times New Roman" w:hAnsi="Times New Roman"/>
          <w:sz w:val="20"/>
          <w:szCs w:val="20"/>
          <w:color w:val="auto"/>
        </w:rPr>
        <w:t xml:space="preserve"> and (b), respectively.</w:t>
      </w:r>
    </w:p>
    <w:p>
      <w:pPr>
        <w:sectPr>
          <w:pgSz w:w="11900" w:h="16838" w:orient="portrait"/>
          <w:cols w:equalWidth="0" w:num="1">
            <w:col w:w="11420"/>
          </w:cols>
          <w:pgMar w:left="240" w:top="558" w:right="239" w:bottom="1440" w:gutter="0" w:footer="0" w:header="0"/>
        </w:sectPr>
      </w:pPr>
    </w:p>
    <w:bookmarkStart w:id="142" w:name="page143"/>
    <w:bookmarkEnd w:id="142"/>
    <w:p>
      <w:pPr>
        <w:ind w:left="660" w:firstLine="645"/>
        <w:spacing w:after="0" w:line="273" w:lineRule="auto"/>
        <w:tabs>
          <w:tab w:leader="none" w:pos="181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No Default shall exist, or would result from such proposed Credit Extension or from the application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proceeds thereof.</w:t>
      </w:r>
    </w:p>
    <w:p>
      <w:pPr>
        <w:spacing w:after="0" w:line="152" w:lineRule="exact"/>
        <w:rPr>
          <w:rFonts w:ascii="Times New Roman" w:cs="Times New Roman" w:eastAsia="Times New Roman" w:hAnsi="Times New Roman"/>
          <w:sz w:val="20"/>
          <w:szCs w:val="20"/>
          <w:color w:val="auto"/>
        </w:rPr>
      </w:pPr>
    </w:p>
    <w:p>
      <w:pPr>
        <w:ind w:left="660" w:firstLine="645"/>
        <w:spacing w:after="0" w:line="273" w:lineRule="auto"/>
        <w:tabs>
          <w:tab w:leader="none" w:pos="170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Request for Credit Extension</w:t>
      </w:r>
      <w:r>
        <w:rPr>
          <w:rFonts w:ascii="Times New Roman" w:cs="Times New Roman" w:eastAsia="Times New Roman" w:hAnsi="Times New Roman"/>
          <w:sz w:val="20"/>
          <w:szCs w:val="20"/>
          <w:color w:val="auto"/>
        </w:rPr>
        <w:t>. The Administrative Agent and, if applicable, the L/C Issuer or the Swingline Lender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received a Request for Credit Extension in accordance with the requirements hereof.</w:t>
      </w:r>
    </w:p>
    <w:p>
      <w:pPr>
        <w:spacing w:after="0" w:line="152" w:lineRule="exact"/>
        <w:rPr>
          <w:rFonts w:ascii="Times New Roman" w:cs="Times New Roman" w:eastAsia="Times New Roman" w:hAnsi="Times New Roman"/>
          <w:sz w:val="20"/>
          <w:szCs w:val="20"/>
          <w:color w:val="auto"/>
        </w:rPr>
      </w:pPr>
    </w:p>
    <w:p>
      <w:pPr>
        <w:jc w:val="both"/>
        <w:ind w:left="660" w:firstLine="645"/>
        <w:spacing w:after="0" w:line="246" w:lineRule="auto"/>
        <w:tabs>
          <w:tab w:leader="none" w:pos="177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Alternative Currency</w:t>
      </w:r>
      <w:r>
        <w:rPr>
          <w:rFonts w:ascii="Times New Roman" w:cs="Times New Roman" w:eastAsia="Times New Roman" w:hAnsi="Times New Roman"/>
          <w:sz w:val="20"/>
          <w:szCs w:val="20"/>
          <w:color w:val="auto"/>
        </w:rPr>
        <w:t>. In the case of a Credit Extension to be denominated in an Alternative Currency, such currency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remains an Eligible Currency. 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7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Legal Impediment</w:t>
      </w:r>
      <w:r>
        <w:rPr>
          <w:rFonts w:ascii="Times New Roman" w:cs="Times New Roman" w:eastAsia="Times New Roman" w:hAnsi="Times New Roman"/>
          <w:sz w:val="20"/>
          <w:szCs w:val="20"/>
          <w:color w:val="auto"/>
        </w:rPr>
        <w:t>. There shall be no impediment, restriction, limitation or prohibition imposed under Law or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Governmental Authority, as to the proposed financing under this Agreement or the repayment thereof or as to rights created under any Loan Document or as to application of the proceeds of the realization of any such rights that would result in a Material Adverse Effect or preclude the Lenders generally from receiving the rights and benefits this Agreement creates.</w:t>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Each Request for Credit Extension submitted by the Borrower shall be deemed to be a representation and warranty that the conditions specified in </w:t>
      </w:r>
      <w:r>
        <w:rPr>
          <w:rFonts w:ascii="Times New Roman" w:cs="Times New Roman" w:eastAsia="Times New Roman" w:hAnsi="Times New Roman"/>
          <w:sz w:val="20"/>
          <w:szCs w:val="20"/>
          <w:b w:val="1"/>
          <w:bCs w:val="1"/>
          <w:i w:val="1"/>
          <w:iCs w:val="1"/>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56" w:lineRule="exact"/>
        <w:rPr>
          <w:sz w:val="20"/>
          <w:szCs w:val="20"/>
          <w:color w:val="auto"/>
        </w:rPr>
      </w:pPr>
    </w:p>
    <w:p>
      <w:pPr>
        <w:ind w:firstLine="8"/>
        <w:spacing w:after="0" w:line="273" w:lineRule="auto"/>
        <w:tabs>
          <w:tab w:leader="none" w:pos="3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Each Loan Party represents and warrants to the Administrative Agent and the Lenders,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date made or deemed made, that:</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5.01 </w:t>
      </w:r>
      <w:r>
        <w:rPr>
          <w:rFonts w:ascii="Times New Roman" w:cs="Times New Roman" w:eastAsia="Times New Roman" w:hAnsi="Times New Roman"/>
          <w:sz w:val="20"/>
          <w:szCs w:val="20"/>
          <w:b w:val="1"/>
          <w:bCs w:val="1"/>
          <w:color w:val="auto"/>
        </w:rPr>
        <w:t>Existence, Qualification and Power</w:t>
      </w:r>
      <w:r>
        <w:rPr>
          <w:rFonts w:ascii="Times New Roman" w:cs="Times New Roman" w:eastAsia="Times New Roman" w:hAnsi="Times New Roman"/>
          <w:sz w:val="20"/>
          <w:szCs w:val="20"/>
          <w:color w:val="auto"/>
        </w:rPr>
        <w:t xml:space="preserve">. 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b w:val="1"/>
          <w:bCs w:val="1"/>
          <w:i w:val="1"/>
          <w:iCs w:val="1"/>
          <w:color w:val="auto"/>
        </w:rPr>
        <w:t>clause (b)(i)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 The copy of the Organization Documents of each Loan Party provided to the Administrative Agent pursuant to the terms of this Agreement is a true and correct copy of each such document, each of which is valid and in full force and effect.</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5.02 </w:t>
      </w:r>
      <w:r>
        <w:rPr>
          <w:rFonts w:ascii="Times New Roman" w:cs="Times New Roman" w:eastAsia="Times New Roman" w:hAnsi="Times New Roman"/>
          <w:sz w:val="20"/>
          <w:szCs w:val="20"/>
          <w:b w:val="1"/>
          <w:bCs w:val="1"/>
          <w:color w:val="auto"/>
        </w:rPr>
        <w:t>Authorization; No Contravention</w:t>
      </w:r>
      <w:r>
        <w:rPr>
          <w:rFonts w:ascii="Times New Roman" w:cs="Times New Roman" w:eastAsia="Times New Roman" w:hAnsi="Times New Roman"/>
          <w:sz w:val="20"/>
          <w:szCs w:val="20"/>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w:t>
      </w:r>
    </w:p>
    <w:p>
      <w:pPr>
        <w:sectPr>
          <w:pgSz w:w="11900" w:h="16838" w:orient="portrait"/>
          <w:cols w:equalWidth="0" w:num="1">
            <w:col w:w="11420"/>
          </w:cols>
          <w:pgMar w:left="240" w:top="558" w:right="239" w:bottom="1440" w:gutter="0" w:footer="0" w:header="0"/>
        </w:sectPr>
      </w:pPr>
    </w:p>
    <w:bookmarkStart w:id="143" w:name="page144"/>
    <w:bookmarkEnd w:id="143"/>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5.03 </w:t>
      </w:r>
      <w:r>
        <w:rPr>
          <w:rFonts w:ascii="Times New Roman" w:cs="Times New Roman" w:eastAsia="Times New Roman" w:hAnsi="Times New Roman"/>
          <w:sz w:val="20"/>
          <w:szCs w:val="20"/>
          <w:b w:val="1"/>
          <w:bCs w:val="1"/>
          <w:color w:val="auto"/>
        </w:rPr>
        <w:t>Governmental Authorization; Other Consents</w:t>
      </w:r>
      <w:r>
        <w:rPr>
          <w:rFonts w:ascii="Times New Roman" w:cs="Times New Roman" w:eastAsia="Times New Roman" w:hAnsi="Times New Roman"/>
          <w:sz w:val="20"/>
          <w:szCs w:val="20"/>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and (ii) filings to perfect the Liens created by the Collateral Documents.</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5.04 </w:t>
      </w: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principals of equity.</w:t>
      </w:r>
    </w:p>
    <w:p>
      <w:pPr>
        <w:spacing w:after="0" w:line="1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5.05</w:t>
      </w:r>
      <w:r>
        <w:rPr>
          <w:sz w:val="20"/>
          <w:szCs w:val="20"/>
          <w:color w:val="auto"/>
        </w:rPr>
        <w:tab/>
      </w:r>
      <w:r>
        <w:rPr>
          <w:rFonts w:ascii="Times New Roman" w:cs="Times New Roman" w:eastAsia="Times New Roman" w:hAnsi="Times New Roman"/>
          <w:sz w:val="19"/>
          <w:szCs w:val="19"/>
          <w:b w:val="1"/>
          <w:bCs w:val="1"/>
          <w:color w:val="auto"/>
        </w:rPr>
        <w:t>Financial Statements; No Material Adverse Effect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6" w:lineRule="auto"/>
        <w:tabs>
          <w:tab w:leader="none" w:pos="1911"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Audited Financial Statements</w:t>
      </w:r>
      <w:r>
        <w:rPr>
          <w:rFonts w:ascii="Times New Roman" w:cs="Times New Roman" w:eastAsia="Times New Roman" w:hAnsi="Times New Roman"/>
          <w:sz w:val="20"/>
          <w:szCs w:val="20"/>
          <w:color w:val="auto"/>
        </w:rPr>
        <w:t>. The Audited Financial Statements (i) were prepared in accordance with GAAP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consistently applied throughout the period covered thereby, except as otherwise expressly noted therein; (ii) fairly present the financial condition of the Borrower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46" w:lineRule="auto"/>
        <w:tabs>
          <w:tab w:leader="none" w:pos="17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Quarterly Financial Statements</w:t>
      </w:r>
      <w:r>
        <w:rPr>
          <w:rFonts w:ascii="Times New Roman" w:cs="Times New Roman" w:eastAsia="Times New Roman" w:hAnsi="Times New Roman"/>
          <w:sz w:val="20"/>
          <w:szCs w:val="20"/>
          <w:color w:val="auto"/>
        </w:rPr>
        <w:t>. The unaudited Consolidated balance sheet of the Borrower and its Subsidiaries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June 30, 2019,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cash flows and changes in Shareholders’ Equity for the period covered thereby, subject, in the case of clauses (i) and (ii), to the absence of footnotes and to normal year-end audit adjustments.</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2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Since the date of the Audited Financial Statements (and, in addition, after delivery of the most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recent annual audited financial statements in accordance with the terms hereof, since the date of such annual audited financial statements), there has been no event or circumstance, either individually or in the aggregate, that has had or could reasonably be expected to have a Material Adverse Effect.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5.06 </w:t>
      </w:r>
      <w:r>
        <w:rPr>
          <w:rFonts w:ascii="Times New Roman" w:cs="Times New Roman" w:eastAsia="Times New Roman" w:hAnsi="Times New Roman"/>
          <w:sz w:val="20"/>
          <w:szCs w:val="20"/>
          <w:b w:val="1"/>
          <w:bCs w:val="1"/>
          <w:color w:val="auto"/>
        </w:rPr>
        <w:t>Litigation</w:t>
      </w:r>
      <w:r>
        <w:rPr>
          <w:rFonts w:ascii="Times New Roman" w:cs="Times New Roman" w:eastAsia="Times New Roman" w:hAnsi="Times New Roman"/>
          <w:sz w:val="20"/>
          <w:szCs w:val="20"/>
          <w:color w:val="auto"/>
        </w:rPr>
        <w:t>. There are no actions, suits, proceedings, claims or disputes pending or, to the knowledge of the Loan Parties after due and diligent investigation, threatened or contemplated, at law, in equity, in arbitration or before any Governmental Authority, by or against any Loan Party or any Subsidiary or against any of their properties or revenues that (a) purport to affect or pertain to this Agreement or any</w:t>
      </w:r>
    </w:p>
    <w:p>
      <w:pPr>
        <w:sectPr>
          <w:pgSz w:w="11900" w:h="16838" w:orient="portrait"/>
          <w:cols w:equalWidth="0" w:num="1">
            <w:col w:w="11420"/>
          </w:cols>
          <w:pgMar w:left="240" w:top="558" w:right="239" w:bottom="1440" w:gutter="0" w:footer="0" w:header="0"/>
        </w:sectPr>
      </w:pPr>
    </w:p>
    <w:bookmarkStart w:id="144" w:name="page145"/>
    <w:bookmarkEnd w:id="144"/>
    <w:p>
      <w:pPr>
        <w:jc w:val="both"/>
        <w:spacing w:after="0" w:line="269" w:lineRule="auto"/>
        <w:rPr>
          <w:sz w:val="20"/>
          <w:szCs w:val="20"/>
          <w:color w:val="auto"/>
        </w:rPr>
      </w:pPr>
      <w:r>
        <w:rPr>
          <w:rFonts w:ascii="Times New Roman" w:cs="Times New Roman" w:eastAsia="Times New Roman" w:hAnsi="Times New Roman"/>
          <w:sz w:val="20"/>
          <w:szCs w:val="20"/>
          <w:color w:val="auto"/>
        </w:rPr>
        <w:t>other Loan Document or any of the transactions contemplated hereby, or (b) either individually or in the aggregate could reasonably be expected to have a Material Adverse Effect.</w:t>
      </w:r>
    </w:p>
    <w:p>
      <w:pPr>
        <w:spacing w:after="0" w:line="1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5.07 </w:t>
      </w:r>
      <w:r>
        <w:rPr>
          <w:rFonts w:ascii="Times New Roman" w:cs="Times New Roman" w:eastAsia="Times New Roman" w:hAnsi="Times New Roman"/>
          <w:sz w:val="20"/>
          <w:szCs w:val="20"/>
          <w:b w:val="1"/>
          <w:bCs w:val="1"/>
          <w:color w:val="auto"/>
        </w:rPr>
        <w:t>No Default</w:t>
      </w:r>
      <w:r>
        <w:rPr>
          <w:rFonts w:ascii="Times New Roman" w:cs="Times New Roman" w:eastAsia="Times New Roman" w:hAnsi="Times New Roman"/>
          <w:sz w:val="20"/>
          <w:szCs w:val="20"/>
          <w:color w:val="auto"/>
        </w:rPr>
        <w:t>. 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5.08 </w:t>
      </w:r>
      <w:r>
        <w:rPr>
          <w:rFonts w:ascii="Times New Roman" w:cs="Times New Roman" w:eastAsia="Times New Roman" w:hAnsi="Times New Roman"/>
          <w:sz w:val="20"/>
          <w:szCs w:val="20"/>
          <w:b w:val="1"/>
          <w:bCs w:val="1"/>
          <w:color w:val="auto"/>
        </w:rPr>
        <w:t>Ownership of Property</w:t>
      </w:r>
      <w:r>
        <w:rPr>
          <w:rFonts w:ascii="Times New Roman" w:cs="Times New Roman" w:eastAsia="Times New Roman" w:hAnsi="Times New Roman"/>
          <w:sz w:val="20"/>
          <w:szCs w:val="20"/>
          <w:color w:val="auto"/>
        </w:rPr>
        <w:t>. 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6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5.09</w:t>
      </w:r>
      <w:r>
        <w:rPr>
          <w:sz w:val="20"/>
          <w:szCs w:val="20"/>
          <w:color w:val="auto"/>
        </w:rPr>
        <w:tab/>
      </w:r>
      <w:r>
        <w:rPr>
          <w:rFonts w:ascii="Times New Roman" w:cs="Times New Roman" w:eastAsia="Times New Roman" w:hAnsi="Times New Roman"/>
          <w:sz w:val="19"/>
          <w:szCs w:val="19"/>
          <w:b w:val="1"/>
          <w:bCs w:val="1"/>
          <w:color w:val="auto"/>
        </w:rPr>
        <w:t>Environmental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66" w:lineRule="auto"/>
        <w:tabs>
          <w:tab w:leader="none" w:pos="1776"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Loan Parties have reasonably concluded that such Environmental Laws and claims could not, individually or in the aggregate, reasonably be expected to have a Material Adverse Effect.</w:t>
      </w:r>
    </w:p>
    <w:p>
      <w:pPr>
        <w:spacing w:after="0" w:line="165" w:lineRule="exact"/>
        <w:rPr>
          <w:rFonts w:ascii="Times New Roman" w:cs="Times New Roman" w:eastAsia="Times New Roman" w:hAnsi="Times New Roman"/>
          <w:sz w:val="19"/>
          <w:szCs w:val="19"/>
          <w:color w:val="auto"/>
        </w:rPr>
      </w:pPr>
    </w:p>
    <w:p>
      <w:pPr>
        <w:jc w:val="both"/>
        <w:ind w:left="660" w:firstLine="645"/>
        <w:spacing w:after="0" w:line="258" w:lineRule="auto"/>
        <w:tabs>
          <w:tab w:leader="none" w:pos="1746"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which could reasonably be expect to have a Material Adverse Effect; and to the actual knowledge of any of Borrower’s (i) President and Chief Executive Officer, or (ii) Executive Vice President, Chief Financial and Administrative Officer, Secretary and Treasurer, all Hazardous Materials generated, used, treated, handled or stored at, or transported to or from, any property currently or formerly owned or operated by any Loan Party or any of its Subsidiaries have been disposed of in a manner which could not reasonably expected to result in a Material Adverse Effect.</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The properties of the Borrower and its Subsidiaries are insured with financially sound and reputable insurance companies not Affiliates of the Borrower, in such amounts (after giving effect to any self-insurance compatible with the following standards), with such deductibles and covering such risks as are customarily carried by companies engaged in similar businesses and owning similar properties in localities where the applicable Loan Party or the applicable Subsidiary operates.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Each Loan Party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nor is there any tax sharing agreement applicable to the Borrower or any Subsidiary.</w:t>
      </w:r>
    </w:p>
    <w:p>
      <w:pPr>
        <w:sectPr>
          <w:pgSz w:w="11900" w:h="16838" w:orient="portrait"/>
          <w:cols w:equalWidth="0" w:num="1">
            <w:col w:w="11420"/>
          </w:cols>
          <w:pgMar w:left="240" w:top="562" w:right="239" w:bottom="1440" w:gutter="0" w:footer="0" w:header="0"/>
        </w:sectPr>
      </w:pPr>
    </w:p>
    <w:bookmarkStart w:id="145" w:name="page146"/>
    <w:bookmarkEnd w:id="145"/>
    <w:p>
      <w:pPr>
        <w:ind w:left="4"/>
        <w:spacing w:after="0"/>
        <w:tabs>
          <w:tab w:leader="none" w:pos="503"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b w:val="1"/>
          <w:bCs w:val="1"/>
          <w:color w:val="auto"/>
        </w:rPr>
        <w:t>ERISA Compliance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4" w:firstLine="645"/>
        <w:spacing w:after="0" w:line="245" w:lineRule="auto"/>
        <w:tabs>
          <w:tab w:leader="none" w:pos="1052"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Plan is in compliance in all material respects with the applicable provisions of ERISA, the Code and other federal or state laws. Each Pension Plan that is intended to be a qualified plan under </w:t>
      </w:r>
      <w:r>
        <w:rPr>
          <w:rFonts w:ascii="Times New Roman" w:cs="Times New Roman" w:eastAsia="Times New Roman" w:hAnsi="Times New Roman"/>
          <w:sz w:val="20"/>
          <w:szCs w:val="20"/>
          <w:i w:val="1"/>
          <w:iCs w:val="1"/>
          <w:color w:val="auto"/>
        </w:rPr>
        <w:t>Section 401(a)</w:t>
      </w:r>
      <w:r>
        <w:rPr>
          <w:rFonts w:ascii="Times New Roman" w:cs="Times New Roman" w:eastAsia="Times New Roman" w:hAnsi="Times New Roman"/>
          <w:sz w:val="20"/>
          <w:szCs w:val="20"/>
          <w:color w:val="auto"/>
        </w:rPr>
        <w:t xml:space="preserve"> of the Code has received a favorable determination letter or is subject to a favorable opinion letter from the IRS to the effect that the form of such Plan is qualified under </w:t>
      </w:r>
      <w:r>
        <w:rPr>
          <w:rFonts w:ascii="Times New Roman" w:cs="Times New Roman" w:eastAsia="Times New Roman" w:hAnsi="Times New Roman"/>
          <w:sz w:val="20"/>
          <w:szCs w:val="20"/>
          <w:i w:val="1"/>
          <w:iCs w:val="1"/>
          <w:color w:val="auto"/>
        </w:rPr>
        <w:t xml:space="preserve">Section 401(a) </w:t>
      </w:r>
      <w:r>
        <w:rPr>
          <w:rFonts w:ascii="Times New Roman" w:cs="Times New Roman" w:eastAsia="Times New Roman" w:hAnsi="Times New Roman"/>
          <w:sz w:val="20"/>
          <w:szCs w:val="20"/>
          <w:color w:val="auto"/>
        </w:rPr>
        <w:t>of the Code and the trust related thereto has been determined by the IRS to be exempt from federal income tax under</w:t>
      </w:r>
      <w:r>
        <w:rPr>
          <w:rFonts w:ascii="Times New Roman" w:cs="Times New Roman" w:eastAsia="Times New Roman" w:hAnsi="Times New Roman"/>
          <w:sz w:val="20"/>
          <w:szCs w:val="20"/>
          <w:i w:val="1"/>
          <w:iCs w:val="1"/>
          <w:color w:val="auto"/>
        </w:rPr>
        <w:t xml:space="preserve"> Section 501(a) </w:t>
      </w:r>
      <w:r>
        <w:rPr>
          <w:rFonts w:ascii="Times New Roman" w:cs="Times New Roman" w:eastAsia="Times New Roman" w:hAnsi="Times New Roman"/>
          <w:sz w:val="20"/>
          <w:szCs w:val="20"/>
          <w:color w:val="auto"/>
        </w:rPr>
        <w:t>of the Code, or an application for such a letter is currently being processed by the IRS. To the best knowledge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Parties, nothing has occurred that would prevent or cause the loss of such tax-qualified status.</w:t>
      </w:r>
    </w:p>
    <w:p>
      <w:pPr>
        <w:spacing w:after="0" w:line="185" w:lineRule="exact"/>
        <w:rPr>
          <w:rFonts w:ascii="Times New Roman" w:cs="Times New Roman" w:eastAsia="Times New Roman" w:hAnsi="Times New Roman"/>
          <w:sz w:val="20"/>
          <w:szCs w:val="20"/>
          <w:color w:val="auto"/>
        </w:rPr>
      </w:pPr>
    </w:p>
    <w:p>
      <w:pPr>
        <w:jc w:val="both"/>
        <w:ind w:left="4" w:firstLine="645"/>
        <w:spacing w:after="0" w:line="249" w:lineRule="auto"/>
        <w:tabs>
          <w:tab w:leader="none" w:pos="1117"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0" w:lineRule="exact"/>
        <w:rPr>
          <w:rFonts w:ascii="Times New Roman" w:cs="Times New Roman" w:eastAsia="Times New Roman" w:hAnsi="Times New Roman"/>
          <w:sz w:val="20"/>
          <w:szCs w:val="20"/>
          <w:color w:val="auto"/>
        </w:rPr>
      </w:pPr>
    </w:p>
    <w:p>
      <w:pPr>
        <w:jc w:val="both"/>
        <w:ind w:left="4" w:firstLine="645"/>
        <w:spacing w:after="0" w:line="242" w:lineRule="auto"/>
        <w:tabs>
          <w:tab w:leader="none" w:pos="1052"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and no Loan Party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 (iv) no Loan Party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8" w:lineRule="exact"/>
        <w:rPr>
          <w:rFonts w:ascii="Times New Roman" w:cs="Times New Roman" w:eastAsia="Times New Roman" w:hAnsi="Times New Roman"/>
          <w:sz w:val="20"/>
          <w:szCs w:val="20"/>
          <w:color w:val="auto"/>
        </w:rPr>
      </w:pPr>
    </w:p>
    <w:p>
      <w:pPr>
        <w:jc w:val="both"/>
        <w:ind w:left="4" w:firstLine="645"/>
        <w:spacing w:after="0" w:line="264" w:lineRule="auto"/>
        <w:tabs>
          <w:tab w:leader="none" w:pos="1076"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the Borrower nor any ERISA Affiliate maintains or contributes to, or has any unsatisfied obligation to contribute to, or liability under, any active or terminated Pension Plan other than (i) on the Closing Date, those listed on </w:t>
      </w:r>
      <w:r>
        <w:rPr>
          <w:rFonts w:ascii="Times New Roman" w:cs="Times New Roman" w:eastAsia="Times New Roman" w:hAnsi="Times New Roman"/>
          <w:sz w:val="19"/>
          <w:szCs w:val="19"/>
          <w:b w:val="1"/>
          <w:bCs w:val="1"/>
          <w:i w:val="1"/>
          <w:iCs w:val="1"/>
          <w:color w:val="auto"/>
        </w:rPr>
        <w:t>Schedule 5.12</w:t>
      </w:r>
      <w:r>
        <w:rPr>
          <w:rFonts w:ascii="Times New Roman" w:cs="Times New Roman" w:eastAsia="Times New Roman" w:hAnsi="Times New Roman"/>
          <w:sz w:val="19"/>
          <w:szCs w:val="19"/>
          <w:color w:val="auto"/>
        </w:rPr>
        <w:t xml:space="preserve"> hereto and</w:t>
      </w:r>
    </w:p>
    <w:p>
      <w:pPr>
        <w:ind w:left="284" w:hanging="284"/>
        <w:spacing w:after="0"/>
        <w:tabs>
          <w:tab w:leader="none" w:pos="2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 Pension Plans not otherwise prohibited by this Agreement.</w:t>
      </w:r>
    </w:p>
    <w:p>
      <w:pPr>
        <w:spacing w:after="0" w:line="189" w:lineRule="exact"/>
        <w:rPr>
          <w:rFonts w:ascii="Times New Roman" w:cs="Times New Roman" w:eastAsia="Times New Roman" w:hAnsi="Times New Roman"/>
          <w:sz w:val="20"/>
          <w:szCs w:val="20"/>
          <w:color w:val="auto"/>
        </w:rPr>
      </w:pPr>
    </w:p>
    <w:p>
      <w:pPr>
        <w:jc w:val="both"/>
        <w:ind w:left="4" w:firstLine="645"/>
        <w:spacing w:after="0" w:line="256" w:lineRule="auto"/>
        <w:tabs>
          <w:tab w:leader="none" w:pos="1065"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represents and warrants as of the Closing Date that the Borrower is not and will not be using “</w:t>
      </w:r>
      <w:r>
        <w:rPr>
          <w:rFonts w:ascii="Times New Roman" w:cs="Times New Roman" w:eastAsia="Times New Roman" w:hAnsi="Times New Roman"/>
          <w:sz w:val="20"/>
          <w:szCs w:val="20"/>
          <w:i w:val="1"/>
          <w:iCs w:val="1"/>
          <w:color w:val="auto"/>
        </w:rPr>
        <w:t>plan assets</w:t>
      </w:r>
      <w:r>
        <w:rPr>
          <w:rFonts w:ascii="Times New Roman" w:cs="Times New Roman" w:eastAsia="Times New Roman" w:hAnsi="Times New Roman"/>
          <w:sz w:val="20"/>
          <w:szCs w:val="20"/>
          <w:color w:val="auto"/>
        </w:rPr>
        <w:t xml:space="preserve">” (within the meaning of </w:t>
      </w:r>
      <w:r>
        <w:rPr>
          <w:rFonts w:ascii="Times New Roman" w:cs="Times New Roman" w:eastAsia="Times New Roman" w:hAnsi="Times New Roman"/>
          <w:sz w:val="20"/>
          <w:szCs w:val="20"/>
          <w:i w:val="1"/>
          <w:iCs w:val="1"/>
          <w:color w:val="auto"/>
        </w:rPr>
        <w:t>Section 3(42)</w:t>
      </w:r>
      <w:r>
        <w:rPr>
          <w:rFonts w:ascii="Times New Roman" w:cs="Times New Roman" w:eastAsia="Times New Roman" w:hAnsi="Times New Roman"/>
          <w:sz w:val="20"/>
          <w:szCs w:val="20"/>
          <w:color w:val="auto"/>
        </w:rPr>
        <w:t xml:space="preserve"> of ERISA or otherwise) of one or more Benefit Plans with respect to the Borrower’s entrance into, participation in, administration of and performance of the Loans, the Letters of Credit, the Commitments or this Agreement.</w:t>
      </w:r>
    </w:p>
    <w:p>
      <w:pPr>
        <w:spacing w:after="0" w:line="169" w:lineRule="exact"/>
        <w:rPr>
          <w:sz w:val="20"/>
          <w:szCs w:val="20"/>
          <w:color w:val="auto"/>
        </w:rPr>
      </w:pPr>
    </w:p>
    <w:p>
      <w:pPr>
        <w:ind w:left="4"/>
        <w:spacing w:after="0"/>
        <w:tabs>
          <w:tab w:leader="none" w:pos="503"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b w:val="1"/>
          <w:bCs w:val="1"/>
          <w:color w:val="auto"/>
        </w:rPr>
        <w:t>Margin Regulations; Investment Company Act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4" w:firstLine="645"/>
        <w:spacing w:after="0" w:line="256" w:lineRule="auto"/>
        <w:tabs>
          <w:tab w:leader="none" w:pos="106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Margin Regulations</w:t>
      </w:r>
      <w:r>
        <w:rPr>
          <w:rFonts w:ascii="Times New Roman" w:cs="Times New Roman" w:eastAsia="Times New Roman" w:hAnsi="Times New Roman"/>
          <w:sz w:val="20"/>
          <w:szCs w:val="20"/>
          <w:color w:val="auto"/>
        </w:rPr>
        <w:t>. Neither the Borrower nor any of its Subsidiaries is engaged or will engage, principally or as one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important activities, in the business of purchasing or carrying margin stock (within the meaning of Regulation U issued by the FRB), or extending credit</w:t>
      </w:r>
    </w:p>
    <w:p>
      <w:pPr>
        <w:sectPr>
          <w:pgSz w:w="11900" w:h="16838" w:orient="portrait"/>
          <w:cols w:equalWidth="0" w:num="1">
            <w:col w:w="10764"/>
          </w:cols>
          <w:pgMar w:left="896" w:top="558" w:right="239" w:bottom="1440" w:gutter="0" w:footer="0" w:header="0"/>
        </w:sectPr>
      </w:pPr>
    </w:p>
    <w:bookmarkStart w:id="146" w:name="page147"/>
    <w:bookmarkEnd w:id="146"/>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 xml:space="preserve">for the purpose of purchasing or carrying margin stock. Following the application of the proceeds of each Borrowing or drawing under each Letter of Credit, not more than twenty-five percent (25%) of the value of the assets (either of the Borrower only or of the Borrower and its Subsidiaries on a Consolidated basis) subject to the provisions of </w:t>
      </w:r>
      <w:r>
        <w:rPr>
          <w:rFonts w:ascii="Times New Roman" w:cs="Times New Roman" w:eastAsia="Times New Roman" w:hAnsi="Times New Roman"/>
          <w:sz w:val="20"/>
          <w:szCs w:val="20"/>
          <w:b w:val="1"/>
          <w:bCs w:val="1"/>
          <w:i w:val="1"/>
          <w:iCs w:val="1"/>
          <w:color w:val="auto"/>
        </w:rPr>
        <w:t>Section 7.01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 7.05</w:t>
      </w:r>
      <w:r>
        <w:rPr>
          <w:rFonts w:ascii="Times New Roman" w:cs="Times New Roman" w:eastAsia="Times New Roman" w:hAnsi="Times New Roman"/>
          <w:sz w:val="20"/>
          <w:szCs w:val="20"/>
          <w:color w:val="auto"/>
        </w:rPr>
        <w:t xml:space="preserve"> or subject to any restriction contained in any agreement or instrument between the Borrower or any of its Subsidiaries and any Lender or any Affiliate of any Lender relating to Indebtedness and within the scope of </w:t>
      </w:r>
      <w:r>
        <w:rPr>
          <w:rFonts w:ascii="Times New Roman" w:cs="Times New Roman" w:eastAsia="Times New Roman" w:hAnsi="Times New Roman"/>
          <w:sz w:val="20"/>
          <w:szCs w:val="20"/>
          <w:b w:val="1"/>
          <w:bCs w:val="1"/>
          <w:i w:val="1"/>
          <w:iCs w:val="1"/>
          <w:color w:val="auto"/>
        </w:rPr>
        <w:t>Section 8.01(e)</w:t>
      </w:r>
      <w:r>
        <w:rPr>
          <w:rFonts w:ascii="Times New Roman" w:cs="Times New Roman" w:eastAsia="Times New Roman" w:hAnsi="Times New Roman"/>
          <w:sz w:val="20"/>
          <w:szCs w:val="20"/>
          <w:color w:val="auto"/>
        </w:rPr>
        <w:t xml:space="preserve"> will be margin stock.</w:t>
      </w:r>
    </w:p>
    <w:p>
      <w:pPr>
        <w:spacing w:after="0" w:line="177" w:lineRule="exact"/>
        <w:rPr>
          <w:sz w:val="20"/>
          <w:szCs w:val="20"/>
          <w:color w:val="auto"/>
        </w:rPr>
      </w:pPr>
    </w:p>
    <w:p>
      <w:pPr>
        <w:ind w:left="660" w:right="20" w:firstLine="645"/>
        <w:spacing w:after="0" w:line="273" w:lineRule="auto"/>
        <w:tabs>
          <w:tab w:leader="none" w:pos="182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Company Act</w:t>
      </w:r>
      <w:r>
        <w:rPr>
          <w:rFonts w:ascii="Times New Roman" w:cs="Times New Roman" w:eastAsia="Times New Roman" w:hAnsi="Times New Roman"/>
          <w:sz w:val="20"/>
          <w:szCs w:val="20"/>
          <w:color w:val="auto"/>
        </w:rPr>
        <w:t>. None of the Borrower, any Person Controlling the Borrower, or any Subsidiary is or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be registered as an “investment company” under the Investment Company Act of 1940.</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b w:val="1"/>
          <w:bCs w:val="1"/>
          <w:color w:val="auto"/>
        </w:rPr>
        <w:t>Disclosure</w:t>
      </w:r>
      <w:r>
        <w:rPr>
          <w:rFonts w:ascii="Times New Roman" w:cs="Times New Roman" w:eastAsia="Times New Roman" w:hAnsi="Times New Roman"/>
          <w:sz w:val="20"/>
          <w:szCs w:val="20"/>
          <w:color w:val="auto"/>
        </w:rPr>
        <w:t>. The Borrower has disclosed to the Administrative Agent and the Lenders all agreements, instruments and corporate or other restrictions to which it or any of its Subsidiaries or any other Loan Party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each Loan Party represents only that such information was prepared in good faith based upon assumptions believed to be reasonable at the time.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5.15 </w:t>
      </w:r>
      <w:r>
        <w:rPr>
          <w:rFonts w:ascii="Times New Roman" w:cs="Times New Roman" w:eastAsia="Times New Roman" w:hAnsi="Times New Roman"/>
          <w:sz w:val="20"/>
          <w:szCs w:val="20"/>
          <w:b w:val="1"/>
          <w:bCs w:val="1"/>
          <w:color w:val="auto"/>
        </w:rPr>
        <w:t>Compliance with Laws</w:t>
      </w:r>
      <w:r>
        <w:rPr>
          <w:rFonts w:ascii="Times New Roman" w:cs="Times New Roman" w:eastAsia="Times New Roman" w:hAnsi="Times New Roman"/>
          <w:sz w:val="20"/>
          <w:szCs w:val="20"/>
          <w:color w:val="auto"/>
        </w:rPr>
        <w:t>. Each Loan Party and each Subsidiary thereof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b w:val="1"/>
          <w:bCs w:val="1"/>
          <w:color w:val="auto"/>
        </w:rPr>
        <w:t>Solvency</w:t>
      </w:r>
      <w:r>
        <w:rPr>
          <w:rFonts w:ascii="Times New Roman" w:cs="Times New Roman" w:eastAsia="Times New Roman" w:hAnsi="Times New Roman"/>
          <w:sz w:val="19"/>
          <w:szCs w:val="19"/>
          <w:color w:val="auto"/>
        </w:rPr>
        <w:t>. Each Loan Party is, individually and together with its Subsidiaries on a Consolidated basis, Solvent.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b w:val="1"/>
          <w:bCs w:val="1"/>
          <w:color w:val="auto"/>
        </w:rPr>
        <w:t>Casualty, Etc</w:t>
      </w:r>
      <w:r>
        <w:rPr>
          <w:rFonts w:ascii="Times New Roman" w:cs="Times New Roman" w:eastAsia="Times New Roman" w:hAnsi="Times New Roman"/>
          <w:sz w:val="20"/>
          <w:szCs w:val="20"/>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19"/>
          <w:szCs w:val="19"/>
          <w:b w:val="1"/>
          <w:bCs w:val="1"/>
          <w:color w:val="auto"/>
        </w:rPr>
        <w:t>Sanctions Concerns and Anti-Corruption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6" w:lineRule="auto"/>
        <w:tabs>
          <w:tab w:leader="none" w:pos="170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Sanctions Concerns</w:t>
      </w:r>
      <w:r>
        <w:rPr>
          <w:rFonts w:ascii="Times New Roman" w:cs="Times New Roman" w:eastAsia="Times New Roman" w:hAnsi="Times New Roman"/>
          <w:sz w:val="20"/>
          <w:szCs w:val="20"/>
          <w:color w:val="auto"/>
        </w:rPr>
        <w:t>. No Loan Party, nor any Subsidiary, nor, to the knowledge of the Loan Parties and their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w:t>
      </w:r>
    </w:p>
    <w:p>
      <w:pPr>
        <w:sectPr>
          <w:pgSz w:w="11900" w:h="16838" w:orient="portrait"/>
          <w:cols w:equalWidth="0" w:num="1">
            <w:col w:w="11420"/>
          </w:cols>
          <w:pgMar w:left="240" w:top="562" w:right="239" w:bottom="1440" w:gutter="0" w:footer="0" w:header="0"/>
        </w:sectPr>
      </w:pPr>
    </w:p>
    <w:bookmarkStart w:id="147" w:name="page148"/>
    <w:bookmarkEnd w:id="147"/>
    <w:p>
      <w:pPr>
        <w:ind w:left="660" w:right="20"/>
        <w:spacing w:after="0" w:line="269" w:lineRule="auto"/>
        <w:rPr>
          <w:sz w:val="20"/>
          <w:szCs w:val="20"/>
          <w:color w:val="auto"/>
        </w:rPr>
      </w:pPr>
      <w:r>
        <w:rPr>
          <w:rFonts w:ascii="Times New Roman" w:cs="Times New Roman" w:eastAsia="Times New Roman" w:hAnsi="Times New Roman"/>
          <w:sz w:val="20"/>
          <w:szCs w:val="20"/>
          <w:color w:val="auto"/>
        </w:rPr>
        <w:t>their businesses in compliance with all applicable Sanctions and have instituted and maintained policies and procedures designed to promote and achieve compliance with such Sanctions.</w:t>
      </w:r>
    </w:p>
    <w:p>
      <w:pPr>
        <w:spacing w:after="0" w:line="156" w:lineRule="exact"/>
        <w:rPr>
          <w:sz w:val="20"/>
          <w:szCs w:val="20"/>
          <w:color w:val="auto"/>
        </w:rPr>
      </w:pPr>
    </w:p>
    <w:p>
      <w:pPr>
        <w:jc w:val="both"/>
        <w:ind w:left="660" w:firstLine="645"/>
        <w:spacing w:after="0" w:line="250" w:lineRule="auto"/>
        <w:tabs>
          <w:tab w:leader="none" w:pos="182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The Loan Parties and their Subsidiaries have conducted their business in compliance 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5.19 </w:t>
      </w:r>
      <w:r>
        <w:rPr>
          <w:rFonts w:ascii="Times New Roman" w:cs="Times New Roman" w:eastAsia="Times New Roman" w:hAnsi="Times New Roman"/>
          <w:sz w:val="20"/>
          <w:szCs w:val="20"/>
          <w:b w:val="1"/>
          <w:bCs w:val="1"/>
          <w:color w:val="auto"/>
        </w:rPr>
        <w:t>Responsible Officers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b w:val="1"/>
          <w:bCs w:val="1"/>
          <w:i w:val="1"/>
          <w:iCs w:val="1"/>
          <w:color w:val="auto"/>
        </w:rPr>
        <w:t>Schedule 1.01(c)</w:t>
      </w:r>
      <w:r>
        <w:rPr>
          <w:rFonts w:ascii="Times New Roman" w:cs="Times New Roman" w:eastAsia="Times New Roman" w:hAnsi="Times New Roman"/>
          <w:sz w:val="20"/>
          <w:szCs w:val="20"/>
          <w:color w:val="auto"/>
        </w:rPr>
        <w:t xml:space="preserve"> are Responsible Officers, holding the offices indicated next to their respective names, as of the Closing Date and as of the last date such </w:t>
      </w:r>
      <w:r>
        <w:rPr>
          <w:rFonts w:ascii="Times New Roman" w:cs="Times New Roman" w:eastAsia="Times New Roman" w:hAnsi="Times New Roman"/>
          <w:sz w:val="20"/>
          <w:szCs w:val="20"/>
          <w:b w:val="1"/>
          <w:bCs w:val="1"/>
          <w:i w:val="1"/>
          <w:iCs w:val="1"/>
          <w:color w:val="auto"/>
        </w:rPr>
        <w:t>Schedule 1.01(c)</w:t>
      </w:r>
      <w:r>
        <w:rPr>
          <w:rFonts w:ascii="Times New Roman" w:cs="Times New Roman" w:eastAsia="Times New Roman" w:hAnsi="Times New Roman"/>
          <w:sz w:val="20"/>
          <w:szCs w:val="20"/>
          <w:color w:val="auto"/>
        </w:rPr>
        <w:t xml:space="preserve"> was required to be updated in accordance with </w:t>
      </w:r>
      <w:r>
        <w:rPr>
          <w:rFonts w:ascii="Times New Roman" w:cs="Times New Roman" w:eastAsia="Times New Roman" w:hAnsi="Times New Roman"/>
          <w:sz w:val="20"/>
          <w:szCs w:val="20"/>
          <w:b w:val="1"/>
          <w:bCs w:val="1"/>
          <w:i w:val="1"/>
          <w:iCs w:val="1"/>
          <w:color w:val="auto"/>
        </w:rPr>
        <w:t>Sections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6.13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6.14 </w:t>
      </w:r>
      <w:r>
        <w:rPr>
          <w:rFonts w:ascii="Times New Roman" w:cs="Times New Roman" w:eastAsia="Times New Roman" w:hAnsi="Times New Roman"/>
          <w:sz w:val="20"/>
          <w:szCs w:val="20"/>
          <w:color w:val="auto"/>
        </w:rPr>
        <w:t>and such Responsible Officers are the duly elected and qualified officers of such Loan Party and are duly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authorized to execute and deliver, on behalf of the respective Loan Party, this Agreement, the Notes and the other Loan Documents.</w:t>
      </w:r>
    </w:p>
    <w:p>
      <w:pPr>
        <w:spacing w:after="0" w:line="1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19"/>
          <w:szCs w:val="19"/>
          <w:b w:val="1"/>
          <w:bCs w:val="1"/>
          <w:color w:val="auto"/>
        </w:rPr>
        <w:t>Subsidiaries; Equity Interests; Loan Parties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2" w:lineRule="auto"/>
        <w:tabs>
          <w:tab w:leader="none" w:pos="1776"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Subsidiaries, Joint Ventures, Partnerships and Equity Investments</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Schedule 5.20(a)</w:t>
      </w:r>
      <w:r>
        <w:rPr>
          <w:rFonts w:ascii="Times New Roman" w:cs="Times New Roman" w:eastAsia="Times New Roman" w:hAnsi="Times New Roman"/>
          <w:sz w:val="20"/>
          <w:szCs w:val="20"/>
          <w:color w:val="auto"/>
        </w:rPr>
        <w:t>, is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which is true and complete in all respects as of the Closing Date and as of the last date such Schedule was required to be updated in accordance with </w:t>
      </w:r>
      <w:r>
        <w:rPr>
          <w:rFonts w:ascii="Times New Roman" w:cs="Times New Roman" w:eastAsia="Times New Roman" w:hAnsi="Times New Roman"/>
          <w:sz w:val="20"/>
          <w:szCs w:val="20"/>
          <w:b w:val="1"/>
          <w:bCs w:val="1"/>
          <w:i w:val="1"/>
          <w:iCs w:val="1"/>
          <w:color w:val="auto"/>
        </w:rPr>
        <w:t>Sections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6.14</w:t>
      </w:r>
      <w:r>
        <w:rPr>
          <w:rFonts w:ascii="Times New Roman" w:cs="Times New Roman" w:eastAsia="Times New Roman" w:hAnsi="Times New Roman"/>
          <w:sz w:val="20"/>
          <w:szCs w:val="20"/>
          <w:color w:val="auto"/>
        </w:rPr>
        <w:t xml:space="preserve">: (i) a complete and accurate list of all Subsidiaries, joint ventures and partnerships and other equity investments of the Loan Parties as of the Closing Date and as of the last date such Schedule was required to be updated in accordance with </w:t>
      </w:r>
      <w:r>
        <w:rPr>
          <w:rFonts w:ascii="Times New Roman" w:cs="Times New Roman" w:eastAsia="Times New Roman" w:hAnsi="Times New Roman"/>
          <w:sz w:val="20"/>
          <w:szCs w:val="20"/>
          <w:b w:val="1"/>
          <w:bCs w:val="1"/>
          <w:i w:val="1"/>
          <w:iCs w:val="1"/>
          <w:color w:val="auto"/>
        </w:rPr>
        <w:t>Sections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6.14</w:t>
      </w:r>
      <w:r>
        <w:rPr>
          <w:rFonts w:ascii="Times New Roman" w:cs="Times New Roman" w:eastAsia="Times New Roman" w:hAnsi="Times New Roman"/>
          <w:sz w:val="20"/>
          <w:szCs w:val="20"/>
          <w:color w:val="auto"/>
        </w:rPr>
        <w:t>, (ii) the number of shares of each class of Equity Interests in each Subsidiary outstanding, (iii) the number and percentage of outstanding shares of each class of Equity Interests owned by the Loan Parties and their Subsidiaries and (iv) the class or nature of such Equity Interests (i.e., voting, non-voting, preferred, etc.). The outstanding Equity Interests in all Subsidiaries are validly issued, fully paid and non-assessable and are owned free and clear of all Liens. There are no outstanding subscriptions, options, warrants, calls, rights or other agreements or commitments (other than stock options granted to employees or directors and directors’ qualifying shares) of any nature relating to the Equity Interests of any Loan Party or any Subsidiary thereof, except as contemplated in connection with the Loan Documents.</w:t>
      </w:r>
    </w:p>
    <w:p>
      <w:pPr>
        <w:spacing w:after="0" w:line="190"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719"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Schedule 5.20(b)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 complete and accurate list of all Loan Parties, showing as of the Closing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Date, or as of the last date such Schedule was required to be updated in accordance with </w:t>
      </w:r>
      <w:r>
        <w:rPr>
          <w:rFonts w:ascii="Times New Roman" w:cs="Times New Roman" w:eastAsia="Times New Roman" w:hAnsi="Times New Roman"/>
          <w:sz w:val="20"/>
          <w:szCs w:val="20"/>
          <w:b w:val="1"/>
          <w:bCs w:val="1"/>
          <w:i w:val="1"/>
          <w:iCs w:val="1"/>
          <w:color w:val="auto"/>
        </w:rPr>
        <w:t>Sections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6.14</w:t>
      </w:r>
      <w:r>
        <w:rPr>
          <w:rFonts w:ascii="Times New Roman" w:cs="Times New Roman" w:eastAsia="Times New Roman" w:hAnsi="Times New Roman"/>
          <w:sz w:val="20"/>
          <w:szCs w:val="20"/>
          <w:color w:val="auto"/>
        </w:rPr>
        <w:t>, (as to each Loan Party) (i) the exact legal name, (ii) any former legal names of such Loan Party in the four months prior to the Closing Date, (iii) the jurisdiction of its incorporation or organization, as applicable, (iv) the type of organization, (v) the jurisdictions in which such Loan Party is qualified to do business, (vi) the address of its chief executive office, (vii) the address of its principal place of business,</w:t>
      </w:r>
    </w:p>
    <w:p>
      <w:pPr>
        <w:jc w:val="both"/>
        <w:ind w:left="660" w:hanging="4"/>
        <w:spacing w:after="0" w:line="241" w:lineRule="auto"/>
        <w:tabs>
          <w:tab w:leader="none" w:pos="112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U.S. federal taxpayer identification number or, in the case of any non-U.S. Loan Party that does not have a U.S. taxpayer identification number, its unique identification number issued to it by the jurisdiction of its incorporation or organization, (ix) the organization identification number, (x) ownership information (e.g., publicly held or if private or partnership, the owners and partners of each of the Loan Parties) and (xi) the industry or nature of business of such Loan Party.</w:t>
      </w:r>
    </w:p>
    <w:p>
      <w:pPr>
        <w:sectPr>
          <w:pgSz w:w="11900" w:h="16838" w:orient="portrait"/>
          <w:cols w:equalWidth="0" w:num="1">
            <w:col w:w="11420"/>
          </w:cols>
          <w:pgMar w:left="240" w:top="562" w:right="239" w:bottom="1440" w:gutter="0" w:footer="0" w:header="0"/>
        </w:sectPr>
      </w:pPr>
    </w:p>
    <w:bookmarkStart w:id="148" w:name="page149"/>
    <w:bookmarkEnd w:id="148"/>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19"/>
          <w:szCs w:val="19"/>
          <w:b w:val="1"/>
          <w:bCs w:val="1"/>
          <w:color w:val="auto"/>
        </w:rPr>
        <w:t>Collateral Representations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8" w:lineRule="auto"/>
        <w:tabs>
          <w:tab w:leader="none" w:pos="1735"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The provisions of the Collateral Documents are effective to create in favor of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3" w:lineRule="auto"/>
        <w:tabs>
          <w:tab w:leader="none" w:pos="1908"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Pledged Equity Interests</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Schedule 5.21(b)</w:t>
      </w:r>
      <w:r>
        <w:rPr>
          <w:rFonts w:ascii="Times New Roman" w:cs="Times New Roman" w:eastAsia="Times New Roman" w:hAnsi="Times New Roman"/>
          <w:sz w:val="20"/>
          <w:szCs w:val="20"/>
          <w:color w:val="auto"/>
        </w:rPr>
        <w:t>, as of the Closing Date and as of the last date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 xml:space="preserve">Schedule 5.21(b) </w:t>
      </w:r>
      <w:r>
        <w:rPr>
          <w:rFonts w:ascii="Times New Roman" w:cs="Times New Roman" w:eastAsia="Times New Roman" w:hAnsi="Times New Roman"/>
          <w:sz w:val="20"/>
          <w:szCs w:val="20"/>
          <w:color w:val="auto"/>
        </w:rPr>
        <w:t>was required to be updated in accordance with</w:t>
      </w:r>
      <w:r>
        <w:rPr>
          <w:rFonts w:ascii="Times New Roman" w:cs="Times New Roman" w:eastAsia="Times New Roman" w:hAnsi="Times New Roman"/>
          <w:sz w:val="20"/>
          <w:szCs w:val="20"/>
          <w:b w:val="1"/>
          <w:bCs w:val="1"/>
          <w:i w:val="1"/>
          <w:iCs w:val="1"/>
          <w:color w:val="auto"/>
        </w:rPr>
        <w:t xml:space="preserve"> Sections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6.13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6.14</w:t>
      </w:r>
      <w:r>
        <w:rPr>
          <w:rFonts w:ascii="Times New Roman" w:cs="Times New Roman" w:eastAsia="Times New Roman" w:hAnsi="Times New Roman"/>
          <w:sz w:val="20"/>
          <w:szCs w:val="20"/>
          <w:color w:val="auto"/>
        </w:rPr>
        <w:t>, is a list of (i) all Pledged Equity and</w:t>
      </w:r>
    </w:p>
    <w:p>
      <w:pPr>
        <w:jc w:val="both"/>
        <w:ind w:left="660" w:hanging="4"/>
        <w:spacing w:after="0" w:line="241" w:lineRule="auto"/>
        <w:tabs>
          <w:tab w:leader="none" w:pos="96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Equity Interests required to be pledged to the Administrative Agent pursuant to the Collateral Documents (in each case, detailing the Grantor (as defined in the Security Agreement), the Person whose Equity Interests are pledged, the number of shares of each class of Equity Interests, the certificate number and percentage ownership of outstanding shares of each class of Equity Interests and the class or nature of such Equity Interests (i.e., voting, non-voting, preferred, etc.)).</w:t>
      </w:r>
    </w:p>
    <w:p>
      <w:pPr>
        <w:spacing w:after="0" w:line="18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Times New Roman" w:cs="Times New Roman" w:eastAsia="Times New Roman" w:hAnsi="Times New Roman"/>
          <w:sz w:val="19"/>
          <w:szCs w:val="19"/>
          <w:b w:val="1"/>
          <w:bCs w:val="1"/>
          <w:color w:val="auto"/>
        </w:rPr>
        <w:t>EEA Financial Institutions</w:t>
      </w:r>
      <w:r>
        <w:rPr>
          <w:rFonts w:ascii="Times New Roman" w:cs="Times New Roman" w:eastAsia="Times New Roman" w:hAnsi="Times New Roman"/>
          <w:sz w:val="19"/>
          <w:szCs w:val="19"/>
          <w:color w:val="auto"/>
        </w:rPr>
        <w:t>. No Loan Party is an EEA Financial Institution.</w:t>
      </w:r>
    </w:p>
    <w:p>
      <w:pPr>
        <w:spacing w:after="0" w:line="21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5.23</w:t>
      </w:r>
      <w:r>
        <w:rPr>
          <w:sz w:val="20"/>
          <w:szCs w:val="20"/>
          <w:color w:val="auto"/>
        </w:rPr>
        <w:tab/>
      </w:r>
      <w:r>
        <w:rPr>
          <w:rFonts w:ascii="Times New Roman" w:cs="Times New Roman" w:eastAsia="Times New Roman" w:hAnsi="Times New Roman"/>
          <w:sz w:val="19"/>
          <w:szCs w:val="19"/>
          <w:b w:val="1"/>
          <w:bCs w:val="1"/>
          <w:color w:val="auto"/>
        </w:rPr>
        <w:t>Covered Entities</w:t>
      </w:r>
      <w:r>
        <w:rPr>
          <w:rFonts w:ascii="Times New Roman" w:cs="Times New Roman" w:eastAsia="Times New Roman" w:hAnsi="Times New Roman"/>
          <w:sz w:val="19"/>
          <w:szCs w:val="19"/>
          <w:color w:val="auto"/>
        </w:rPr>
        <w:t>. No Loan Party is a Covered Entity.</w:t>
      </w:r>
    </w:p>
    <w:p>
      <w:pPr>
        <w:spacing w:after="0" w:line="216"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5.24 </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The information included in the Beneficial Ownership Certification, if applicable, is true and correct in all respects.</w:t>
      </w:r>
    </w:p>
    <w:p>
      <w:pPr>
        <w:spacing w:after="0" w:line="1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VI.</w:t>
      </w:r>
      <w:r>
        <w:rPr>
          <w:sz w:val="20"/>
          <w:szCs w:val="20"/>
          <w:color w:val="auto"/>
        </w:rPr>
        <w:tab/>
      </w:r>
      <w:r>
        <w:rPr>
          <w:rFonts w:ascii="Times New Roman" w:cs="Times New Roman" w:eastAsia="Times New Roman" w:hAnsi="Times New Roman"/>
          <w:sz w:val="19"/>
          <w:szCs w:val="19"/>
          <w:b w:val="1"/>
          <w:bCs w:val="1"/>
          <w:color w:val="auto"/>
        </w:rPr>
        <w:t>AFFIRMATIVE COVENANTS</w:t>
      </w:r>
      <w:r>
        <w:rPr>
          <w:rFonts w:ascii="Times New Roman" w:cs="Times New Roman" w:eastAsia="Times New Roman" w:hAnsi="Times New Roman"/>
          <w:sz w:val="19"/>
          <w:szCs w:val="19"/>
          <w:color w:val="auto"/>
        </w:rPr>
        <w:t>. Each of the Loan Parties hereby covenants and agrees that on the Closing Date and thereafter until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Termination Date, such Loan Party shall, and shall cause each of its Subsidiaries to:</w:t>
      </w:r>
    </w:p>
    <w:p>
      <w:pPr>
        <w:spacing w:after="0" w:line="19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0"/>
          <w:szCs w:val="20"/>
          <w:color w:val="auto"/>
        </w:rPr>
        <w:t>6.01</w:t>
      </w:r>
      <w:r>
        <w:rPr>
          <w:sz w:val="20"/>
          <w:szCs w:val="20"/>
          <w:color w:val="auto"/>
        </w:rPr>
        <w:tab/>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Deliver to the Administrative Agent and each Lender, in form and detail satisfactory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the Required Lenders:</w:t>
      </w:r>
    </w:p>
    <w:p>
      <w:pPr>
        <w:spacing w:after="0" w:line="190" w:lineRule="exact"/>
        <w:rPr>
          <w:sz w:val="20"/>
          <w:szCs w:val="20"/>
          <w:color w:val="auto"/>
        </w:rPr>
      </w:pPr>
    </w:p>
    <w:p>
      <w:pPr>
        <w:jc w:val="both"/>
        <w:ind w:left="660" w:firstLine="645"/>
        <w:spacing w:after="0" w:line="243" w:lineRule="auto"/>
        <w:tabs>
          <w:tab w:leader="none" w:pos="170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Audited Financial Statements</w:t>
      </w:r>
      <w:r>
        <w:rPr>
          <w:rFonts w:ascii="Times New Roman" w:cs="Times New Roman" w:eastAsia="Times New Roman" w:hAnsi="Times New Roman"/>
          <w:sz w:val="20"/>
          <w:szCs w:val="20"/>
          <w:color w:val="auto"/>
        </w:rPr>
        <w:t>. As soon as available, but in any event within one hundred twenty (120) days after the 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each fiscal year of the Borrower (or, if earlier, fifteen (15) days after the date required to be filed with the SEC (without giving effect to any extension permitted by the SEC)),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3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Quarterly Financial Statements</w:t>
      </w:r>
      <w:r>
        <w:rPr>
          <w:rFonts w:ascii="Times New Roman" w:cs="Times New Roman" w:eastAsia="Times New Roman" w:hAnsi="Times New Roman"/>
          <w:sz w:val="20"/>
          <w:szCs w:val="20"/>
          <w:color w:val="auto"/>
        </w:rPr>
        <w:t>. As soon as available, but in any event within forty-five (45) days after the end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first three (3) fiscal quarters of each fiscal year of the Borrower (or, if earlier, five (5) days after the date required to be filed with the SEC (without giving effect to any extension permitted by the SEC)), a Consolidated balance sheet of the Borrower and its Subsidiaries as at the end of such fiscal quarter, and the related Consolidated statements of</w:t>
      </w:r>
    </w:p>
    <w:p>
      <w:pPr>
        <w:sectPr>
          <w:pgSz w:w="11900" w:h="16838" w:orient="portrait"/>
          <w:cols w:equalWidth="0" w:num="1">
            <w:col w:w="11420"/>
          </w:cols>
          <w:pgMar w:left="240" w:top="558" w:right="239" w:bottom="1440" w:gutter="0" w:footer="0" w:header="0"/>
        </w:sectPr>
      </w:pPr>
    </w:p>
    <w:bookmarkStart w:id="149" w:name="page150"/>
    <w:bookmarkEnd w:id="149"/>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of the Borrower as fairly presenting the financial condition, results of operations, Shareholders’ Equity and cash flows of the Borrower and its Subsidiaries, subject only to normal year-end audit adjustments and the absence of footnotes.</w:t>
      </w:r>
    </w:p>
    <w:p>
      <w:pPr>
        <w:spacing w:after="0" w:line="177" w:lineRule="exact"/>
        <w:rPr>
          <w:sz w:val="20"/>
          <w:szCs w:val="20"/>
          <w:color w:val="auto"/>
        </w:rPr>
      </w:pPr>
    </w:p>
    <w:p>
      <w:pPr>
        <w:jc w:val="both"/>
        <w:ind w:left="660" w:firstLine="645"/>
        <w:spacing w:after="0" w:line="248" w:lineRule="auto"/>
        <w:tabs>
          <w:tab w:leader="none" w:pos="173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Business Plan and Budget. </w:t>
      </w:r>
      <w:r>
        <w:rPr>
          <w:rFonts w:ascii="Times New Roman" w:cs="Times New Roman" w:eastAsia="Times New Roman" w:hAnsi="Times New Roman"/>
          <w:sz w:val="20"/>
          <w:szCs w:val="20"/>
          <w:color w:val="auto"/>
        </w:rPr>
        <w:t>As soon as available, but in any event within 30 days after the end of each fiscal year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commencing with the fiscal year ending December 31, 2020, an annual business plan and budget of the Borrower and its Subsidiaries on a Consolidated basis, including forecasts prepared by management of the Borrower, in form satisfactory to the Administrative Agent and the Required Lenders, of Consolidated balance sheets and statements of income or operations and cash flows of the Borrower and its Subsidiaries on a monthly basis for the immediately following fiscal year.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b w:val="1"/>
          <w:bCs w:val="1"/>
          <w:i w:val="1"/>
          <w:iCs w:val="1"/>
          <w:color w:val="auto"/>
        </w:rPr>
        <w:t>Section 6.02(e)</w:t>
      </w:r>
      <w:r>
        <w:rPr>
          <w:rFonts w:ascii="Times New Roman" w:cs="Times New Roman" w:eastAsia="Times New Roman" w:hAnsi="Times New Roman"/>
          <w:sz w:val="20"/>
          <w:szCs w:val="20"/>
          <w:color w:val="auto"/>
        </w:rPr>
        <w:t xml:space="preserve">, the Borrower shall not be separately required to furnish such information under </w:t>
      </w:r>
      <w:r>
        <w:rPr>
          <w:rFonts w:ascii="Times New Roman" w:cs="Times New Roman" w:eastAsia="Times New Roman" w:hAnsi="Times New Roman"/>
          <w:sz w:val="20"/>
          <w:szCs w:val="20"/>
          <w:b w:val="1"/>
          <w:bCs w:val="1"/>
          <w:i w:val="1"/>
          <w:iCs w:val="1"/>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20"/>
          <w:szCs w:val="20"/>
          <w:b w:val="1"/>
          <w:bCs w:val="1"/>
          <w:i w:val="1"/>
          <w:iCs w:val="1"/>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above at the times specified therein.</w:t>
      </w:r>
    </w:p>
    <w:p>
      <w:pPr>
        <w:spacing w:after="0" w:line="16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6.02</w:t>
      </w:r>
      <w:r>
        <w:rPr>
          <w:sz w:val="20"/>
          <w:szCs w:val="20"/>
          <w:color w:val="auto"/>
        </w:rPr>
        <w:tab/>
      </w:r>
      <w:r>
        <w:rPr>
          <w:rFonts w:ascii="Times New Roman" w:cs="Times New Roman" w:eastAsia="Times New Roman" w:hAnsi="Times New Roman"/>
          <w:sz w:val="20"/>
          <w:szCs w:val="20"/>
          <w:b w:val="1"/>
          <w:bCs w:val="1"/>
          <w:color w:val="auto"/>
        </w:rPr>
        <w:t>Certificates; Other Information</w:t>
      </w:r>
      <w:r>
        <w:rPr>
          <w:rFonts w:ascii="Times New Roman" w:cs="Times New Roman" w:eastAsia="Times New Roman" w:hAnsi="Times New Roman"/>
          <w:sz w:val="20"/>
          <w:szCs w:val="20"/>
          <w:color w:val="auto"/>
        </w:rPr>
        <w:t>. Deliver to the Administrative Agent and each Lender, in form and detail satisfactory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the Required Lenders:</w:t>
      </w:r>
    </w:p>
    <w:p>
      <w:pPr>
        <w:spacing w:after="0" w:line="190" w:lineRule="exact"/>
        <w:rPr>
          <w:sz w:val="20"/>
          <w:szCs w:val="20"/>
          <w:color w:val="auto"/>
        </w:rPr>
      </w:pPr>
    </w:p>
    <w:p>
      <w:pPr>
        <w:jc w:val="both"/>
        <w:ind w:left="660" w:firstLine="645"/>
        <w:spacing w:after="0" w:line="248" w:lineRule="auto"/>
        <w:tabs>
          <w:tab w:leader="none" w:pos="170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Concurrently with the delivery of the financial statements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Sections 6.01(a)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duly completed Compliance Certificate signed by the chief executive officer, chief financial officer, treasurer or controller which is a Responsible Officer of the Borrower. Unless the Administrative Agent or a Lender requests executed originals, delivery of the Compliance Certificate may be by electronic communication including fax or email and shall be deemed to be an original and authentic counterpart thereof for all purposes.</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81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Updated Schedules</w:t>
      </w:r>
      <w:r>
        <w:rPr>
          <w:rFonts w:ascii="Times New Roman" w:cs="Times New Roman" w:eastAsia="Times New Roman" w:hAnsi="Times New Roman"/>
          <w:sz w:val="20"/>
          <w:szCs w:val="20"/>
          <w:color w:val="auto"/>
        </w:rPr>
        <w:t>. Concurrently with the delivery of the Compliance Certificate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6.02(a)</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following updated Schedules to this Agreement (which may be attached to the Compliance Certificate) to the extent required to make the representation related to such Schedule true and correct as of the date of such Compliance Certificate: </w:t>
      </w:r>
      <w:r>
        <w:rPr>
          <w:rFonts w:ascii="Times New Roman" w:cs="Times New Roman" w:eastAsia="Times New Roman" w:hAnsi="Times New Roman"/>
          <w:sz w:val="20"/>
          <w:szCs w:val="20"/>
          <w:b w:val="1"/>
          <w:bCs w:val="1"/>
          <w:i w:val="1"/>
          <w:iCs w:val="1"/>
          <w:color w:val="auto"/>
        </w:rPr>
        <w:t>Schedules 5.20(a)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5.20(b)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5.21(b)</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789"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Changes in Entity Structure</w:t>
      </w:r>
      <w:r>
        <w:rPr>
          <w:rFonts w:ascii="Times New Roman" w:cs="Times New Roman" w:eastAsia="Times New Roman" w:hAnsi="Times New Roman"/>
          <w:sz w:val="20"/>
          <w:szCs w:val="20"/>
          <w:color w:val="auto"/>
        </w:rPr>
        <w:t>. Within ten (10) days prior to any merger, consolidation, dissolution or other 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entity structure of any Loan Party permitted pursuant to the terms hereof, provide notice of such change in entity structure to the Administrative Agent, along with such other information as reasonably requested by the Administrative Agent. Provide notice to the Administrative Agent, not less than ten (10) days prior (or such extended period of time as agreed to by the Administrative Agent) of any change in any Loan Party’s legal name, state of organization, or organizational existence.</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Audit Reports; Management Letters; Recommendations</w:t>
      </w:r>
      <w:r>
        <w:rPr>
          <w:rFonts w:ascii="Times New Roman" w:cs="Times New Roman" w:eastAsia="Times New Roman" w:hAnsi="Times New Roman"/>
          <w:sz w:val="20"/>
          <w:szCs w:val="20"/>
          <w:color w:val="auto"/>
        </w:rPr>
        <w:t>. Promptly after any request by the Administrative Agent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ectPr>
          <w:pgSz w:w="11900" w:h="16838" w:orient="portrait"/>
          <w:cols w:equalWidth="0" w:num="1">
            <w:col w:w="11420"/>
          </w:cols>
          <w:pgMar w:left="240" w:top="562" w:right="239" w:bottom="1440" w:gutter="0" w:footer="0" w:header="0"/>
        </w:sectPr>
      </w:pPr>
    </w:p>
    <w:bookmarkStart w:id="150" w:name="page151"/>
    <w:bookmarkEnd w:id="150"/>
    <w:p>
      <w:pPr>
        <w:jc w:val="both"/>
        <w:ind w:left="-540" w:firstLine="645"/>
        <w:spacing w:after="0" w:line="248" w:lineRule="auto"/>
        <w:tabs>
          <w:tab w:leader="none" w:pos="50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Reports; Etc</w:t>
      </w:r>
      <w:r>
        <w:rPr>
          <w:rFonts w:ascii="Times New Roman" w:cs="Times New Roman" w:eastAsia="Times New Roman" w:hAnsi="Times New Roman"/>
          <w:sz w:val="20"/>
          <w:szCs w:val="20"/>
          <w:color w:val="auto"/>
        </w:rPr>
        <w:t>. Promptly after the same are available, copies of each annual report, proxy or financial statement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75" w:lineRule="exact"/>
        <w:rPr>
          <w:rFonts w:ascii="Times New Roman" w:cs="Times New Roman" w:eastAsia="Times New Roman" w:hAnsi="Times New Roman"/>
          <w:sz w:val="20"/>
          <w:szCs w:val="20"/>
          <w:color w:val="auto"/>
        </w:rPr>
      </w:pPr>
    </w:p>
    <w:p>
      <w:pPr>
        <w:jc w:val="both"/>
        <w:ind w:left="-540" w:firstLine="645"/>
        <w:spacing w:after="0" w:line="250" w:lineRule="auto"/>
        <w:tabs>
          <w:tab w:leader="none" w:pos="59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 Notices</w:t>
      </w:r>
      <w:r>
        <w:rPr>
          <w:rFonts w:ascii="Times New Roman" w:cs="Times New Roman" w:eastAsia="Times New Roman" w:hAnsi="Times New Roman"/>
          <w:sz w:val="20"/>
          <w:szCs w:val="20"/>
          <w:color w:val="auto"/>
        </w:rPr>
        <w:t>. Promptly, and in any event within five Business Days after receipt thereof by any Loan Party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76" w:lineRule="exact"/>
        <w:rPr>
          <w:rFonts w:ascii="Times New Roman" w:cs="Times New Roman" w:eastAsia="Times New Roman" w:hAnsi="Times New Roman"/>
          <w:sz w:val="20"/>
          <w:szCs w:val="20"/>
          <w:color w:val="auto"/>
        </w:rPr>
      </w:pPr>
    </w:p>
    <w:p>
      <w:pPr>
        <w:jc w:val="both"/>
        <w:ind w:left="-540" w:firstLine="645"/>
        <w:spacing w:after="0" w:line="248" w:lineRule="auto"/>
        <w:tabs>
          <w:tab w:leader="none" w:pos="53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Not later than five Business Days after receipt thereof by any Loan Party or any Subsidiary thereof, copies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notices, requests and other documents (including amendments, waivers and other modifications) so received under or pursuant to any instrument, indenture, loan or credit or similar agreement and, from time to time upon request by the Administrative Agent, such information and reports regarding such instruments, indentures and loan and credit and similar agreements as the Administrative Agent may reasonably request.</w:t>
      </w:r>
    </w:p>
    <w:p>
      <w:pPr>
        <w:spacing w:after="0" w:line="175" w:lineRule="exact"/>
        <w:rPr>
          <w:rFonts w:ascii="Times New Roman" w:cs="Times New Roman" w:eastAsia="Times New Roman" w:hAnsi="Times New Roman"/>
          <w:sz w:val="20"/>
          <w:szCs w:val="20"/>
          <w:color w:val="auto"/>
        </w:rPr>
      </w:pPr>
    </w:p>
    <w:p>
      <w:pPr>
        <w:jc w:val="both"/>
        <w:ind w:left="-540" w:firstLine="645"/>
        <w:spacing w:after="0" w:line="256" w:lineRule="auto"/>
        <w:tabs>
          <w:tab w:leader="none" w:pos="54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Environmental Notice</w:t>
      </w:r>
      <w:r>
        <w:rPr>
          <w:rFonts w:ascii="Times New Roman" w:cs="Times New Roman" w:eastAsia="Times New Roman" w:hAnsi="Times New Roman"/>
          <w:sz w:val="20"/>
          <w:szCs w:val="20"/>
          <w:color w:val="auto"/>
        </w:rPr>
        <w:t>. Promptly after the assertion or occurrence thereof, notice of any action or proceeding against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noncompliance by any Loan Party or any of its Subsidiaries with any Environmental Law or Environmental Permit that could reasonably be expected to have a Material Adverse Effect.</w:t>
      </w:r>
    </w:p>
    <w:p>
      <w:pPr>
        <w:spacing w:after="0" w:line="168" w:lineRule="exact"/>
        <w:rPr>
          <w:rFonts w:ascii="Times New Roman" w:cs="Times New Roman" w:eastAsia="Times New Roman" w:hAnsi="Times New Roman"/>
          <w:sz w:val="20"/>
          <w:szCs w:val="20"/>
          <w:color w:val="auto"/>
        </w:rPr>
      </w:pPr>
    </w:p>
    <w:p>
      <w:pPr>
        <w:jc w:val="both"/>
        <w:ind w:left="-540" w:firstLine="645"/>
        <w:spacing w:after="0" w:line="256" w:lineRule="auto"/>
        <w:tabs>
          <w:tab w:leader="none" w:pos="50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Anti-Money-Laundering; Beneficial Ownership Regulation</w:t>
      </w:r>
      <w:r>
        <w:rPr>
          <w:rFonts w:ascii="Times New Roman" w:cs="Times New Roman" w:eastAsia="Times New Roman" w:hAnsi="Times New Roman"/>
          <w:sz w:val="20"/>
          <w:szCs w:val="20"/>
          <w:color w:val="auto"/>
        </w:rPr>
        <w:t>. Promptly following any request therefor, information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documentation reasonably requested by the Administrative Agent or any Lender for purposes of compliance with applicable “know your customer” and anti-money-laundering rules and regulations, including, without limitation, the Patriot Act.</w:t>
      </w:r>
    </w:p>
    <w:p>
      <w:pPr>
        <w:spacing w:after="0" w:line="168" w:lineRule="exact"/>
        <w:rPr>
          <w:rFonts w:ascii="Times New Roman" w:cs="Times New Roman" w:eastAsia="Times New Roman" w:hAnsi="Times New Roman"/>
          <w:sz w:val="20"/>
          <w:szCs w:val="20"/>
          <w:color w:val="auto"/>
        </w:rPr>
      </w:pPr>
    </w:p>
    <w:p>
      <w:pPr>
        <w:jc w:val="both"/>
        <w:ind w:left="-540" w:firstLine="645"/>
        <w:spacing w:after="0" w:line="250" w:lineRule="auto"/>
        <w:tabs>
          <w:tab w:leader="none" w:pos="47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Beneficial Ownership</w:t>
      </w:r>
      <w:r>
        <w:rPr>
          <w:rFonts w:ascii="Times New Roman" w:cs="Times New Roman" w:eastAsia="Times New Roman" w:hAnsi="Times New Roman"/>
          <w:sz w:val="20"/>
          <w:szCs w:val="20"/>
          <w:color w:val="auto"/>
        </w:rPr>
        <w:t>. To the extent any Loan Party qualifies as a “legal entity customer” under the Beneficial Ownership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spacing w:after="0" w:line="176" w:lineRule="exact"/>
        <w:rPr>
          <w:rFonts w:ascii="Times New Roman" w:cs="Times New Roman" w:eastAsia="Times New Roman" w:hAnsi="Times New Roman"/>
          <w:sz w:val="20"/>
          <w:szCs w:val="20"/>
          <w:color w:val="auto"/>
        </w:rPr>
      </w:pPr>
    </w:p>
    <w:p>
      <w:pPr>
        <w:ind w:left="-540" w:firstLine="645"/>
        <w:spacing w:after="0" w:line="273" w:lineRule="auto"/>
        <w:tabs>
          <w:tab w:leader="none" w:pos="6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Backlog Report</w:t>
      </w:r>
      <w:r>
        <w:rPr>
          <w:rFonts w:ascii="Times New Roman" w:cs="Times New Roman" w:eastAsia="Times New Roman" w:hAnsi="Times New Roman"/>
          <w:sz w:val="20"/>
          <w:szCs w:val="20"/>
          <w:color w:val="auto"/>
        </w:rPr>
        <w:t>. Concurrently with the delivery of the financial statements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Sections 6.01(a)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backlog report in form and substance satisfactory to the Administrative Agent.</w:t>
      </w:r>
    </w:p>
    <w:p>
      <w:pPr>
        <w:spacing w:after="0" w:line="152" w:lineRule="exact"/>
        <w:rPr>
          <w:rFonts w:ascii="Times New Roman" w:cs="Times New Roman" w:eastAsia="Times New Roman" w:hAnsi="Times New Roman"/>
          <w:sz w:val="20"/>
          <w:szCs w:val="20"/>
          <w:color w:val="auto"/>
        </w:rPr>
      </w:pPr>
    </w:p>
    <w:p>
      <w:pPr>
        <w:jc w:val="both"/>
        <w:ind w:left="-540" w:firstLine="645"/>
        <w:spacing w:after="0" w:line="256" w:lineRule="auto"/>
        <w:tabs>
          <w:tab w:leader="none" w:pos="61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Promptly, such additional information regarding the business, financial, legal or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affairs of any Loan Party or any Subsidiary thereof, or compliance with the terms of the Loan Documents, as the Administrative Agent or any Lender may from time to time reasonably request.</w:t>
      </w:r>
    </w:p>
    <w:p>
      <w:pPr>
        <w:spacing w:after="0" w:line="168" w:lineRule="exact"/>
        <w:rPr>
          <w:rFonts w:ascii="Times New Roman" w:cs="Times New Roman" w:eastAsia="Times New Roman" w:hAnsi="Times New Roman"/>
          <w:sz w:val="20"/>
          <w:szCs w:val="20"/>
          <w:color w:val="auto"/>
        </w:rPr>
      </w:pPr>
    </w:p>
    <w:p>
      <w:pPr>
        <w:jc w:val="both"/>
        <w:ind w:left="-540" w:firstLine="645"/>
        <w:spacing w:after="0" w:line="256" w:lineRule="auto"/>
        <w:tabs>
          <w:tab w:leader="none" w:pos="70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b w:val="1"/>
          <w:bCs w:val="1"/>
          <w:i w:val="1"/>
          <w:iCs w:val="1"/>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 6.02(e)</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w:t>
      </w:r>
    </w:p>
    <w:p>
      <w:pPr>
        <w:sectPr>
          <w:pgSz w:w="11900" w:h="16838" w:orient="portrait"/>
          <w:cols w:equalWidth="0" w:num="1">
            <w:col w:w="10220"/>
          </w:cols>
          <w:pgMar w:left="1440" w:top="558" w:right="239" w:bottom="1440" w:gutter="0" w:footer="0" w:header="0"/>
        </w:sectPr>
      </w:pPr>
    </w:p>
    <w:bookmarkStart w:id="151" w:name="page152"/>
    <w:bookmarkEnd w:id="151"/>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Borrower’s website on the Internet at the website address listed on </w:t>
      </w:r>
      <w:r>
        <w:rPr>
          <w:rFonts w:ascii="Times New Roman" w:cs="Times New Roman" w:eastAsia="Times New Roman" w:hAnsi="Times New Roman"/>
          <w:sz w:val="20"/>
          <w:szCs w:val="20"/>
          <w:b w:val="1"/>
          <w:bCs w:val="1"/>
          <w:i w:val="1"/>
          <w:iCs w:val="1"/>
          <w:color w:val="auto"/>
        </w:rPr>
        <w:t>Schedule 1.01(a)</w:t>
      </w:r>
      <w:r>
        <w:rPr>
          <w:rFonts w:ascii="Times New Roman" w:cs="Times New Roman" w:eastAsia="Times New Roman" w:hAnsi="Times New Roman"/>
          <w:sz w:val="20"/>
          <w:szCs w:val="20"/>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the Borrower shall deliver paper copies of such documents to the Administrative Agent or any Lender upon its request to the Borrower to deliver such paper copies until a written request to cease delivering paper copies is given by the Administrative Agent or such Lender and (y) the Borrower shall notify the Administrative Agent and each Lender (by fax transmission or e-mail transmission) of the posting of any such documents and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7" w:lineRule="exact"/>
        <w:rPr>
          <w:sz w:val="20"/>
          <w:szCs w:val="20"/>
          <w:color w:val="auto"/>
        </w:rPr>
      </w:pPr>
    </w:p>
    <w:p>
      <w:pPr>
        <w:jc w:val="both"/>
        <w:ind w:firstLine="645"/>
        <w:spacing w:after="0" w:line="254" w:lineRule="auto"/>
        <w:tabs>
          <w:tab w:leader="none" w:pos="1127"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19"/>
          <w:szCs w:val="19"/>
          <w:b w:val="1"/>
          <w:bCs w:val="1"/>
          <w:i w:val="1"/>
          <w:iCs w:val="1"/>
          <w:color w:val="auto"/>
        </w:rPr>
        <w:t>Borrower Materials</w:t>
      </w:r>
      <w:r>
        <w:rPr>
          <w:rFonts w:ascii="Times New Roman" w:cs="Times New Roman" w:eastAsia="Times New Roman" w:hAnsi="Times New Roman"/>
          <w:sz w:val="19"/>
          <w:szCs w:val="19"/>
          <w:color w:val="auto"/>
        </w:rPr>
        <w:t>”) by posting the Borrower Materials on IntraLinks, Syndtrak, ClearPar or a substantially similar electronic transmission system (the “</w:t>
      </w:r>
      <w:r>
        <w:rPr>
          <w:rFonts w:ascii="Times New Roman" w:cs="Times New Roman" w:eastAsia="Times New Roman" w:hAnsi="Times New Roman"/>
          <w:sz w:val="19"/>
          <w:szCs w:val="19"/>
          <w:b w:val="1"/>
          <w:bCs w:val="1"/>
          <w:i w:val="1"/>
          <w:iCs w:val="1"/>
          <w:color w:val="auto"/>
        </w:rPr>
        <w:t>Platform</w:t>
      </w:r>
      <w:r>
        <w:rPr>
          <w:rFonts w:ascii="Times New Roman" w:cs="Times New Roman" w:eastAsia="Times New Roman" w:hAnsi="Times New Roman"/>
          <w:sz w:val="19"/>
          <w:szCs w:val="19"/>
          <w:color w:val="auto"/>
        </w:rPr>
        <w:t>”) and (ii) certain of the Lenders (each, a “</w:t>
      </w:r>
      <w:r>
        <w:rPr>
          <w:rFonts w:ascii="Times New Roman" w:cs="Times New Roman" w:eastAsia="Times New Roman" w:hAnsi="Times New Roman"/>
          <w:sz w:val="19"/>
          <w:szCs w:val="19"/>
          <w:b w:val="1"/>
          <w:bCs w:val="1"/>
          <w:i w:val="1"/>
          <w:iCs w:val="1"/>
          <w:color w:val="auto"/>
        </w:rPr>
        <w:t>Public Lender</w:t>
      </w:r>
      <w:r>
        <w:rPr>
          <w:rFonts w:ascii="Times New Roman" w:cs="Times New Roman" w:eastAsia="Times New Roman" w:hAnsi="Times New Roman"/>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Interests that are registered or issued pursuant to a private offering or is actively contemplating issuing any such securities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to the extent such Borrower Materials constitute Information, they shall be treated as set forth in </w:t>
      </w:r>
      <w:r>
        <w:rPr>
          <w:rFonts w:ascii="Times New Roman" w:cs="Times New Roman" w:eastAsia="Times New Roman" w:hAnsi="Times New Roman"/>
          <w:sz w:val="19"/>
          <w:szCs w:val="19"/>
          <w:b w:val="1"/>
          <w:bCs w:val="1"/>
          <w:i w:val="1"/>
          <w:iCs w:val="1"/>
          <w:color w:val="auto"/>
        </w:rPr>
        <w:t>Section 11.07</w:t>
      </w:r>
      <w:r>
        <w:rPr>
          <w:rFonts w:ascii="Times New Roman" w:cs="Times New Roman" w:eastAsia="Times New Roman" w:hAnsi="Times New Roman"/>
          <w:sz w:val="19"/>
          <w:szCs w:val="19"/>
          <w:color w:val="auto"/>
        </w:rPr>
        <w:t>); (C) all Borrower Materials marked “PUBLIC” are permitted to be made available through a portion of the Platform designated “Public Side Information;” and (D) the Administrative Agent and any Affiliate thereof and the Arranger shall be entitled to treat the Borrower Materials that are not marked “PUBLIC” as being suitable only for posting on a portion of the Platform not designated “Public Side Information.”</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6.03</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Promptly, but in any event within two Business Days, notify the Administrative Agent and each Lender:</w:t>
      </w:r>
    </w:p>
    <w:p>
      <w:pPr>
        <w:spacing w:after="0" w:line="220" w:lineRule="exact"/>
        <w:rPr>
          <w:sz w:val="20"/>
          <w:szCs w:val="20"/>
          <w:color w:val="auto"/>
        </w:rPr>
      </w:pPr>
    </w:p>
    <w:p>
      <w:pPr>
        <w:ind w:left="1040" w:hanging="395"/>
        <w:spacing w:after="0"/>
        <w:tabs>
          <w:tab w:leader="none" w:pos="10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15" w:lineRule="exact"/>
        <w:rPr>
          <w:rFonts w:ascii="Times New Roman" w:cs="Times New Roman" w:eastAsia="Times New Roman" w:hAnsi="Times New Roman"/>
          <w:sz w:val="20"/>
          <w:szCs w:val="20"/>
          <w:color w:val="auto"/>
        </w:rPr>
      </w:pPr>
    </w:p>
    <w:p>
      <w:pPr>
        <w:jc w:val="both"/>
        <w:ind w:firstLine="645"/>
        <w:spacing w:after="0" w:line="254" w:lineRule="auto"/>
        <w:tabs>
          <w:tab w:leader="none" w:pos="105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including (i) breach or non-performance of, or any default under, a Contractual Obligation of the Borrower or any Subsidiary; (ii) any action, suit, dispute, litigation, investigation, proceeding or suspension involving or any Subsidiary and any Governmental Authority; or (iii) the</w:t>
      </w:r>
    </w:p>
    <w:p>
      <w:pPr>
        <w:sectPr>
          <w:pgSz w:w="11900" w:h="16838" w:orient="portrait"/>
          <w:cols w:equalWidth="0" w:num="1">
            <w:col w:w="10760"/>
          </w:cols>
          <w:pgMar w:left="900" w:top="558" w:right="239" w:bottom="1440" w:gutter="0" w:footer="0" w:header="0"/>
        </w:sectPr>
      </w:pPr>
    </w:p>
    <w:bookmarkStart w:id="152" w:name="page153"/>
    <w:bookmarkEnd w:id="152"/>
    <w:p>
      <w:pPr>
        <w:ind w:left="660"/>
        <w:spacing w:after="0" w:line="269" w:lineRule="auto"/>
        <w:rPr>
          <w:sz w:val="20"/>
          <w:szCs w:val="20"/>
          <w:color w:val="auto"/>
        </w:rPr>
      </w:pPr>
      <w:r>
        <w:rPr>
          <w:rFonts w:ascii="Times New Roman" w:cs="Times New Roman" w:eastAsia="Times New Roman" w:hAnsi="Times New Roman"/>
          <w:sz w:val="20"/>
          <w:szCs w:val="20"/>
          <w:color w:val="auto"/>
        </w:rPr>
        <w:t>commencement of, or any material development in, any litigation or proceeding affecting the Borrower or any Subsidiary, including pursuant to any applicable Environmental Laws</w:t>
      </w:r>
      <w:r>
        <w:rPr>
          <w:rFonts w:ascii="Times New Roman" w:cs="Times New Roman" w:eastAsia="Times New Roman" w:hAnsi="Times New Roman"/>
          <w:sz w:val="20"/>
          <w:szCs w:val="20"/>
          <w:b w:val="1"/>
          <w:bCs w:val="1"/>
          <w:color w:val="auto"/>
        </w:rPr>
        <w:t>;</w:t>
      </w:r>
    </w:p>
    <w:p>
      <w:pPr>
        <w:spacing w:after="0" w:line="160" w:lineRule="exact"/>
        <w:rPr>
          <w:sz w:val="20"/>
          <w:szCs w:val="20"/>
          <w:color w:val="auto"/>
        </w:rPr>
      </w:pPr>
    </w:p>
    <w:p>
      <w:pPr>
        <w:ind w:left="660" w:firstLine="645"/>
        <w:spacing w:after="0" w:line="269" w:lineRule="auto"/>
        <w:tabs>
          <w:tab w:leader="none" w:pos="177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 ERISA Event that would reasonably be expected to result in a Material Adverse Effect which notice shall be provided within 10 Business Days of Borrower’s actual knowledge of such an ERISA Event;</w:t>
      </w:r>
    </w:p>
    <w:p>
      <w:pPr>
        <w:spacing w:after="0" w:line="155" w:lineRule="exact"/>
        <w:rPr>
          <w:rFonts w:ascii="Times New Roman" w:cs="Times New Roman" w:eastAsia="Times New Roman" w:hAnsi="Times New Roman"/>
          <w:sz w:val="20"/>
          <w:szCs w:val="20"/>
          <w:color w:val="auto"/>
        </w:rPr>
      </w:pPr>
    </w:p>
    <w:p>
      <w:pPr>
        <w:ind w:left="660" w:firstLine="645"/>
        <w:spacing w:after="0" w:line="273" w:lineRule="auto"/>
        <w:tabs>
          <w:tab w:leader="none" w:pos="1719"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material change in accounting policies or financial reporting practices by any Loan Party or any Subsidiary thereof</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including any determination the Borrower referred to in </w:t>
      </w:r>
      <w:r>
        <w:rPr>
          <w:rFonts w:ascii="Times New Roman" w:cs="Times New Roman" w:eastAsia="Times New Roman" w:hAnsi="Times New Roman"/>
          <w:sz w:val="20"/>
          <w:szCs w:val="20"/>
          <w:b w:val="1"/>
          <w:bCs w:val="1"/>
          <w:i w:val="1"/>
          <w:iCs w:val="1"/>
          <w:color w:val="auto"/>
        </w:rPr>
        <w:t>Section 2.10(b)</w:t>
      </w:r>
      <w:r>
        <w:rPr>
          <w:rFonts w:ascii="Times New Roman" w:cs="Times New Roman" w:eastAsia="Times New Roman" w:hAnsi="Times New Roman"/>
          <w:sz w:val="20"/>
          <w:szCs w:val="20"/>
          <w:color w:val="auto"/>
        </w:rPr>
        <w:t>; and</w:t>
      </w:r>
    </w:p>
    <w:p>
      <w:pPr>
        <w:spacing w:after="0" w:line="152"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occurrence for which the Borrower is required to make a mandatory prepayment pursuant to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b w:val="1"/>
          <w:bCs w:val="1"/>
          <w:i w:val="1"/>
          <w:iCs w:val="1"/>
          <w:color w:val="auto"/>
        </w:rPr>
        <w:t>Section 6.03</w:t>
      </w:r>
      <w:r>
        <w:rPr>
          <w:rFonts w:ascii="Times New Roman" w:cs="Times New Roman" w:eastAsia="Times New Roman" w:hAnsi="Times New Roman"/>
          <w:sz w:val="20"/>
          <w:szCs w:val="20"/>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Times New Roman" w:cs="Times New Roman" w:eastAsia="Times New Roman" w:hAnsi="Times New Roman"/>
          <w:sz w:val="20"/>
          <w:szCs w:val="20"/>
          <w:b w:val="1"/>
          <w:bCs w:val="1"/>
          <w:i w:val="1"/>
          <w:iCs w:val="1"/>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6.04 </w:t>
      </w:r>
      <w:r>
        <w:rPr>
          <w:rFonts w:ascii="Times New Roman" w:cs="Times New Roman" w:eastAsia="Times New Roman" w:hAnsi="Times New Roman"/>
          <w:sz w:val="20"/>
          <w:szCs w:val="20"/>
          <w:b w:val="1"/>
          <w:bCs w:val="1"/>
          <w:color w:val="auto"/>
        </w:rPr>
        <w:t>Payment of Obligations</w:t>
      </w:r>
      <w:r>
        <w:rPr>
          <w:rFonts w:ascii="Times New Roman" w:cs="Times New Roman" w:eastAsia="Times New Roman" w:hAnsi="Times New Roman"/>
          <w:sz w:val="20"/>
          <w:szCs w:val="20"/>
          <w:color w:val="auto"/>
        </w:rPr>
        <w: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and (c) all Indebtedness, as and when due and payable, but subject to any subordination provisions contained in any instrument or agreement evidencing such Indebtedness.</w:t>
      </w:r>
    </w:p>
    <w:p>
      <w:pPr>
        <w:spacing w:after="0" w:line="17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6.05</w:t>
      </w:r>
      <w:r>
        <w:rPr>
          <w:sz w:val="20"/>
          <w:szCs w:val="20"/>
          <w:color w:val="auto"/>
        </w:rPr>
        <w:tab/>
      </w:r>
      <w:r>
        <w:rPr>
          <w:rFonts w:ascii="Times New Roman" w:cs="Times New Roman" w:eastAsia="Times New Roman" w:hAnsi="Times New Roman"/>
          <w:sz w:val="19"/>
          <w:szCs w:val="19"/>
          <w:b w:val="1"/>
          <w:bCs w:val="1"/>
          <w:color w:val="auto"/>
        </w:rPr>
        <w:t>Preservation of Existence,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firstLine="645"/>
        <w:spacing w:after="0" w:line="269" w:lineRule="auto"/>
        <w:tabs>
          <w:tab w:leader="none" w:pos="184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20"/>
          <w:szCs w:val="20"/>
          <w:b w:val="1"/>
          <w:bCs w:val="1"/>
          <w:i w:val="1"/>
          <w:iCs w:val="1"/>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7.05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174"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73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or renew all of its registered patents, trademarks, trade names and service marks, the non-preservation of which could reasonably be expected to have a Material Adverse Effect.</w:t>
      </w:r>
    </w:p>
    <w:p>
      <w:pPr>
        <w:spacing w:after="0" w:line="15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6.06</w:t>
      </w:r>
      <w:r>
        <w:rPr>
          <w:sz w:val="20"/>
          <w:szCs w:val="20"/>
          <w:color w:val="auto"/>
        </w:rPr>
        <w:tab/>
      </w:r>
      <w:r>
        <w:rPr>
          <w:rFonts w:ascii="Times New Roman" w:cs="Times New Roman" w:eastAsia="Times New Roman" w:hAnsi="Times New Roman"/>
          <w:sz w:val="19"/>
          <w:szCs w:val="19"/>
          <w:b w:val="1"/>
          <w:bCs w:val="1"/>
          <w:color w:val="auto"/>
        </w:rPr>
        <w:t>Maintenance of Properties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firstLine="645"/>
        <w:spacing w:after="0" w:line="269" w:lineRule="auto"/>
        <w:tabs>
          <w:tab w:leader="none" w:pos="176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excepted;</w:t>
      </w:r>
    </w:p>
    <w:p>
      <w:pPr>
        <w:spacing w:after="0" w:line="159"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8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necessary repairs thereto and renewals and replacements thereof except where the failure to do so could not reasonably be expected to have a Material Adverse Effect; and</w:t>
      </w:r>
    </w:p>
    <w:p>
      <w:pPr>
        <w:sectPr>
          <w:pgSz w:w="11900" w:h="16838" w:orient="portrait"/>
          <w:cols w:equalWidth="0" w:num="1">
            <w:col w:w="11420"/>
          </w:cols>
          <w:pgMar w:left="240" w:top="562" w:right="239" w:bottom="1440" w:gutter="0" w:footer="0" w:header="0"/>
        </w:sectPr>
      </w:pPr>
    </w:p>
    <w:bookmarkStart w:id="153" w:name="page154"/>
    <w:bookmarkEnd w:id="153"/>
    <w:p>
      <w:pPr>
        <w:ind w:left="660" w:right="2160" w:firstLine="645"/>
        <w:spacing w:after="0" w:line="463" w:lineRule="auto"/>
        <w:tabs>
          <w:tab w:leader="none" w:pos="170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use the standard of care typical in the industry in the operation and maintenance of its facilities. 6.07 </w:t>
      </w:r>
      <w:r>
        <w:rPr>
          <w:rFonts w:ascii="Times New Roman" w:cs="Times New Roman" w:eastAsia="Times New Roman" w:hAnsi="Times New Roman"/>
          <w:sz w:val="20"/>
          <w:szCs w:val="20"/>
          <w:b w:val="1"/>
          <w:bCs w:val="1"/>
          <w:color w:val="auto"/>
        </w:rPr>
        <w:t>Maintenance of Insurance</w:t>
      </w:r>
      <w:r>
        <w:rPr>
          <w:rFonts w:ascii="Times New Roman" w:cs="Times New Roman" w:eastAsia="Times New Roman" w:hAnsi="Times New Roman"/>
          <w:sz w:val="20"/>
          <w:szCs w:val="20"/>
          <w:color w:val="auto"/>
        </w:rPr>
        <w:t>.</w:t>
      </w: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Maintenance of Insurance</w:t>
      </w:r>
      <w:r>
        <w:rPr>
          <w:rFonts w:ascii="Times New Roman" w:cs="Times New Roman" w:eastAsia="Times New Roman" w:hAnsi="Times New Roman"/>
          <w:sz w:val="20"/>
          <w:szCs w:val="20"/>
          <w:color w:val="auto"/>
        </w:rPr>
        <w:t>. Maintain with financially sound and reputable insurance companies not Affiliates of the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all such insurance shall (i) provide for not less than 30 days’ prior notice to the Administrative Agent of termination, lapse or cancellation of such insurance, (ii) name the Administrative Agent as additional insured on behalf of the Secured Parties (in the case of liability insurance) or loss payee (in the case of property insurance), as applicable, (iii) if reasonably requested by the Administrative Agent, include a breach of warranty clause and (iv) be reasonably satisfactory in all other respects to the Administrative Agent.</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6.08 </w:t>
      </w:r>
      <w:r>
        <w:rPr>
          <w:rFonts w:ascii="Times New Roman" w:cs="Times New Roman" w:eastAsia="Times New Roman" w:hAnsi="Times New Roman"/>
          <w:sz w:val="20"/>
          <w:szCs w:val="20"/>
          <w:b w:val="1"/>
          <w:bCs w:val="1"/>
          <w:color w:val="auto"/>
        </w:rPr>
        <w:t>Compliance with Laws</w:t>
      </w:r>
      <w:r>
        <w:rPr>
          <w:rFonts w:ascii="Times New Roman" w:cs="Times New Roman" w:eastAsia="Times New Roman" w:hAnsi="Times New Roman"/>
          <w:sz w:val="20"/>
          <w:szCs w:val="20"/>
          <w:color w:val="auto"/>
        </w:rPr>
        <w:t>. Comply with the requirements of all Applicable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6.09</w:t>
      </w:r>
      <w:r>
        <w:rPr>
          <w:sz w:val="20"/>
          <w:szCs w:val="20"/>
          <w:color w:val="auto"/>
        </w:rPr>
        <w:tab/>
      </w:r>
      <w:r>
        <w:rPr>
          <w:rFonts w:ascii="Times New Roman" w:cs="Times New Roman" w:eastAsia="Times New Roman" w:hAnsi="Times New Roman"/>
          <w:sz w:val="19"/>
          <w:szCs w:val="19"/>
          <w:b w:val="1"/>
          <w:bCs w:val="1"/>
          <w:color w:val="auto"/>
        </w:rPr>
        <w:t>Books and Records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54" w:lineRule="auto"/>
        <w:tabs>
          <w:tab w:leader="none" w:pos="189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73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such books of record and account in material conformity with all applicable requirements of any Governmental Authority having regulatory jurisdiction over Borrower or such Subsidiary, as the case may be.</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b w:val="1"/>
          <w:bCs w:val="1"/>
          <w:color w:val="auto"/>
        </w:rPr>
        <w:t>Inspection Rights</w:t>
      </w:r>
      <w:r>
        <w:rPr>
          <w:rFonts w:ascii="Times New Roman" w:cs="Times New Roman" w:eastAsia="Times New Roman" w:hAnsi="Times New Roman"/>
          <w:sz w:val="20"/>
          <w:szCs w:val="20"/>
          <w:color w:val="auto"/>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b w:val="1"/>
          <w:bCs w:val="1"/>
          <w:color w:val="auto"/>
        </w:rPr>
        <w:t>Use of Proceeds</w:t>
      </w:r>
      <w:r>
        <w:rPr>
          <w:rFonts w:ascii="Times New Roman" w:cs="Times New Roman" w:eastAsia="Times New Roman" w:hAnsi="Times New Roman"/>
          <w:sz w:val="20"/>
          <w:szCs w:val="20"/>
          <w:color w:val="auto"/>
        </w:rPr>
        <w:t>. Use the proceeds of the Credit Extensions for general corporate purposes not in contravention of any Law or of any Loan Document.</w:t>
      </w:r>
    </w:p>
    <w:p>
      <w:pPr>
        <w:spacing w:after="0" w:line="15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b w:val="1"/>
          <w:bCs w:val="1"/>
          <w:color w:val="auto"/>
        </w:rPr>
        <w:t>Covenant to Guarantee Obligations</w:t>
      </w:r>
      <w:r>
        <w:rPr>
          <w:rFonts w:ascii="Times New Roman" w:cs="Times New Roman" w:eastAsia="Times New Roman" w:hAnsi="Times New Roman"/>
          <w:sz w:val="20"/>
          <w:szCs w:val="20"/>
          <w:color w:val="auto"/>
        </w:rPr>
        <w:t>. The Loan Parties will cause each of their Subsidiaries (other than any CFC or Subsidiary that is held directly or indirectly by a CFC) whether newly formed, after acquired or otherwise existing to promptly (and in any event within 30 days after such Subsidiary is formed or acquired (or such longer period of time as agreed to by the Administrative Agent in its reasonable</w:t>
      </w:r>
    </w:p>
    <w:p>
      <w:pPr>
        <w:sectPr>
          <w:pgSz w:w="11900" w:h="16838" w:orient="portrait"/>
          <w:cols w:equalWidth="0" w:num="1">
            <w:col w:w="11420"/>
          </w:cols>
          <w:pgMar w:left="240" w:top="563" w:right="239" w:bottom="1440" w:gutter="0" w:footer="0" w:header="0"/>
        </w:sectPr>
      </w:pPr>
    </w:p>
    <w:bookmarkStart w:id="154" w:name="page155"/>
    <w:bookmarkEnd w:id="154"/>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discretion)) become a Guarantor hereunder by way of execution of a Joinder Agreement; provided, however, no Foreign Subsidiary shall be required to become a Guarantor to the extent such Guaranty would result in a material adverse tax consequence for the Borrower. In connection therewith, the Loan Parties shall give notice to the Administrative Agent not less than 10 days prior to creating a Subsidiary (or such shorter period of time as agreed to by the Administrative Agent in its reasonable discretion), or acquiring the Equity Interests of any other Person. In connection with the foregoing, the Loan Parties shall deliver to the Administrative Agent, with respect to each new Guarantor to the extent applicable, substantially the same documentation required pursuant to </w:t>
      </w:r>
      <w:r>
        <w:rPr>
          <w:rFonts w:ascii="Times New Roman" w:cs="Times New Roman" w:eastAsia="Times New Roman" w:hAnsi="Times New Roman"/>
          <w:sz w:val="20"/>
          <w:szCs w:val="20"/>
          <w:b w:val="1"/>
          <w:bCs w:val="1"/>
          <w:i w:val="1"/>
          <w:iCs w:val="1"/>
          <w:color w:val="auto"/>
        </w:rPr>
        <w:t>Sections 4.01(b)–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6.14</w:t>
      </w:r>
      <w:r>
        <w:rPr>
          <w:rFonts w:ascii="Times New Roman" w:cs="Times New Roman" w:eastAsia="Times New Roman" w:hAnsi="Times New Roman"/>
          <w:sz w:val="20"/>
          <w:szCs w:val="20"/>
          <w:color w:val="auto"/>
        </w:rPr>
        <w:t xml:space="preserve"> and such other documents or agreements as the Administrative Agent may reasonably request, including without limitation, updated </w:t>
      </w:r>
      <w:r>
        <w:rPr>
          <w:rFonts w:ascii="Times New Roman" w:cs="Times New Roman" w:eastAsia="Times New Roman" w:hAnsi="Times New Roman"/>
          <w:sz w:val="20"/>
          <w:szCs w:val="20"/>
          <w:b w:val="1"/>
          <w:bCs w:val="1"/>
          <w:i w:val="1"/>
          <w:iCs w:val="1"/>
          <w:color w:val="auto"/>
        </w:rPr>
        <w:t>Schedules 1.01(c)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5.10</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5.20(b)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5.21(b)</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b w:val="1"/>
          <w:bCs w:val="1"/>
          <w:color w:val="auto"/>
        </w:rPr>
        <w:t>Covenant to Give Security</w:t>
      </w:r>
      <w:r>
        <w:rPr>
          <w:rFonts w:ascii="Times New Roman" w:cs="Times New Roman" w:eastAsia="Times New Roman" w:hAnsi="Times New Roman"/>
          <w:sz w:val="19"/>
          <w:szCs w:val="19"/>
          <w:color w:val="auto"/>
        </w:rPr>
        <w:t>. Except with respect to Excluded Property:</w:t>
      </w:r>
    </w:p>
    <w:p>
      <w:pPr>
        <w:spacing w:after="0" w:line="216" w:lineRule="exact"/>
        <w:rPr>
          <w:sz w:val="20"/>
          <w:szCs w:val="20"/>
          <w:color w:val="auto"/>
        </w:rPr>
      </w:pPr>
    </w:p>
    <w:p>
      <w:pPr>
        <w:jc w:val="both"/>
        <w:ind w:left="660" w:firstLine="645"/>
        <w:spacing w:after="0" w:line="264" w:lineRule="auto"/>
        <w:tabs>
          <w:tab w:leader="none" w:pos="1749"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Equity Interests and Personal Property</w:t>
      </w:r>
      <w:r>
        <w:rPr>
          <w:rFonts w:ascii="Times New Roman" w:cs="Times New Roman" w:eastAsia="Times New Roman" w:hAnsi="Times New Roman"/>
          <w:sz w:val="19"/>
          <w:szCs w:val="19"/>
          <w:color w:val="auto"/>
        </w:rPr>
        <w:t>. Each Loan Party will cause the Pledged Equity to be subject at all times to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first priority, perfected Lien (subject to Permitted Liens to the extent permitted by the Loan Documents) in favor of the Administrative Agent for the benefit of the Secured Parties to secure the Secured Obligations pursuant to the terms and conditions of the Collateral Documents. Each Loan Party shall provide opinions of counsel and any filings and deliveries reasonably necessary in connection therewith to perfect the security interests therein, all in form and substance reasonably satisfactory to the Administrative Agent.</w:t>
      </w:r>
    </w:p>
    <w:p>
      <w:pPr>
        <w:spacing w:after="0" w:line="162" w:lineRule="exact"/>
        <w:rPr>
          <w:rFonts w:ascii="Times New Roman" w:cs="Times New Roman" w:eastAsia="Times New Roman" w:hAnsi="Times New Roman"/>
          <w:sz w:val="19"/>
          <w:szCs w:val="19"/>
          <w:color w:val="auto"/>
        </w:rPr>
      </w:pPr>
    </w:p>
    <w:p>
      <w:pPr>
        <w:ind w:left="1720" w:hanging="415"/>
        <w:spacing w:after="0"/>
        <w:tabs>
          <w:tab w:leader="none" w:pos="172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645"/>
        <w:spacing w:after="0" w:line="273" w:lineRule="auto"/>
        <w:tabs>
          <w:tab w:leader="none" w:pos="180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Updated Schedules</w:t>
      </w:r>
      <w:r>
        <w:rPr>
          <w:rFonts w:ascii="Times New Roman" w:cs="Times New Roman" w:eastAsia="Times New Roman" w:hAnsi="Times New Roman"/>
          <w:sz w:val="20"/>
          <w:szCs w:val="20"/>
          <w:color w:val="auto"/>
        </w:rPr>
        <w:t>. Concurrently with the delivery of any Collateral pursuant to the terms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6.14</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shall provide the Administrative Agent with the applicable updated </w:t>
      </w:r>
      <w:r>
        <w:rPr>
          <w:rFonts w:ascii="Times New Roman" w:cs="Times New Roman" w:eastAsia="Times New Roman" w:hAnsi="Times New Roman"/>
          <w:sz w:val="20"/>
          <w:szCs w:val="20"/>
          <w:b w:val="1"/>
          <w:bCs w:val="1"/>
          <w:i w:val="1"/>
          <w:iCs w:val="1"/>
          <w:color w:val="auto"/>
        </w:rPr>
        <w:t>Schedule(s) 5.20(a)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5.20(b)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5.21(b)</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77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Further Assurances</w:t>
      </w:r>
      <w:r>
        <w:rPr>
          <w:rFonts w:ascii="Times New Roman" w:cs="Times New Roman" w:eastAsia="Times New Roman" w:hAnsi="Times New Roman"/>
          <w:sz w:val="20"/>
          <w:szCs w:val="20"/>
          <w:color w:val="auto"/>
        </w:rPr>
        <w:t>. At any time upon request of the Administrative Agent, promptly execute and deliver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further instruments and documents and take all such other action (including promptly completing any registration or stamping of documents as may be applicable) as the Administrative Agent may deem necessary or desirable to maintain in favor of the Administrative Agent, for the benefit of the Secured Parties, Liens and insurance rights on the Collateral that are duly perfected in accordance with the requirements of, or the obligations of the Loan Parties under, the Loan Documents and all Applicable Laws.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b w:val="1"/>
          <w:bCs w:val="1"/>
          <w:color w:val="auto"/>
        </w:rPr>
        <w:t>Cash Management</w:t>
      </w:r>
      <w:r>
        <w:rPr>
          <w:rFonts w:ascii="Times New Roman" w:cs="Times New Roman" w:eastAsia="Times New Roman" w:hAnsi="Times New Roman"/>
          <w:sz w:val="20"/>
          <w:szCs w:val="20"/>
          <w:color w:val="auto"/>
        </w:rPr>
        <w:t>. Maintain all primary cash management and treasury business with Bank of America, including, without limitation, all deposit accounts, disbursement accounts, investment accounts and lockbox accounts. For avoidance of doubt, Borrower and its Subsidiaries may maintain transactional accounts at other financial institutions.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b w:val="1"/>
          <w:bCs w:val="1"/>
          <w:color w:val="auto"/>
        </w:rPr>
        <w:t>Anti-Corruption Laws; Sanctions</w:t>
      </w:r>
      <w:r>
        <w:rPr>
          <w:rFonts w:ascii="Times New Roman" w:cs="Times New Roman" w:eastAsia="Times New Roman" w:hAnsi="Times New Roman"/>
          <w:sz w:val="20"/>
          <w:szCs w:val="20"/>
          <w:color w:val="auto"/>
        </w:rPr>
        <w:t>. 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b w:val="1"/>
          <w:bCs w:val="1"/>
          <w:color w:val="auto"/>
        </w:rPr>
        <w:t>Post-Closing Covenant</w:t>
      </w:r>
      <w:r>
        <w:rPr>
          <w:rFonts w:ascii="Times New Roman" w:cs="Times New Roman" w:eastAsia="Times New Roman" w:hAnsi="Times New Roman"/>
          <w:sz w:val="20"/>
          <w:szCs w:val="20"/>
          <w:color w:val="auto"/>
        </w:rPr>
        <w:t>. Within forty-five (45) days of the Closing Date, Borrower will cause (a) Powell Industries International, Inc. and Powell Industries International B.V. to promptly execute and deliver any and all further instruments and documents and take all such other action (including promptly completing any registration or stamping of documents as may be applicable) as the Administrative Agent may deem necessary or desirable to create or maintain in favor of the Administrative Agent, for the benefit</w:t>
      </w:r>
    </w:p>
    <w:p>
      <w:pPr>
        <w:sectPr>
          <w:pgSz w:w="11900" w:h="16838" w:orient="portrait"/>
          <w:cols w:equalWidth="0" w:num="1">
            <w:col w:w="11420"/>
          </w:cols>
          <w:pgMar w:left="240" w:top="562" w:right="239" w:bottom="1440" w:gutter="0" w:footer="0" w:header="0"/>
        </w:sectPr>
      </w:pPr>
    </w:p>
    <w:bookmarkStart w:id="155" w:name="page156"/>
    <w:bookmarkEnd w:id="155"/>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of the Secured Parties, Liens on 65% of the Equity Interests of Powell Industries International B.V. that are duly perfected in accordance with the requirements of, or the obligations of the Loan Parties under, the Loan Documents and all Applicable Laws, and (b) Borrower’s counsel to deliver legal opinion(s) in connection with the documentation contemplated in </w:t>
      </w:r>
      <w:r>
        <w:rPr>
          <w:rFonts w:ascii="Times New Roman" w:cs="Times New Roman" w:eastAsia="Times New Roman" w:hAnsi="Times New Roman"/>
          <w:sz w:val="20"/>
          <w:szCs w:val="20"/>
          <w:b w:val="1"/>
          <w:bCs w:val="1"/>
          <w:i w:val="1"/>
          <w:iCs w:val="1"/>
          <w:color w:val="auto"/>
        </w:rPr>
        <w:t>clause (a)</w:t>
      </w:r>
      <w:r>
        <w:rPr>
          <w:rFonts w:ascii="Times New Roman" w:cs="Times New Roman" w:eastAsia="Times New Roman" w:hAnsi="Times New Roman"/>
          <w:sz w:val="20"/>
          <w:szCs w:val="20"/>
          <w:color w:val="auto"/>
        </w:rPr>
        <w:t xml:space="preserve"> above in form and substance reasonably satisfactory to the Administrative Agent.</w:t>
      </w:r>
    </w:p>
    <w:p>
      <w:pPr>
        <w:spacing w:after="0" w:line="1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VII.</w:t>
      </w:r>
      <w:r>
        <w:rPr>
          <w:sz w:val="20"/>
          <w:szCs w:val="20"/>
          <w:color w:val="auto"/>
        </w:rPr>
        <w:tab/>
      </w:r>
      <w:r>
        <w:rPr>
          <w:rFonts w:ascii="Times New Roman" w:cs="Times New Roman" w:eastAsia="Times New Roman" w:hAnsi="Times New Roman"/>
          <w:sz w:val="20"/>
          <w:szCs w:val="20"/>
          <w:b w:val="1"/>
          <w:bCs w:val="1"/>
          <w:color w:val="auto"/>
        </w:rPr>
        <w:t>NEGATIVE COVENANTS</w:t>
      </w:r>
      <w:r>
        <w:rPr>
          <w:rFonts w:ascii="Times New Roman" w:cs="Times New Roman" w:eastAsia="Times New Roman" w:hAnsi="Times New Roman"/>
          <w:sz w:val="20"/>
          <w:szCs w:val="20"/>
          <w:color w:val="auto"/>
        </w:rPr>
        <w:t>. Each of the Loan Parties hereby covenants and agrees that on the Closing Date and thereafter until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Termination Date, no Loan Party shall, nor shall it permit any Subsidiary to, directly or indirectly:</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7.01 </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Create, incur, assume or suffer to exist any Lien upon any of its property, assets or revenues, whether now owned or hereafter acquired, except for the following (the “</w:t>
      </w:r>
      <w:r>
        <w:rPr>
          <w:rFonts w:ascii="Times New Roman" w:cs="Times New Roman" w:eastAsia="Times New Roman" w:hAnsi="Times New Roman"/>
          <w:sz w:val="20"/>
          <w:szCs w:val="20"/>
          <w:b w:val="1"/>
          <w:bCs w:val="1"/>
          <w:i w:val="1"/>
          <w:iCs w:val="1"/>
          <w:color w:val="auto"/>
        </w:rPr>
        <w:t>Permitted Liens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1700" w:hanging="395"/>
        <w:spacing w:after="0"/>
        <w:tabs>
          <w:tab w:leader="none" w:pos="170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11"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listed on </w:t>
      </w:r>
      <w:r>
        <w:rPr>
          <w:rFonts w:ascii="Times New Roman" w:cs="Times New Roman" w:eastAsia="Times New Roman" w:hAnsi="Times New Roman"/>
          <w:sz w:val="20"/>
          <w:szCs w:val="20"/>
          <w:b w:val="1"/>
          <w:bCs w:val="1"/>
          <w:i w:val="1"/>
          <w:iCs w:val="1"/>
          <w:color w:val="auto"/>
        </w:rPr>
        <w:t>Schedule 7.01</w:t>
      </w:r>
      <w:r>
        <w:rPr>
          <w:rFonts w:ascii="Times New Roman" w:cs="Times New Roman" w:eastAsia="Times New Roman" w:hAnsi="Times New Roman"/>
          <w:sz w:val="20"/>
          <w:szCs w:val="20"/>
          <w:color w:val="auto"/>
        </w:rPr>
        <w:t xml:space="preserve"> and any renewals or extensions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5" w:lineRule="exact"/>
        <w:rPr>
          <w:rFonts w:ascii="Times New Roman" w:cs="Times New Roman" w:eastAsia="Times New Roman" w:hAnsi="Times New Roman"/>
          <w:sz w:val="20"/>
          <w:szCs w:val="20"/>
          <w:color w:val="auto"/>
        </w:rPr>
      </w:pPr>
    </w:p>
    <w:p>
      <w:pPr>
        <w:jc w:val="both"/>
        <w:ind w:left="660" w:hanging="4"/>
        <w:spacing w:after="0" w:line="242" w:lineRule="auto"/>
        <w:tabs>
          <w:tab w:leader="none" w:pos="899"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property covered thereby is not changed, (ii) the amount secured or benefited thereby is not increased except as contemplated by </w:t>
      </w:r>
      <w:r>
        <w:rPr>
          <w:rFonts w:ascii="Times New Roman" w:cs="Times New Roman" w:eastAsia="Times New Roman" w:hAnsi="Times New Roman"/>
          <w:sz w:val="20"/>
          <w:szCs w:val="20"/>
          <w:b w:val="1"/>
          <w:bCs w:val="1"/>
          <w:i w:val="1"/>
          <w:iCs w:val="1"/>
          <w:color w:val="auto"/>
        </w:rPr>
        <w:t>Section 7.02(b)</w:t>
      </w:r>
      <w:r>
        <w:rPr>
          <w:rFonts w:ascii="Times New Roman" w:cs="Times New Roman" w:eastAsia="Times New Roman" w:hAnsi="Times New Roman"/>
          <w:sz w:val="20"/>
          <w:szCs w:val="20"/>
          <w:color w:val="auto"/>
        </w:rPr>
        <w:t>, (iii) the direct or any contingent obligor with respect thereto is not changed, and (iv) any renewal or extension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obligations secured or benefited thereby is permitted by </w:t>
      </w:r>
      <w:r>
        <w:rPr>
          <w:rFonts w:ascii="Times New Roman" w:cs="Times New Roman" w:eastAsia="Times New Roman" w:hAnsi="Times New Roman"/>
          <w:sz w:val="20"/>
          <w:szCs w:val="20"/>
          <w:b w:val="1"/>
          <w:bCs w:val="1"/>
          <w:i w:val="1"/>
          <w:iCs w:val="1"/>
          <w:color w:val="auto"/>
        </w:rPr>
        <w:t>Section 7.02(b)</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660" w:firstLine="645"/>
        <w:spacing w:after="0" w:line="269" w:lineRule="auto"/>
        <w:tabs>
          <w:tab w:leader="none" w:pos="1857"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6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Statutory Liens such as carriers’, warehousemen’s, mechanics’, materialmen’s, repairmen’s or other like Liens arising in the ordinary course of business which are not overdue for a period of more than 30 days or which are being contested in good faith and by appropriate proceedings diligently conducted;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applicable Person;</w:t>
      </w:r>
    </w:p>
    <w:p>
      <w:pPr>
        <w:spacing w:after="0" w:line="180" w:lineRule="exact"/>
        <w:rPr>
          <w:rFonts w:ascii="Times New Roman" w:cs="Times New Roman" w:eastAsia="Times New Roman" w:hAnsi="Times New Roman"/>
          <w:sz w:val="20"/>
          <w:szCs w:val="20"/>
          <w:color w:val="auto"/>
        </w:rPr>
      </w:pPr>
    </w:p>
    <w:p>
      <w:pPr>
        <w:ind w:left="660" w:firstLine="645"/>
        <w:spacing w:after="0" w:line="269" w:lineRule="auto"/>
        <w:tabs>
          <w:tab w:leader="none" w:pos="187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67"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46"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80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(or appeal or other surety bonds relating to such judgments) not constituting an Event of Default under </w:t>
      </w:r>
      <w:r>
        <w:rPr>
          <w:rFonts w:ascii="Times New Roman" w:cs="Times New Roman" w:eastAsia="Times New Roman" w:hAnsi="Times New Roman"/>
          <w:sz w:val="20"/>
          <w:szCs w:val="20"/>
          <w:b w:val="1"/>
          <w:bCs w:val="1"/>
          <w:i w:val="1"/>
          <w:iCs w:val="1"/>
          <w:color w:val="auto"/>
        </w:rPr>
        <w:t>Section 8.01(h)</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660" w:right="20" w:firstLine="645"/>
        <w:spacing w:after="0" w:line="273" w:lineRule="auto"/>
        <w:tabs>
          <w:tab w:leader="none" w:pos="1729"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b w:val="1"/>
          <w:bCs w:val="1"/>
          <w:i w:val="1"/>
          <w:iCs w:val="1"/>
          <w:color w:val="auto"/>
        </w:rPr>
        <w:t>Section 7.02(c)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w:t>
      </w:r>
    </w:p>
    <w:p>
      <w:pPr>
        <w:sectPr>
          <w:pgSz w:w="11900" w:h="16838" w:orient="portrait"/>
          <w:cols w:equalWidth="0" w:num="1">
            <w:col w:w="11420"/>
          </w:cols>
          <w:pgMar w:left="240" w:top="562" w:right="239" w:bottom="1440" w:gutter="0" w:footer="0" w:header="0"/>
        </w:sectPr>
      </w:pPr>
    </w:p>
    <w:bookmarkStart w:id="156" w:name="page157"/>
    <w:bookmarkEnd w:id="156"/>
    <w:p>
      <w:pPr>
        <w:ind w:right="20"/>
        <w:spacing w:after="0" w:line="269" w:lineRule="auto"/>
        <w:rPr>
          <w:sz w:val="20"/>
          <w:szCs w:val="20"/>
          <w:color w:val="auto"/>
        </w:rPr>
      </w:pPr>
      <w:r>
        <w:rPr>
          <w:rFonts w:ascii="Times New Roman" w:cs="Times New Roman" w:eastAsia="Times New Roman" w:hAnsi="Times New Roman"/>
          <w:sz w:val="20"/>
          <w:szCs w:val="20"/>
          <w:color w:val="auto"/>
        </w:rPr>
        <w:t>and (ii) the Indebtedness secured thereby does not exceed the cost or fair market value, whichever is lower, of the property being acquired on the date of acquisition;</w:t>
      </w:r>
    </w:p>
    <w:p>
      <w:pPr>
        <w:spacing w:after="0" w:line="160" w:lineRule="exact"/>
        <w:rPr>
          <w:sz w:val="20"/>
          <w:szCs w:val="20"/>
          <w:color w:val="auto"/>
        </w:rPr>
      </w:pPr>
    </w:p>
    <w:p>
      <w:pPr>
        <w:jc w:val="both"/>
        <w:ind w:firstLine="645"/>
        <w:spacing w:after="0" w:line="247" w:lineRule="auto"/>
        <w:tabs>
          <w:tab w:leader="none" w:pos="112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bankers’ Liens, rights of setoff and other similar Liens existing solely with respect to cash and Cash Equivalents on deposit in one or more accounts maintained by the Borrower or any of its Subsidiaries with any Lender, in each case in the ordinary course of business in favor of the bank or banks with which such accounts are maintained, securing solely the customary amounts owing to such bank with respect to cash management and operating account arrangements;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no case shall any such Liens secure (either directly or indirectly) the repayment of any Indebtedness;</w:t>
      </w:r>
    </w:p>
    <w:p>
      <w:pPr>
        <w:spacing w:after="0" w:line="176" w:lineRule="exact"/>
        <w:rPr>
          <w:rFonts w:ascii="Times New Roman" w:cs="Times New Roman" w:eastAsia="Times New Roman" w:hAnsi="Times New Roman"/>
          <w:sz w:val="20"/>
          <w:szCs w:val="20"/>
          <w:color w:val="auto"/>
        </w:rPr>
      </w:pPr>
    </w:p>
    <w:p>
      <w:pPr>
        <w:ind w:firstLine="645"/>
        <w:spacing w:after="0" w:line="273" w:lineRule="auto"/>
        <w:tabs>
          <w:tab w:leader="none" w:pos="11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out of judgments or awards not resulting in an Event of Default;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the applicable Loan Party or Subsidiary shall in good faith be prosecuting an appeal or proceedings for review;</w:t>
      </w:r>
    </w:p>
    <w:p>
      <w:pPr>
        <w:spacing w:after="0" w:line="156" w:lineRule="exact"/>
        <w:rPr>
          <w:rFonts w:ascii="Times New Roman" w:cs="Times New Roman" w:eastAsia="Times New Roman" w:hAnsi="Times New Roman"/>
          <w:sz w:val="20"/>
          <w:szCs w:val="20"/>
          <w:color w:val="auto"/>
        </w:rPr>
      </w:pPr>
    </w:p>
    <w:p>
      <w:pPr>
        <w:ind w:firstLine="645"/>
        <w:spacing w:after="0" w:line="269" w:lineRule="auto"/>
        <w:tabs>
          <w:tab w:leader="none" w:pos="101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licensor or sublessor under any lease, license or sublease entered into by any Loan Party or any Subsidiary thereof in the ordinary course of business and covering only the assets so leased, licensed or subleased;</w:t>
      </w:r>
    </w:p>
    <w:p>
      <w:pPr>
        <w:spacing w:after="0" w:line="159" w:lineRule="exact"/>
        <w:rPr>
          <w:rFonts w:ascii="Times New Roman" w:cs="Times New Roman" w:eastAsia="Times New Roman" w:hAnsi="Times New Roman"/>
          <w:sz w:val="20"/>
          <w:szCs w:val="20"/>
          <w:color w:val="auto"/>
        </w:rPr>
      </w:pPr>
    </w:p>
    <w:p>
      <w:pPr>
        <w:ind w:left="1120" w:hanging="475"/>
        <w:spacing w:after="0"/>
        <w:tabs>
          <w:tab w:leader="none" w:pos="112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not to exceed $500,000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Lien shall extend to or cover any Collateral.</w:t>
      </w:r>
    </w:p>
    <w:p>
      <w:pPr>
        <w:spacing w:after="0" w:line="21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7.02</w:t>
      </w:r>
      <w:r>
        <w:rPr>
          <w:sz w:val="20"/>
          <w:szCs w:val="20"/>
          <w:color w:val="auto"/>
        </w:rPr>
        <w:tab/>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Create, incur, assume or suffer to exist any Indebtedness, except:</w:t>
      </w:r>
    </w:p>
    <w:p>
      <w:pPr>
        <w:spacing w:after="0" w:line="220" w:lineRule="exact"/>
        <w:rPr>
          <w:sz w:val="20"/>
          <w:szCs w:val="20"/>
          <w:color w:val="auto"/>
        </w:rPr>
      </w:pPr>
    </w:p>
    <w:p>
      <w:pPr>
        <w:ind w:left="1040" w:hanging="395"/>
        <w:spacing w:after="0"/>
        <w:tabs>
          <w:tab w:leader="none" w:pos="104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211" w:lineRule="exact"/>
        <w:rPr>
          <w:rFonts w:ascii="Times New Roman" w:cs="Times New Roman" w:eastAsia="Times New Roman" w:hAnsi="Times New Roman"/>
          <w:sz w:val="20"/>
          <w:szCs w:val="20"/>
          <w:color w:val="auto"/>
        </w:rPr>
      </w:pPr>
    </w:p>
    <w:p>
      <w:pPr>
        <w:jc w:val="both"/>
        <w:ind w:firstLine="645"/>
        <w:spacing w:after="0" w:line="244" w:lineRule="auto"/>
        <w:tabs>
          <w:tab w:leader="none" w:pos="111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b w:val="1"/>
          <w:bCs w:val="1"/>
          <w:i w:val="1"/>
          <w:iCs w:val="1"/>
          <w:color w:val="auto"/>
        </w:rPr>
        <w:t>Schedule 7.02</w:t>
      </w:r>
      <w:r>
        <w:rPr>
          <w:rFonts w:ascii="Times New Roman" w:cs="Times New Roman" w:eastAsia="Times New Roman" w:hAnsi="Times New Roman"/>
          <w:sz w:val="20"/>
          <w:szCs w:val="20"/>
          <w:color w:val="auto"/>
        </w:rPr>
        <w:t xml:space="preserve"> and any refinancings, refundings, renewals or extensions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provided further that, Indebtedness subordinated to the Obligations may not be refinanced except on subordination terms at least as favorable to the Lenders and no more restrictive on Borrower than the subordinated Indebtedness being refinanced, and in an amount not less than the amount outstanding at the time of such refinancing;</w:t>
      </w:r>
    </w:p>
    <w:p>
      <w:pPr>
        <w:spacing w:after="0" w:line="186" w:lineRule="exact"/>
        <w:rPr>
          <w:rFonts w:ascii="Times New Roman" w:cs="Times New Roman" w:eastAsia="Times New Roman" w:hAnsi="Times New Roman"/>
          <w:sz w:val="20"/>
          <w:szCs w:val="20"/>
          <w:color w:val="auto"/>
        </w:rPr>
      </w:pPr>
    </w:p>
    <w:p>
      <w:pPr>
        <w:jc w:val="both"/>
        <w:ind w:firstLine="645"/>
        <w:spacing w:after="0" w:line="254" w:lineRule="auto"/>
        <w:tabs>
          <w:tab w:leader="none" w:pos="111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Financing Leases, Synthetic Lease Obligations and purchase money obligations for fixed or capital assets within the limitations set forth in </w:t>
      </w:r>
      <w:r>
        <w:rPr>
          <w:rFonts w:ascii="Times New Roman" w:cs="Times New Roman" w:eastAsia="Times New Roman" w:hAnsi="Times New Roman"/>
          <w:sz w:val="20"/>
          <w:szCs w:val="20"/>
          <w:b w:val="1"/>
          <w:bCs w:val="1"/>
          <w:i w:val="1"/>
          <w:iCs w:val="1"/>
          <w:color w:val="auto"/>
        </w:rPr>
        <w:t>Section 7.01(i)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aggregate amount of all such Indebtedness at any one time outstanding shall not exceed $5,000,000;</w:t>
      </w:r>
    </w:p>
    <w:p>
      <w:pPr>
        <w:spacing w:after="0" w:line="174" w:lineRule="exact"/>
        <w:rPr>
          <w:rFonts w:ascii="Times New Roman" w:cs="Times New Roman" w:eastAsia="Times New Roman" w:hAnsi="Times New Roman"/>
          <w:sz w:val="20"/>
          <w:szCs w:val="20"/>
          <w:color w:val="auto"/>
        </w:rPr>
      </w:pPr>
    </w:p>
    <w:p>
      <w:pPr>
        <w:ind w:right="20" w:firstLine="645"/>
        <w:spacing w:after="0" w:line="269" w:lineRule="auto"/>
        <w:tabs>
          <w:tab w:leader="none" w:pos="11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a Subsidiary of the Borrower owed to the Borrower or a Subsidiary of the Borrower, which Indebtedness shall be otherwise permitted under the provisions of </w:t>
      </w:r>
      <w:r>
        <w:rPr>
          <w:rFonts w:ascii="Times New Roman" w:cs="Times New Roman" w:eastAsia="Times New Roman" w:hAnsi="Times New Roman"/>
          <w:sz w:val="20"/>
          <w:szCs w:val="20"/>
          <w:b w:val="1"/>
          <w:bCs w:val="1"/>
          <w:i w:val="1"/>
          <w:iCs w:val="1"/>
          <w:color w:val="auto"/>
        </w:rPr>
        <w:t>Section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Intercompany Debt</w:t>
      </w:r>
      <w:r>
        <w:rPr>
          <w:rFonts w:ascii="Times New Roman" w:cs="Times New Roman" w:eastAsia="Times New Roman" w:hAnsi="Times New Roman"/>
          <w:sz w:val="20"/>
          <w:szCs w:val="20"/>
          <w:color w:val="auto"/>
        </w:rPr>
        <w:t>”);</w:t>
      </w:r>
    </w:p>
    <w:p>
      <w:pPr>
        <w:sectPr>
          <w:pgSz w:w="11900" w:h="16838" w:orient="portrait"/>
          <w:cols w:equalWidth="0" w:num="1">
            <w:col w:w="10760"/>
          </w:cols>
          <w:pgMar w:left="900" w:top="562" w:right="239" w:bottom="1440" w:gutter="0" w:footer="0" w:header="0"/>
        </w:sectPr>
      </w:pPr>
    </w:p>
    <w:bookmarkStart w:id="157" w:name="page158"/>
    <w:bookmarkEnd w:id="157"/>
    <w:p>
      <w:pPr>
        <w:jc w:val="both"/>
        <w:ind w:firstLine="645"/>
        <w:spacing w:after="0" w:line="254" w:lineRule="auto"/>
        <w:tabs>
          <w:tab w:leader="none" w:pos="107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of the Borrower or any Subsidiary in respect of Indebtedness otherwise permitted hereunder of the Borrower or any wholly-owned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Foreign Subsidiaries shall not guaranty or otherwise provide credit support for any Indebtedness;</w:t>
      </w:r>
    </w:p>
    <w:p>
      <w:pPr>
        <w:spacing w:after="0" w:line="174" w:lineRule="exact"/>
        <w:rPr>
          <w:rFonts w:ascii="Times New Roman" w:cs="Times New Roman" w:eastAsia="Times New Roman" w:hAnsi="Times New Roman"/>
          <w:sz w:val="20"/>
          <w:szCs w:val="20"/>
          <w:color w:val="auto"/>
        </w:rPr>
      </w:pPr>
    </w:p>
    <w:p>
      <w:pPr>
        <w:jc w:val="both"/>
        <w:ind w:firstLine="645"/>
        <w:spacing w:after="0" w:line="249" w:lineRule="auto"/>
        <w:tabs>
          <w:tab w:leader="none" w:pos="1067"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(contingent or otherwise) existing or arising under any Swap Contract, provided that (i)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w:t>
      </w:r>
    </w:p>
    <w:p>
      <w:pPr>
        <w:spacing w:after="0" w:line="180"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Bonds;</w:t>
      </w:r>
    </w:p>
    <w:p>
      <w:pPr>
        <w:spacing w:after="0" w:line="215"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Powell UK Ltd. that does not exceed £22,000,000;</w:t>
      </w:r>
    </w:p>
    <w:p>
      <w:pPr>
        <w:spacing w:after="0" w:line="215" w:lineRule="exact"/>
        <w:rPr>
          <w:rFonts w:ascii="Times New Roman" w:cs="Times New Roman" w:eastAsia="Times New Roman" w:hAnsi="Times New Roman"/>
          <w:sz w:val="20"/>
          <w:szCs w:val="20"/>
          <w:color w:val="auto"/>
        </w:rPr>
      </w:pPr>
    </w:p>
    <w:p>
      <w:pPr>
        <w:ind w:firstLine="645"/>
        <w:spacing w:after="0" w:line="269" w:lineRule="auto"/>
        <w:tabs>
          <w:tab w:leader="none" w:pos="106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by the Borrower of Indebtedness of Powell UK Ltd. so long as the maximum amount of such guarantee does not exceed £22,000,000 at any time;</w:t>
      </w:r>
    </w:p>
    <w:p>
      <w:pPr>
        <w:spacing w:after="0" w:line="159" w:lineRule="exact"/>
        <w:rPr>
          <w:rFonts w:ascii="Times New Roman" w:cs="Times New Roman" w:eastAsia="Times New Roman" w:hAnsi="Times New Roman"/>
          <w:sz w:val="20"/>
          <w:szCs w:val="20"/>
          <w:color w:val="auto"/>
        </w:rPr>
      </w:pPr>
    </w:p>
    <w:p>
      <w:pPr>
        <w:ind w:left="1020" w:hanging="375"/>
        <w:spacing w:after="0"/>
        <w:tabs>
          <w:tab w:leader="none" w:pos="10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evidenced by Surety Bonds;</w:t>
      </w:r>
    </w:p>
    <w:p>
      <w:pPr>
        <w:spacing w:after="0" w:line="215" w:lineRule="exact"/>
        <w:rPr>
          <w:rFonts w:ascii="Times New Roman" w:cs="Times New Roman" w:eastAsia="Times New Roman" w:hAnsi="Times New Roman"/>
          <w:sz w:val="20"/>
          <w:szCs w:val="20"/>
          <w:color w:val="auto"/>
        </w:rPr>
      </w:pPr>
    </w:p>
    <w:p>
      <w:pPr>
        <w:ind w:right="20" w:firstLine="645"/>
        <w:spacing w:after="0" w:line="269" w:lineRule="auto"/>
        <w:tabs>
          <w:tab w:leader="none" w:pos="1181"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to insurance companies or their Affiliates incurred to finance premiums on policies provided by such insurance companies (and the amount thereof limited to such purpose) in the ordinary course of business; and</w:t>
      </w:r>
    </w:p>
    <w:p>
      <w:pPr>
        <w:spacing w:after="0" w:line="159" w:lineRule="exact"/>
        <w:rPr>
          <w:rFonts w:ascii="Times New Roman" w:cs="Times New Roman" w:eastAsia="Times New Roman" w:hAnsi="Times New Roman"/>
          <w:sz w:val="20"/>
          <w:szCs w:val="20"/>
          <w:color w:val="auto"/>
        </w:rPr>
      </w:pPr>
    </w:p>
    <w:p>
      <w:pPr>
        <w:ind w:firstLine="645"/>
        <w:spacing w:after="0" w:line="269" w:lineRule="auto"/>
        <w:tabs>
          <w:tab w:leader="none" w:pos="105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Indebtedness not contemplated by the above provisions in an aggregate principal amount not to exceed $5,000,000 at any time outstanding.</w:t>
      </w:r>
    </w:p>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19"/>
          <w:szCs w:val="19"/>
          <w:b w:val="1"/>
          <w:bCs w:val="1"/>
          <w:color w:val="auto"/>
        </w:rPr>
        <w:t>Investments</w:t>
      </w:r>
      <w:r>
        <w:rPr>
          <w:rFonts w:ascii="Times New Roman" w:cs="Times New Roman" w:eastAsia="Times New Roman" w:hAnsi="Times New Roman"/>
          <w:sz w:val="19"/>
          <w:szCs w:val="19"/>
          <w:color w:val="auto"/>
        </w:rPr>
        <w:t>. Make or hold any Investments, except:</w:t>
      </w:r>
    </w:p>
    <w:p>
      <w:pPr>
        <w:spacing w:after="0" w:line="220" w:lineRule="exact"/>
        <w:rPr>
          <w:sz w:val="20"/>
          <w:szCs w:val="20"/>
          <w:color w:val="auto"/>
        </w:rPr>
      </w:pPr>
    </w:p>
    <w:p>
      <w:pPr>
        <w:ind w:left="1040" w:hanging="395"/>
        <w:spacing w:after="0"/>
        <w:tabs>
          <w:tab w:leader="none" w:pos="104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the Borrower and its Subsidiaries in the form of cash or Cash Equivalents;</w:t>
      </w:r>
    </w:p>
    <w:p>
      <w:pPr>
        <w:spacing w:after="0" w:line="215" w:lineRule="exact"/>
        <w:rPr>
          <w:rFonts w:ascii="Times New Roman" w:cs="Times New Roman" w:eastAsia="Times New Roman" w:hAnsi="Times New Roman"/>
          <w:sz w:val="20"/>
          <w:szCs w:val="20"/>
          <w:color w:val="auto"/>
        </w:rPr>
      </w:pPr>
    </w:p>
    <w:p>
      <w:pPr>
        <w:ind w:right="20" w:firstLine="645"/>
        <w:spacing w:after="0" w:line="269" w:lineRule="auto"/>
        <w:tabs>
          <w:tab w:leader="none" w:pos="114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officers, directors and employees of the Borrower and Subsidiaries in an aggregate amount not to exceed $250,000 at any time outstanding, for travel, entertainment, relocation and analogous ordinary business purposes;</w:t>
      </w:r>
    </w:p>
    <w:p>
      <w:pPr>
        <w:spacing w:after="0" w:line="159" w:lineRule="exact"/>
        <w:rPr>
          <w:rFonts w:ascii="Times New Roman" w:cs="Times New Roman" w:eastAsia="Times New Roman" w:hAnsi="Times New Roman"/>
          <w:sz w:val="20"/>
          <w:szCs w:val="20"/>
          <w:color w:val="auto"/>
        </w:rPr>
      </w:pPr>
    </w:p>
    <w:p>
      <w:pPr>
        <w:jc w:val="both"/>
        <w:ind w:firstLine="645"/>
        <w:spacing w:after="0" w:line="245" w:lineRule="auto"/>
        <w:tabs>
          <w:tab w:leader="none" w:pos="1102"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by the Borrower and its Subsidiaries in their respective Subsidiaries outstanding on the date hereof, (ii) additional Investments by the Borrower and its Subsidiaries in Loan Parties, (iii) additional Investments by Subsidiaries of the Borrower that are not Loan Parties in other Subsidiaries that are not Loan Parties, (iv) additional Investments by any Loan Party in any wholly owned Subsidiary in existence as of the Closing Date and any additional Investments by a wholly owned Subsidiary in another wholly owned Subsidiary, and (v) Investments by Borrower in any non-wholly owned Subsidiary in existence as of the Closing Date in an aggregate amount invested not to exceed $1,000,000 in any fiscal year;</w:t>
      </w:r>
    </w:p>
    <w:p>
      <w:pPr>
        <w:spacing w:after="0" w:line="185" w:lineRule="exact"/>
        <w:rPr>
          <w:rFonts w:ascii="Times New Roman" w:cs="Times New Roman" w:eastAsia="Times New Roman" w:hAnsi="Times New Roman"/>
          <w:sz w:val="20"/>
          <w:szCs w:val="20"/>
          <w:color w:val="auto"/>
        </w:rPr>
      </w:pPr>
    </w:p>
    <w:p>
      <w:pPr>
        <w:jc w:val="both"/>
        <w:ind w:firstLine="645"/>
        <w:spacing w:after="0" w:line="254" w:lineRule="auto"/>
        <w:tabs>
          <w:tab w:leader="none" w:pos="112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ectPr>
          <w:pgSz w:w="11900" w:h="16838" w:orient="portrait"/>
          <w:cols w:equalWidth="0" w:num="1">
            <w:col w:w="10760"/>
          </w:cols>
          <w:pgMar w:left="900" w:top="562" w:right="239" w:bottom="1440" w:gutter="0" w:footer="0" w:header="0"/>
        </w:sectPr>
      </w:pPr>
    </w:p>
    <w:bookmarkStart w:id="158" w:name="page159"/>
    <w:bookmarkEnd w:id="158"/>
    <w:p>
      <w:pPr>
        <w:ind w:left="1700" w:hanging="395"/>
        <w:spacing w:after="0"/>
        <w:tabs>
          <w:tab w:leader="none" w:pos="17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b w:val="1"/>
          <w:bCs w:val="1"/>
          <w:i w:val="1"/>
          <w:iCs w:val="1"/>
          <w:color w:val="auto"/>
        </w:rPr>
        <w:t>Section 7.02</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date hereof (other than those referred to in </w:t>
      </w:r>
      <w:r>
        <w:rPr>
          <w:rFonts w:ascii="Times New Roman" w:cs="Times New Roman" w:eastAsia="Times New Roman" w:hAnsi="Times New Roman"/>
          <w:sz w:val="20"/>
          <w:szCs w:val="20"/>
          <w:b w:val="1"/>
          <w:bCs w:val="1"/>
          <w:i w:val="1"/>
          <w:iCs w:val="1"/>
          <w:color w:val="auto"/>
        </w:rPr>
        <w:t>Section 7.03(c)(i)</w:t>
      </w:r>
      <w:r>
        <w:rPr>
          <w:rFonts w:ascii="Times New Roman" w:cs="Times New Roman" w:eastAsia="Times New Roman" w:hAnsi="Times New Roman"/>
          <w:sz w:val="20"/>
          <w:szCs w:val="20"/>
          <w:color w:val="auto"/>
        </w:rPr>
        <w:t xml:space="preserve">) and set forth on </w:t>
      </w:r>
      <w:r>
        <w:rPr>
          <w:rFonts w:ascii="Times New Roman" w:cs="Times New Roman" w:eastAsia="Times New Roman" w:hAnsi="Times New Roman"/>
          <w:sz w:val="20"/>
          <w:szCs w:val="20"/>
          <w:b w:val="1"/>
          <w:bCs w:val="1"/>
          <w:i w:val="1"/>
          <w:iCs w:val="1"/>
          <w:color w:val="auto"/>
        </w:rPr>
        <w:t>Schedule 7.03</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74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Acquisitions (other than of CFCs and Subsidiaries held directly or indirectly by a CFC which Investments are covered by </w:t>
      </w:r>
      <w:r>
        <w:rPr>
          <w:rFonts w:ascii="Times New Roman" w:cs="Times New Roman" w:eastAsia="Times New Roman" w:hAnsi="Times New Roman"/>
          <w:sz w:val="20"/>
          <w:szCs w:val="20"/>
          <w:b w:val="1"/>
          <w:bCs w:val="1"/>
          <w:i w:val="1"/>
          <w:iCs w:val="1"/>
          <w:color w:val="auto"/>
        </w:rPr>
        <w:t>Section 7.03(c)(iv)</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8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7.04 </w:t>
      </w:r>
      <w:r>
        <w:rPr>
          <w:rFonts w:ascii="Times New Roman" w:cs="Times New Roman" w:eastAsia="Times New Roman" w:hAnsi="Times New Roman"/>
          <w:sz w:val="20"/>
          <w:szCs w:val="20"/>
          <w:b w:val="1"/>
          <w:bCs w:val="1"/>
          <w:color w:val="auto"/>
        </w:rPr>
        <w:t>Fundamental Changes</w:t>
      </w:r>
      <w:r>
        <w:rPr>
          <w:rFonts w:ascii="Times New Roman" w:cs="Times New Roman" w:eastAsia="Times New Roman" w:hAnsi="Times New Roman"/>
          <w:sz w:val="20"/>
          <w:szCs w:val="20"/>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69" w:lineRule="exact"/>
        <w:rPr>
          <w:sz w:val="20"/>
          <w:szCs w:val="20"/>
          <w:color w:val="auto"/>
        </w:rPr>
      </w:pPr>
    </w:p>
    <w:p>
      <w:pPr>
        <w:jc w:val="both"/>
        <w:ind w:left="660" w:firstLine="645"/>
        <w:spacing w:after="0" w:line="256" w:lineRule="auto"/>
        <w:tabs>
          <w:tab w:leader="none" w:pos="1722"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merge with (i)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the continuing or surviving Person, or (ii) any one or more other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when any Loan Party is merging with another Subsidiary, such Loan Party shall be the continuing or surviving Person;</w:t>
      </w:r>
    </w:p>
    <w:p>
      <w:pPr>
        <w:spacing w:after="0" w:line="172" w:lineRule="exact"/>
        <w:rPr>
          <w:rFonts w:ascii="Times New Roman" w:cs="Times New Roman" w:eastAsia="Times New Roman" w:hAnsi="Times New Roman"/>
          <w:sz w:val="20"/>
          <w:szCs w:val="20"/>
          <w:color w:val="auto"/>
        </w:rPr>
      </w:pPr>
    </w:p>
    <w:p>
      <w:pPr>
        <w:ind w:left="660" w:firstLine="645"/>
        <w:spacing w:after="0" w:line="269" w:lineRule="auto"/>
        <w:tabs>
          <w:tab w:leader="none" w:pos="182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may Dispose of all or substantially all of its assets (upon voluntary liquidation or otherwise) to the Borrower or to another Loan Party;</w:t>
      </w:r>
    </w:p>
    <w:p>
      <w:pPr>
        <w:spacing w:after="0" w:line="15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7.05</w:t>
      </w:r>
      <w:r>
        <w:rPr>
          <w:sz w:val="20"/>
          <w:szCs w:val="20"/>
          <w:color w:val="auto"/>
        </w:rPr>
        <w:tab/>
      </w:r>
      <w:r>
        <w:rPr>
          <w:rFonts w:ascii="Times New Roman" w:cs="Times New Roman" w:eastAsia="Times New Roman" w:hAnsi="Times New Roman"/>
          <w:sz w:val="19"/>
          <w:szCs w:val="19"/>
          <w:b w:val="1"/>
          <w:bCs w:val="1"/>
          <w:color w:val="auto"/>
        </w:rPr>
        <w:t>Dispositions</w:t>
      </w:r>
      <w:r>
        <w:rPr>
          <w:rFonts w:ascii="Times New Roman" w:cs="Times New Roman" w:eastAsia="Times New Roman" w:hAnsi="Times New Roman"/>
          <w:sz w:val="19"/>
          <w:szCs w:val="19"/>
          <w:color w:val="auto"/>
        </w:rPr>
        <w:t>. Make any Disposition or enter into any agreement to make any Disposition, except:</w:t>
      </w:r>
    </w:p>
    <w:p>
      <w:pPr>
        <w:spacing w:after="0" w:line="220" w:lineRule="exact"/>
        <w:rPr>
          <w:sz w:val="20"/>
          <w:szCs w:val="20"/>
          <w:color w:val="auto"/>
        </w:rPr>
      </w:pPr>
    </w:p>
    <w:p>
      <w:pPr>
        <w:ind w:left="1700" w:hanging="395"/>
        <w:spacing w:after="0"/>
        <w:tabs>
          <w:tab w:leader="none" w:pos="17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Transfers;</w:t>
      </w:r>
    </w:p>
    <w:p>
      <w:pPr>
        <w:spacing w:after="0" w:line="215" w:lineRule="exact"/>
        <w:rPr>
          <w:rFonts w:ascii="Times New Roman" w:cs="Times New Roman" w:eastAsia="Times New Roman" w:hAnsi="Times New Roman"/>
          <w:sz w:val="20"/>
          <w:szCs w:val="20"/>
          <w:color w:val="auto"/>
        </w:rPr>
      </w:pPr>
    </w:p>
    <w:p>
      <w:pPr>
        <w:ind w:left="1840" w:hanging="535"/>
        <w:spacing w:after="0"/>
        <w:tabs>
          <w:tab w:leader="none" w:pos="18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whether now owned or hereafter acquired, in the ordinary course of</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93"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2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 and</w:t>
      </w:r>
    </w:p>
    <w:p>
      <w:pPr>
        <w:spacing w:after="0" w:line="170"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b w:val="1"/>
          <w:bCs w:val="1"/>
          <w:i w:val="1"/>
          <w:iCs w:val="1"/>
          <w:color w:val="auto"/>
        </w:rPr>
        <w:t>Section 7.04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7.06 </w:t>
      </w:r>
      <w:r>
        <w:rPr>
          <w:rFonts w:ascii="Times New Roman" w:cs="Times New Roman" w:eastAsia="Times New Roman" w:hAnsi="Times New Roman"/>
          <w:sz w:val="20"/>
          <w:szCs w:val="20"/>
          <w:b w:val="1"/>
          <w:bCs w:val="1"/>
          <w:color w:val="auto"/>
        </w:rPr>
        <w:t>Restricted Payments</w:t>
      </w:r>
      <w:r>
        <w:rPr>
          <w:rFonts w:ascii="Times New Roman" w:cs="Times New Roman" w:eastAsia="Times New Roman" w:hAnsi="Times New Roman"/>
          <w:sz w:val="20"/>
          <w:szCs w:val="20"/>
          <w:color w:val="auto"/>
        </w:rPr>
        <w:t>. Declare or make, directly or indirectly, any Restricted Payment, or incur any obligation (contingent or otherwise) to do so, except that, so long as no Default shall have occurred and be continuing at the time of any action described below or would result therefrom:</w:t>
      </w:r>
    </w:p>
    <w:p>
      <w:pPr>
        <w:spacing w:after="0" w:line="173" w:lineRule="exact"/>
        <w:rPr>
          <w:sz w:val="20"/>
          <w:szCs w:val="20"/>
          <w:color w:val="auto"/>
        </w:rPr>
      </w:pPr>
    </w:p>
    <w:p>
      <w:pPr>
        <w:jc w:val="both"/>
        <w:ind w:left="660" w:firstLine="645"/>
        <w:spacing w:after="0" w:line="254" w:lineRule="auto"/>
        <w:tabs>
          <w:tab w:leader="none" w:pos="177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Borrower and to wholly- owned Subsidiaries (and, in the case of a Restricted Payment by a non-wholly-owned Subsidiary, to Borrower and any Subsidiary and to each other owner of capital stock or other equity interests of such Subsidiary on a pro rata basis based on their relative ownership interests);</w:t>
      </w:r>
    </w:p>
    <w:p>
      <w:pPr>
        <w:sectPr>
          <w:pgSz w:w="11900" w:h="16838" w:orient="portrait"/>
          <w:cols w:equalWidth="0" w:num="1">
            <w:col w:w="11420"/>
          </w:cols>
          <w:pgMar w:left="240" w:top="559" w:right="239" w:bottom="1440" w:gutter="0" w:footer="0" w:header="0"/>
        </w:sectPr>
      </w:pPr>
    </w:p>
    <w:bookmarkStart w:id="159" w:name="page160"/>
    <w:bookmarkEnd w:id="159"/>
    <w:p>
      <w:pPr>
        <w:ind w:left="660" w:firstLine="645"/>
        <w:spacing w:after="0" w:line="269" w:lineRule="auto"/>
        <w:tabs>
          <w:tab w:leader="none" w:pos="181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and each Subsidiary may declare and make dividend payments or other distributions payable solely in the common stock or other common equity interests of such Person;</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3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and each Subsidiary may purchase, redeem or otherwise acquire shares of its common stock or other common equity interests or warrants or options to acquire any such shares with the proceeds received from the substantially concurrent issue of new shares of its common stock or other common equity interests;</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77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may pay quarterly dividends to its shareholders in cash, in an amount not to exceed $15,000,000 during any fiscal year; and</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may purchase or otherwise acquire shares of its common stock pursuant to share repurchase programs authorized, from time to time, by its board of directors, in an amount not to exceed $35,000,000 in the aggregate, from the Closing Date to the Maturity Date.</w:t>
      </w:r>
    </w:p>
    <w:p>
      <w:pPr>
        <w:spacing w:after="0" w:line="171"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7.07 </w:t>
      </w:r>
      <w:r>
        <w:rPr>
          <w:rFonts w:ascii="Times New Roman" w:cs="Times New Roman" w:eastAsia="Times New Roman" w:hAnsi="Times New Roman"/>
          <w:sz w:val="20"/>
          <w:szCs w:val="20"/>
          <w:b w:val="1"/>
          <w:bCs w:val="1"/>
          <w:color w:val="auto"/>
        </w:rPr>
        <w:t>Change in Nature of Business</w:t>
      </w:r>
      <w:r>
        <w:rPr>
          <w:rFonts w:ascii="Times New Roman" w:cs="Times New Roman" w:eastAsia="Times New Roman" w:hAnsi="Times New Roman"/>
          <w:sz w:val="20"/>
          <w:szCs w:val="20"/>
          <w:color w:val="auto"/>
        </w:rPr>
        <w:t>. Engage in any material line of business substantially different from those lines of business conducted by the Borrower and its Subsidiaries on the date hereof or any business substantially related or incidental thereto.</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7.08 </w:t>
      </w:r>
      <w:r>
        <w:rPr>
          <w:rFonts w:ascii="Times New Roman" w:cs="Times New Roman" w:eastAsia="Times New Roman" w:hAnsi="Times New Roman"/>
          <w:sz w:val="20"/>
          <w:szCs w:val="20"/>
          <w:b w:val="1"/>
          <w:bCs w:val="1"/>
          <w:color w:val="auto"/>
        </w:rPr>
        <w:t>Transactions with Affiliates</w:t>
      </w:r>
      <w:r>
        <w:rPr>
          <w:rFonts w:ascii="Times New Roman" w:cs="Times New Roman" w:eastAsia="Times New Roman" w:hAnsi="Times New Roman"/>
          <w:sz w:val="20"/>
          <w:szCs w:val="20"/>
          <w:color w:val="auto"/>
        </w:rPr>
        <w:t>. Enter into or permit to exist any transaction or series of transactions with any officer, director or Affiliate of such Person other than (a) advances of working capital to any Loan Party, (b) transfers of cash and assets to any Loan Party, (c) intercompany transactions expressly permitted by this Agreement, (d) normal and reasonable compensation and reimbursement of expenses of officers and directors, (e) other transactions where the amount involved in any 12 month period does not exceed $120,000, and (f) except as otherwise specifically limited in this Agreement, other transactions which are entered into in the ordinary course of such Person’s business on fair and reasonable terms and conditions substantially as favorable to such Person as would be obtainable by it in a comparable arm’s length transaction with a Person other than an officer, director or Affiliate.</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7.09 </w:t>
      </w:r>
      <w:r>
        <w:rPr>
          <w:rFonts w:ascii="Times New Roman" w:cs="Times New Roman" w:eastAsia="Times New Roman" w:hAnsi="Times New Roman"/>
          <w:sz w:val="20"/>
          <w:szCs w:val="20"/>
          <w:b w:val="1"/>
          <w:bCs w:val="1"/>
          <w:color w:val="auto"/>
        </w:rPr>
        <w:t>Burdensome Agreements</w:t>
      </w:r>
      <w:r>
        <w:rPr>
          <w:rFonts w:ascii="Times New Roman" w:cs="Times New Roman" w:eastAsia="Times New Roman" w:hAnsi="Times New Roman"/>
          <w:sz w:val="20"/>
          <w:szCs w:val="20"/>
          <w:color w:val="auto"/>
        </w:rPr>
        <w:t xml:space="preserve">. Enter into, or permit to exist, any Contractual Obligation (except for this Agreement and the other Loan Documents) that (a) encumbers or restricts the ability of any such Person to (i) to act as a Loan Party; (ii) make Restricted Payments to any Loan Party, (iii) pay any Indebtedness or other obligation owed to any Loan Party, (iv) make loans or advances to any Loan Party, or (v) create any Lien upon any of their properties or assets, whether now owned or hereafter acquired, except, in the case of clause (a)(v) only, for any document or instrument governing Indebtedness incurred pursuant to </w:t>
      </w:r>
      <w:r>
        <w:rPr>
          <w:rFonts w:ascii="Times New Roman" w:cs="Times New Roman" w:eastAsia="Times New Roman" w:hAnsi="Times New Roman"/>
          <w:sz w:val="20"/>
          <w:szCs w:val="20"/>
          <w:b w:val="1"/>
          <w:bCs w:val="1"/>
          <w:i w:val="1"/>
          <w:iCs w:val="1"/>
          <w:color w:val="auto"/>
        </w:rPr>
        <w:t>Section 7.02(c)</w:t>
      </w:r>
      <w:r>
        <w:rPr>
          <w:rFonts w:ascii="Times New Roman" w:cs="Times New Roman" w:eastAsia="Times New Roman" w:hAnsi="Times New Roman"/>
          <w:sz w:val="20"/>
          <w:szCs w:val="20"/>
          <w:color w:val="auto"/>
        </w:rPr>
        <w:t>, provided that any such restriction contained therein relates only to the asset or assets constructed or acquired in connection therewith, or (b) requires the grant of any Lien on property for any obligation if a Lien on such property is given as security for the Secured Obligations.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b w:val="1"/>
          <w:bCs w:val="1"/>
          <w:color w:val="auto"/>
        </w:rPr>
        <w:t>Use of Proceeds</w:t>
      </w:r>
      <w:r>
        <w:rPr>
          <w:rFonts w:ascii="Times New Roman" w:cs="Times New Roman" w:eastAsia="Times New Roman" w:hAnsi="Times New Roman"/>
          <w:sz w:val="20"/>
          <w:szCs w:val="20"/>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ectPr>
          <w:pgSz w:w="11900" w:h="16838" w:orient="portrait"/>
          <w:cols w:equalWidth="0" w:num="1">
            <w:col w:w="11420"/>
          </w:cols>
          <w:pgMar w:left="240" w:top="562" w:right="239" w:bottom="1440" w:gutter="0" w:footer="0" w:header="0"/>
        </w:sectPr>
      </w:pPr>
    </w:p>
    <w:bookmarkStart w:id="160" w:name="page161"/>
    <w:bookmarkEnd w:id="160"/>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b w:val="1"/>
          <w:bCs w:val="1"/>
          <w:color w:val="auto"/>
        </w:rPr>
        <w:t>Financial Covenants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firstLine="645"/>
        <w:spacing w:after="0" w:line="273" w:lineRule="auto"/>
        <w:tabs>
          <w:tab w:leader="none" w:pos="172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Consolidated Leverage Ratio</w:t>
      </w:r>
      <w:r>
        <w:rPr>
          <w:rFonts w:ascii="Times New Roman" w:cs="Times New Roman" w:eastAsia="Times New Roman" w:hAnsi="Times New Roman"/>
          <w:sz w:val="20"/>
          <w:szCs w:val="20"/>
          <w:color w:val="auto"/>
        </w:rPr>
        <w:t>. Permit the Consolidated Leverage Ratio as of the end of any Measurement Period ending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end of any fiscal quarter of the Borrower to be greater than 3.00 to 1.00.</w:t>
      </w:r>
    </w:p>
    <w:p>
      <w:pPr>
        <w:spacing w:after="0" w:line="152" w:lineRule="exact"/>
        <w:rPr>
          <w:rFonts w:ascii="Times New Roman" w:cs="Times New Roman" w:eastAsia="Times New Roman" w:hAnsi="Times New Roman"/>
          <w:sz w:val="20"/>
          <w:szCs w:val="20"/>
          <w:color w:val="auto"/>
        </w:rPr>
      </w:pPr>
    </w:p>
    <w:p>
      <w:pPr>
        <w:ind w:left="660" w:firstLine="645"/>
        <w:spacing w:after="0" w:line="273" w:lineRule="auto"/>
        <w:tabs>
          <w:tab w:leader="none" w:pos="192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Consolidated Interest Coverage Ratio</w:t>
      </w:r>
      <w:r>
        <w:rPr>
          <w:rFonts w:ascii="Times New Roman" w:cs="Times New Roman" w:eastAsia="Times New Roman" w:hAnsi="Times New Roman"/>
          <w:sz w:val="20"/>
          <w:szCs w:val="20"/>
          <w:color w:val="auto"/>
        </w:rPr>
        <w:t>. Permit the Consolidated Interest Coverage Ratio as of the end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Measurement Period ending as of the end of any fiscal quarter of the Borrower to be less than 3.00 to 1.00.</w:t>
      </w:r>
    </w:p>
    <w:p>
      <w:pPr>
        <w:spacing w:after="0" w:line="152"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Liquidity</w:t>
      </w:r>
      <w:r>
        <w:rPr>
          <w:rFonts w:ascii="Times New Roman" w:cs="Times New Roman" w:eastAsia="Times New Roman" w:hAnsi="Times New Roman"/>
          <w:sz w:val="20"/>
          <w:szCs w:val="20"/>
          <w:color w:val="auto"/>
        </w:rPr>
        <w:t>. Permit Liquidity at any time during any period to be less than $30,000,000.</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b w:val="1"/>
          <w:bCs w:val="1"/>
          <w:color w:val="auto"/>
        </w:rPr>
        <w:t>Amendments of Organization Documents; Fiscal Year; Legal Name, State of Formation; Form of Entity and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Changes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1700" w:hanging="395"/>
        <w:spacing w:after="0"/>
        <w:tabs>
          <w:tab w:leader="none" w:pos="17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of its Organization Documents;</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fiscal year;</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73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providing 10 days prior written notice to the Administrative Agent (or such extended period of time as agreed to by the Administrative Agent), change its name, state of formation, form of organization or principal place of business; or</w:t>
      </w:r>
    </w:p>
    <w:p>
      <w:pPr>
        <w:spacing w:after="0" w:line="15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accounting policies or reporting practices, except as required by GAAP.</w:t>
      </w:r>
    </w:p>
    <w:p>
      <w:pPr>
        <w:spacing w:after="0" w:line="21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b w:val="1"/>
          <w:bCs w:val="1"/>
          <w:color w:val="auto"/>
        </w:rPr>
        <w:t>Sale and Leaseback Transactions</w:t>
      </w:r>
      <w:r>
        <w:rPr>
          <w:rFonts w:ascii="Times New Roman" w:cs="Times New Roman" w:eastAsia="Times New Roman" w:hAnsi="Times New Roman"/>
          <w:sz w:val="19"/>
          <w:szCs w:val="19"/>
          <w:color w:val="auto"/>
        </w:rPr>
        <w:t>. Enter into any Sale and Leaseback Transaction.</w:t>
      </w:r>
    </w:p>
    <w:p>
      <w:pPr>
        <w:spacing w:after="0" w:line="2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7.15 </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Directly or indirectly, use any Credit Extension or the proceeds of any Credit Extension for any purpose which would breach the United States Foreign Corrupt Practices Act of 1977, the UK Bribery Act 2010 and other anti-corruption legislation in other jurisdictions.</w:t>
      </w:r>
    </w:p>
    <w:p>
      <w:pPr>
        <w:spacing w:after="0" w:line="16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VIII.</w:t>
      </w:r>
      <w:r>
        <w:rPr>
          <w:sz w:val="20"/>
          <w:szCs w:val="20"/>
          <w:color w:val="auto"/>
        </w:rPr>
        <w:tab/>
      </w:r>
      <w:r>
        <w:rPr>
          <w:rFonts w:ascii="Times New Roman" w:cs="Times New Roman" w:eastAsia="Times New Roman" w:hAnsi="Times New Roman"/>
          <w:sz w:val="19"/>
          <w:szCs w:val="19"/>
          <w:b w:val="1"/>
          <w:bCs w:val="1"/>
          <w:color w:val="auto"/>
        </w:rPr>
        <w:t>EVENTS OF DEFAULT AND REMEDIES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8.01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 Any of the following shall constitute an event of default (each, an “</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56" w:lineRule="auto"/>
        <w:tabs>
          <w:tab w:leader="none" w:pos="173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Non-Payment</w:t>
      </w:r>
      <w:r>
        <w:rPr>
          <w:rFonts w:ascii="Times New Roman" w:cs="Times New Roman" w:eastAsia="Times New Roman" w:hAnsi="Times New Roman"/>
          <w:sz w:val="20"/>
          <w:szCs w:val="20"/>
          <w:color w:val="auto"/>
        </w:rPr>
        <w:t>. The Borrower or any other Loan Party fails to pay (i) when and as required to be paid herein, and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currency required hereunder, any amount of principal of any Loan or any L/C Obligation or deposit any funds as Cash Collateral in respect of L/C Obligations, or (ii) within three (3) days after the same becomes due, any interest on any Loan or on any L/C</w:t>
      </w:r>
    </w:p>
    <w:p>
      <w:pPr>
        <w:sectPr>
          <w:pgSz w:w="11900" w:h="16838" w:orient="portrait"/>
          <w:cols w:equalWidth="0" w:num="1">
            <w:col w:w="11420"/>
          </w:cols>
          <w:pgMar w:left="240" w:top="559" w:right="239" w:bottom="1440" w:gutter="0" w:footer="0" w:header="0"/>
        </w:sectPr>
      </w:pPr>
    </w:p>
    <w:bookmarkStart w:id="161" w:name="page162"/>
    <w:bookmarkEnd w:id="161"/>
    <w:p>
      <w:pPr>
        <w:spacing w:after="0" w:line="269" w:lineRule="auto"/>
        <w:rPr>
          <w:sz w:val="20"/>
          <w:szCs w:val="20"/>
          <w:color w:val="auto"/>
        </w:rPr>
      </w:pPr>
      <w:r>
        <w:rPr>
          <w:rFonts w:ascii="Times New Roman" w:cs="Times New Roman" w:eastAsia="Times New Roman" w:hAnsi="Times New Roman"/>
          <w:sz w:val="20"/>
          <w:szCs w:val="20"/>
          <w:color w:val="auto"/>
        </w:rPr>
        <w:t>Obligation, or any fee due hereunder, or (iii) within five (5) days after the same becomes due, any other amount payable hereunder or under any other Loan Document; or</w:t>
      </w:r>
    </w:p>
    <w:p>
      <w:pPr>
        <w:spacing w:after="0" w:line="160" w:lineRule="exact"/>
        <w:rPr>
          <w:sz w:val="20"/>
          <w:szCs w:val="20"/>
          <w:color w:val="auto"/>
        </w:rPr>
      </w:pPr>
    </w:p>
    <w:p>
      <w:pPr>
        <w:ind w:firstLine="645"/>
        <w:spacing w:after="0" w:line="269" w:lineRule="auto"/>
        <w:tabs>
          <w:tab w:leader="none" w:pos="1127"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 Covenants. Any Loan Party fails to perform or observe any term, covenant or agreement contained in any of Sections 2.05(b), 2.16, 6.03, 6.05, 6.08, 6.10, 6.11, 7.01, 7.04, 7.06, 7.11, 7.14 or 7.15.</w:t>
      </w:r>
    </w:p>
    <w:p>
      <w:pPr>
        <w:spacing w:after="0" w:line="155" w:lineRule="exact"/>
        <w:rPr>
          <w:rFonts w:ascii="Times New Roman" w:cs="Times New Roman" w:eastAsia="Times New Roman" w:hAnsi="Times New Roman"/>
          <w:sz w:val="20"/>
          <w:szCs w:val="20"/>
          <w:color w:val="auto"/>
        </w:rPr>
      </w:pPr>
    </w:p>
    <w:p>
      <w:pPr>
        <w:jc w:val="both"/>
        <w:ind w:firstLine="645"/>
        <w:spacing w:after="0" w:line="256" w:lineRule="auto"/>
        <w:tabs>
          <w:tab w:leader="none" w:pos="122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Defaults</w:t>
      </w:r>
      <w:r>
        <w:rPr>
          <w:rFonts w:ascii="Times New Roman" w:cs="Times New Roman" w:eastAsia="Times New Roman" w:hAnsi="Times New Roman"/>
          <w:sz w:val="20"/>
          <w:szCs w:val="20"/>
          <w:color w:val="auto"/>
        </w:rPr>
        <w:t>. Any Loan Party fails to perform or observe any other covenant or agreement (not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 xml:space="preserve">Section 8.01(a)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(b) </w:t>
      </w:r>
      <w:r>
        <w:rPr>
          <w:rFonts w:ascii="Times New Roman" w:cs="Times New Roman" w:eastAsia="Times New Roman" w:hAnsi="Times New Roman"/>
          <w:sz w:val="20"/>
          <w:szCs w:val="20"/>
          <w:color w:val="auto"/>
        </w:rPr>
        <w:t>above) contained in any Loan Documen</w:t>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its part to be performed or observed and such failure continues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30 days; or</w:t>
      </w:r>
    </w:p>
    <w:p>
      <w:pPr>
        <w:spacing w:after="0" w:line="168" w:lineRule="exact"/>
        <w:rPr>
          <w:rFonts w:ascii="Times New Roman" w:cs="Times New Roman" w:eastAsia="Times New Roman" w:hAnsi="Times New Roman"/>
          <w:sz w:val="20"/>
          <w:szCs w:val="20"/>
          <w:color w:val="auto"/>
        </w:rPr>
      </w:pPr>
    </w:p>
    <w:p>
      <w:pPr>
        <w:jc w:val="both"/>
        <w:ind w:firstLine="645"/>
        <w:spacing w:after="0" w:line="256" w:lineRule="auto"/>
        <w:tabs>
          <w:tab w:leader="none" w:pos="107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or on behalf of the Borrower or any other Loan Party herein, in any other Loan Document, or in any document delivered in connection herewith or therewith shall be incorrect or misleading when made or deemed made; or</w:t>
      </w:r>
    </w:p>
    <w:p>
      <w:pPr>
        <w:spacing w:after="0" w:line="168" w:lineRule="exact"/>
        <w:rPr>
          <w:rFonts w:ascii="Times New Roman" w:cs="Times New Roman" w:eastAsia="Times New Roman" w:hAnsi="Times New Roman"/>
          <w:sz w:val="20"/>
          <w:szCs w:val="20"/>
          <w:color w:val="auto"/>
        </w:rPr>
      </w:pPr>
    </w:p>
    <w:p>
      <w:pPr>
        <w:jc w:val="both"/>
        <w:ind w:firstLine="645"/>
        <w:spacing w:after="0" w:line="241" w:lineRule="auto"/>
        <w:tabs>
          <w:tab w:leader="none" w:pos="115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Cross-Default</w:t>
      </w:r>
      <w:r>
        <w:rPr>
          <w:rFonts w:ascii="Times New Roman" w:cs="Times New Roman" w:eastAsia="Times New Roman" w:hAnsi="Times New Roman"/>
          <w:sz w:val="20"/>
          <w:szCs w:val="20"/>
          <w:color w:val="auto"/>
        </w:rPr>
        <w:t>. (i) Any Loan Party or any Subsidiary thereof (A) fails to make any payment when due (whether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spacing w:after="0" w:line="194" w:lineRule="exact"/>
        <w:rPr>
          <w:rFonts w:ascii="Times New Roman" w:cs="Times New Roman" w:eastAsia="Times New Roman" w:hAnsi="Times New Roman"/>
          <w:sz w:val="20"/>
          <w:szCs w:val="20"/>
          <w:color w:val="auto"/>
        </w:rPr>
      </w:pPr>
    </w:p>
    <w:p>
      <w:pPr>
        <w:jc w:val="both"/>
        <w:ind w:firstLine="645"/>
        <w:spacing w:after="0" w:line="244" w:lineRule="auto"/>
        <w:tabs>
          <w:tab w:leader="none" w:pos="109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Insolvency Proceedings, Etc</w:t>
      </w:r>
      <w:r>
        <w:rPr>
          <w:rFonts w:ascii="Times New Roman" w:cs="Times New Roman" w:eastAsia="Times New Roman" w:hAnsi="Times New Roman"/>
          <w:sz w:val="20"/>
          <w:szCs w:val="20"/>
          <w:color w:val="auto"/>
        </w:rPr>
        <w:t>. Any Loan Party or any Subsidiary thereof institutes or consents to the institution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ectPr>
          <w:pgSz w:w="11900" w:h="16838" w:orient="portrait"/>
          <w:cols w:equalWidth="0" w:num="1">
            <w:col w:w="10760"/>
          </w:cols>
          <w:pgMar w:left="900" w:top="562" w:right="239" w:bottom="1440" w:gutter="0" w:footer="0" w:header="0"/>
        </w:sectPr>
      </w:pPr>
    </w:p>
    <w:bookmarkStart w:id="162" w:name="page163"/>
    <w:bookmarkEnd w:id="162"/>
    <w:p>
      <w:pPr>
        <w:jc w:val="both"/>
        <w:ind w:left="660" w:firstLine="645"/>
        <w:spacing w:after="0" w:line="250" w:lineRule="auto"/>
        <w:tabs>
          <w:tab w:leader="none" w:pos="174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Inability to Pay Debts; Attachment</w:t>
      </w:r>
      <w:r>
        <w:rPr>
          <w:rFonts w:ascii="Times New Roman" w:cs="Times New Roman" w:eastAsia="Times New Roman" w:hAnsi="Times New Roman"/>
          <w:sz w:val="20"/>
          <w:szCs w:val="20"/>
          <w:color w:val="auto"/>
        </w:rPr>
        <w:t>. (i) Any Loan Party or any Subsidiary thereof becomes unable or admits in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76"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74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Judgments</w:t>
      </w:r>
      <w:r>
        <w:rPr>
          <w:rFonts w:ascii="Times New Roman" w:cs="Times New Roman" w:eastAsia="Times New Roman" w:hAnsi="Times New Roman"/>
          <w:sz w:val="20"/>
          <w:szCs w:val="20"/>
          <w:color w:val="auto"/>
        </w:rPr>
        <w:t>. (i) There is entered against any Loan Party or any Subsidiary thereof one or more final judgments or orders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72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67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Invalidity of Loan Documents</w:t>
      </w:r>
      <w:r>
        <w:rPr>
          <w:rFonts w:ascii="Times New Roman" w:cs="Times New Roman" w:eastAsia="Times New Roman" w:hAnsi="Times New Roman"/>
          <w:sz w:val="20"/>
          <w:szCs w:val="20"/>
          <w:color w:val="auto"/>
        </w:rPr>
        <w:t>. Any provision of any Loan Document, at any time after its execution and delivery and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reason other than as expressly permitted hereunder or thereunder or satisfaction in full of all Obligations arising under the Loan Documents,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787"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Any Collateral Document after delivery thereof pursuant to the terms of the Loan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for any reason cease to create a valid and perfected first priority Lien (subject to Permitted Liens) on the Collateral purported to be covered thereby, or any Loan Party shall assert the invalidity of such Liens; or</w:t>
      </w:r>
    </w:p>
    <w:p>
      <w:pPr>
        <w:spacing w:after="0" w:line="168"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There occurs any Change of Control; or</w:t>
      </w:r>
    </w:p>
    <w:p>
      <w:pPr>
        <w:spacing w:after="0" w:line="215"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A Material Adverse Effect shall have occurred.</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558" w:right="239" w:bottom="1440" w:gutter="0" w:footer="0" w:header="0"/>
        </w:sectPr>
      </w:pPr>
    </w:p>
    <w:bookmarkStart w:id="163" w:name="page164"/>
    <w:bookmarkEnd w:id="163"/>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8.02 </w:t>
      </w:r>
      <w:r>
        <w:rPr>
          <w:rFonts w:ascii="Times New Roman" w:cs="Times New Roman" w:eastAsia="Times New Roman" w:hAnsi="Times New Roman"/>
          <w:sz w:val="20"/>
          <w:szCs w:val="20"/>
          <w:b w:val="1"/>
          <w:bCs w:val="1"/>
          <w:color w:val="auto"/>
        </w:rPr>
        <w:t>Remedies upon Event of Default</w:t>
      </w:r>
      <w:r>
        <w:rPr>
          <w:rFonts w:ascii="Times New Roman" w:cs="Times New Roman" w:eastAsia="Times New Roman" w:hAnsi="Times New Roman"/>
          <w:sz w:val="20"/>
          <w:szCs w:val="20"/>
          <w:color w:val="auto"/>
        </w:rPr>
        <w:t>. If any Event of Default occurs and is continuing, the Administrative Agent shall, at the request of, or may, with the consent of, the Required Lenders, take any or all of the following actions:</w:t>
      </w:r>
    </w:p>
    <w:p>
      <w:pPr>
        <w:spacing w:after="0" w:line="156" w:lineRule="exact"/>
        <w:rPr>
          <w:sz w:val="20"/>
          <w:szCs w:val="20"/>
          <w:color w:val="auto"/>
        </w:rPr>
      </w:pPr>
    </w:p>
    <w:p>
      <w:pPr>
        <w:ind w:left="660" w:firstLine="645"/>
        <w:spacing w:after="0" w:line="269" w:lineRule="auto"/>
        <w:tabs>
          <w:tab w:leader="none" w:pos="184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41"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72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L/C Obligations (in an amount equal to the Minimum Collateral Amount with respect thereto); and</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19"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upon the occurrence of an actual or deemed entry of an order for relief with respect to the Borrower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8.03</w:t>
      </w:r>
      <w:r>
        <w:rPr>
          <w:sz w:val="20"/>
          <w:szCs w:val="20"/>
          <w:color w:val="auto"/>
        </w:rPr>
        <w:tab/>
      </w:r>
      <w:r>
        <w:rPr>
          <w:rFonts w:ascii="Times New Roman" w:cs="Times New Roman" w:eastAsia="Times New Roman" w:hAnsi="Times New Roman"/>
          <w:sz w:val="19"/>
          <w:szCs w:val="19"/>
          <w:b w:val="1"/>
          <w:bCs w:val="1"/>
          <w:color w:val="auto"/>
        </w:rPr>
        <w:t>Application of Funds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8" w:lineRule="auto"/>
        <w:tabs>
          <w:tab w:leader="none" w:pos="1749"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or if at any time insufficient funds are received by and available to the Administrative Agent to pay fully all Secured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Obligations then due hereunder, any amounts received on account of the Secured Obligations shall, subject to the provisions of </w:t>
      </w:r>
      <w:r>
        <w:rPr>
          <w:rFonts w:ascii="Times New Roman" w:cs="Times New Roman" w:eastAsia="Times New Roman" w:hAnsi="Times New Roman"/>
          <w:sz w:val="20"/>
          <w:szCs w:val="20"/>
          <w:b w:val="1"/>
          <w:bCs w:val="1"/>
          <w:i w:val="1"/>
          <w:iCs w:val="1"/>
          <w:color w:val="auto"/>
        </w:rPr>
        <w:t xml:space="preserve">Sections 2.14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2.15</w:t>
      </w:r>
      <w:r>
        <w:rPr>
          <w:rFonts w:ascii="Times New Roman" w:cs="Times New Roman" w:eastAsia="Times New Roman" w:hAnsi="Times New Roman"/>
          <w:sz w:val="20"/>
          <w:szCs w:val="20"/>
          <w:color w:val="auto"/>
        </w:rPr>
        <w:t>, be applied by the Administrative Agent in the following order:</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Secured Obligations constituting fees, indemnities, expenses and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(including fees, charges and disbursements of counsel to the Administrative Agent and amounts payable under </w:t>
      </w:r>
      <w:r>
        <w:rPr>
          <w:rFonts w:ascii="Times New Roman" w:cs="Times New Roman" w:eastAsia="Times New Roman" w:hAnsi="Times New Roman"/>
          <w:sz w:val="20"/>
          <w:szCs w:val="20"/>
          <w:b w:val="1"/>
          <w:bCs w:val="1"/>
          <w:i w:val="1"/>
          <w:iCs w:val="1"/>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6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payment of that portion of the Secured Obligations constituting fees, indemnities and other amounts (other than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principal, interest, and Letter of Credit Fees) payable to the Lender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20"/>
          <w:szCs w:val="20"/>
          <w:b w:val="1"/>
          <w:bCs w:val="1"/>
          <w:i w:val="1"/>
          <w:iCs w:val="1"/>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w:t>
      </w:r>
      <w:r>
        <w:rPr>
          <w:rFonts w:ascii="Times New Roman" w:cs="Times New Roman" w:eastAsia="Times New Roman" w:hAnsi="Times New Roman"/>
          <w:sz w:val="20"/>
          <w:szCs w:val="20"/>
          <w:b w:val="1"/>
          <w:bCs w:val="1"/>
          <w:i w:val="1"/>
          <w:iCs w:val="1"/>
          <w:color w:val="auto"/>
        </w:rPr>
        <w:t>clause Second</w:t>
      </w:r>
      <w:r>
        <w:rPr>
          <w:rFonts w:ascii="Times New Roman" w:cs="Times New Roman" w:eastAsia="Times New Roman" w:hAnsi="Times New Roman"/>
          <w:sz w:val="20"/>
          <w:szCs w:val="20"/>
          <w:color w:val="auto"/>
        </w:rPr>
        <w:t xml:space="preserve"> payable to them;</w:t>
      </w:r>
    </w:p>
    <w:p>
      <w:pPr>
        <w:sectPr>
          <w:pgSz w:w="11900" w:h="16838" w:orient="portrait"/>
          <w:cols w:equalWidth="0" w:num="1">
            <w:col w:w="11420"/>
          </w:cols>
          <w:pgMar w:left="240" w:top="559" w:right="239" w:bottom="1440" w:gutter="0" w:footer="0" w:header="0"/>
        </w:sectPr>
      </w:pPr>
    </w:p>
    <w:bookmarkStart w:id="164" w:name="page165"/>
    <w:bookmarkEnd w:id="164"/>
    <w:p>
      <w:pPr>
        <w:jc w:val="both"/>
        <w:ind w:left="66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Secured Obligations constituting accrued and unpaid Letter of Credit Fees and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on the Loans, L/C Borrowings and other Secured Obligations arising under the Loan Documents, ratably among the Lenders and the L/C Issuer in proportion to the respective amounts described in this </w:t>
      </w:r>
      <w:r>
        <w:rPr>
          <w:rFonts w:ascii="Times New Roman" w:cs="Times New Roman" w:eastAsia="Times New Roman" w:hAnsi="Times New Roman"/>
          <w:sz w:val="20"/>
          <w:szCs w:val="20"/>
          <w:b w:val="1"/>
          <w:bCs w:val="1"/>
          <w:i w:val="1"/>
          <w:iCs w:val="1"/>
          <w:color w:val="auto"/>
        </w:rPr>
        <w:t>clause Third</w:t>
      </w:r>
      <w:r>
        <w:rPr>
          <w:rFonts w:ascii="Times New Roman" w:cs="Times New Roman" w:eastAsia="Times New Roman" w:hAnsi="Times New Roman"/>
          <w:sz w:val="20"/>
          <w:szCs w:val="20"/>
          <w:color w:val="auto"/>
        </w:rPr>
        <w:t xml:space="preserve"> payable to them;</w:t>
      </w:r>
    </w:p>
    <w:p>
      <w:pPr>
        <w:spacing w:after="0" w:line="169"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payment of that portion of the Secured Obligations constituting unpaid principal of the Loans, L/C Borrowings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Secured Obligations then owing under Secured Hedge Agreements and Secured Cash Management Agreements and to the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20"/>
          <w:szCs w:val="20"/>
          <w:b w:val="1"/>
          <w:bCs w:val="1"/>
          <w:i w:val="1"/>
          <w:iCs w:val="1"/>
          <w:color w:val="auto"/>
        </w:rPr>
        <w:t xml:space="preserve">Sections 2.03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2.14</w:t>
      </w:r>
      <w:r>
        <w:rPr>
          <w:rFonts w:ascii="Times New Roman" w:cs="Times New Roman" w:eastAsia="Times New Roman" w:hAnsi="Times New Roman"/>
          <w:sz w:val="20"/>
          <w:szCs w:val="20"/>
          <w:color w:val="auto"/>
        </w:rPr>
        <w:t>, in each case ratably among the Administrative Agent, the Lenders, the L/C Issuer, the Hedge Banks 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Cash Management Banks in proportion to the respective amounts described in this </w:t>
      </w:r>
      <w:r>
        <w:rPr>
          <w:rFonts w:ascii="Times New Roman" w:cs="Times New Roman" w:eastAsia="Times New Roman" w:hAnsi="Times New Roman"/>
          <w:sz w:val="20"/>
          <w:szCs w:val="20"/>
          <w:b w:val="1"/>
          <w:bCs w:val="1"/>
          <w:i w:val="1"/>
          <w:iCs w:val="1"/>
          <w:color w:val="auto"/>
        </w:rPr>
        <w:t>clause Fourth</w:t>
      </w:r>
      <w:r>
        <w:rPr>
          <w:rFonts w:ascii="Times New Roman" w:cs="Times New Roman" w:eastAsia="Times New Roman" w:hAnsi="Times New Roman"/>
          <w:sz w:val="20"/>
          <w:szCs w:val="20"/>
          <w:color w:val="auto"/>
        </w:rPr>
        <w:t xml:space="preserve"> held by them; and</w:t>
      </w:r>
    </w:p>
    <w:p>
      <w:pPr>
        <w:spacing w:after="0" w:line="179"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all of the Secured Obligations have been indefeasibly paid in full, to the Borrower or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required by Law.</w:t>
      </w:r>
    </w:p>
    <w:p>
      <w:pPr>
        <w:spacing w:after="0" w:line="152" w:lineRule="exact"/>
        <w:rPr>
          <w:sz w:val="20"/>
          <w:szCs w:val="20"/>
          <w:color w:val="auto"/>
        </w:rPr>
      </w:pPr>
    </w:p>
    <w:p>
      <w:pPr>
        <w:jc w:val="both"/>
        <w:ind w:left="660" w:firstLine="645"/>
        <w:spacing w:after="0" w:line="245" w:lineRule="auto"/>
        <w:tabs>
          <w:tab w:leader="none" w:pos="178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i w:val="1"/>
          <w:iCs w:val="1"/>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2.14</w:t>
      </w:r>
      <w:r>
        <w:rPr>
          <w:rFonts w:ascii="Times New Roman" w:cs="Times New Roman" w:eastAsia="Times New Roman" w:hAnsi="Times New Roman"/>
          <w:sz w:val="20"/>
          <w:szCs w:val="20"/>
          <w:color w:val="auto"/>
        </w:rPr>
        <w:t xml:space="preserve">, amounts used to Cash Collateralize the aggregate undrawn amount of Letters of Credit pursuant to the </w:t>
      </w:r>
      <w:r>
        <w:rPr>
          <w:rFonts w:ascii="Times New Roman" w:cs="Times New Roman" w:eastAsia="Times New Roman" w:hAnsi="Times New Roman"/>
          <w:sz w:val="20"/>
          <w:szCs w:val="20"/>
          <w:b w:val="1"/>
          <w:bCs w:val="1"/>
          <w:i w:val="1"/>
          <w:iCs w:val="1"/>
          <w:color w:val="auto"/>
        </w:rPr>
        <w:t>clause 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 w:cs="Times New Roman" w:eastAsia="Times New Roman" w:hAnsi="Times New Roman"/>
          <w:sz w:val="20"/>
          <w:szCs w:val="20"/>
          <w:b w:val="1"/>
          <w:bCs w:val="1"/>
          <w:i w:val="1"/>
          <w:iCs w:val="1"/>
          <w:color w:val="auto"/>
        </w:rPr>
        <w:t>Section 8.03</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660" w:firstLine="645"/>
        <w:spacing w:after="0" w:line="244" w:lineRule="auto"/>
        <w:tabs>
          <w:tab w:leader="none" w:pos="176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for itself and its Affiliates as if a “Lender” party hereto.</w:t>
      </w:r>
    </w:p>
    <w:p>
      <w:pPr>
        <w:spacing w:after="0" w:line="1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IX.</w:t>
      </w:r>
      <w:r>
        <w:rPr>
          <w:sz w:val="20"/>
          <w:szCs w:val="20"/>
          <w:color w:val="auto"/>
        </w:rPr>
        <w:tab/>
      </w:r>
      <w:r>
        <w:rPr>
          <w:rFonts w:ascii="Times New Roman" w:cs="Times New Roman" w:eastAsia="Times New Roman" w:hAnsi="Times New Roman"/>
          <w:sz w:val="19"/>
          <w:szCs w:val="19"/>
          <w:b w:val="1"/>
          <w:bCs w:val="1"/>
          <w:color w:val="auto"/>
        </w:rPr>
        <w:t>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9.01</w:t>
      </w:r>
      <w:r>
        <w:rPr>
          <w:sz w:val="20"/>
          <w:szCs w:val="20"/>
          <w:color w:val="auto"/>
        </w:rPr>
        <w:tab/>
      </w:r>
      <w:r>
        <w:rPr>
          <w:rFonts w:ascii="Times New Roman" w:cs="Times New Roman" w:eastAsia="Times New Roman" w:hAnsi="Times New Roman"/>
          <w:sz w:val="19"/>
          <w:szCs w:val="19"/>
          <w:b w:val="1"/>
          <w:bCs w:val="1"/>
          <w:color w:val="auto"/>
        </w:rPr>
        <w:t>Appointment and Authority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5" w:lineRule="auto"/>
        <w:tabs>
          <w:tab w:leader="none" w:pos="177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Appointment</w:t>
      </w:r>
      <w:r>
        <w:rPr>
          <w:rFonts w:ascii="Times New Roman" w:cs="Times New Roman" w:eastAsia="Times New Roman" w:hAnsi="Times New Roman"/>
          <w:sz w:val="20"/>
          <w:szCs w:val="20"/>
          <w:color w:val="auto"/>
        </w:rPr>
        <w:t>. Each of the Lenders and the L/C Issuer hereby irrevocably appoints, designates and authorizes Bank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w:t>
      </w:r>
    </w:p>
    <w:p>
      <w:pPr>
        <w:sectPr>
          <w:pgSz w:w="11900" w:h="16838" w:orient="portrait"/>
          <w:cols w:equalWidth="0" w:num="1">
            <w:col w:w="11420"/>
          </w:cols>
          <w:pgMar w:left="240" w:top="558" w:right="239" w:bottom="1440" w:gutter="0" w:footer="0" w:header="0"/>
        </w:sectPr>
      </w:pPr>
    </w:p>
    <w:bookmarkStart w:id="165" w:name="page166"/>
    <w:bookmarkEnd w:id="165"/>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 required under the laws of any jurisdiction other than the United States of America, each of the Lenders and Secured Parties hereby grants to the Administrative Agent any required powers of attorney to execute any Collateral Document or other Loan Document governed by the laws of such jurisdiction on such Lender’s or Secured Party’s behalf.</w:t>
      </w:r>
    </w:p>
    <w:p>
      <w:pPr>
        <w:spacing w:after="0" w:line="181" w:lineRule="exact"/>
        <w:rPr>
          <w:sz w:val="20"/>
          <w:szCs w:val="20"/>
          <w:color w:val="auto"/>
        </w:rPr>
      </w:pPr>
    </w:p>
    <w:p>
      <w:pPr>
        <w:jc w:val="both"/>
        <w:ind w:left="660" w:firstLine="645"/>
        <w:spacing w:after="0" w:line="243" w:lineRule="auto"/>
        <w:tabs>
          <w:tab w:leader="none" w:pos="1732"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The Administrative Agent shall also act as the “collateral agent” under the Loan Documents,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b w:val="1"/>
          <w:bCs w:val="1"/>
          <w:i w:val="1"/>
          <w:iCs w:val="1"/>
          <w:color w:val="auto"/>
        </w:rPr>
        <w:t xml:space="preserve">Section 9.05 </w:t>
      </w:r>
      <w:r>
        <w:rPr>
          <w:rFonts w:ascii="Times New Roman" w:cs="Times New Roman" w:eastAsia="Times New Roman" w:hAnsi="Times New Roman"/>
          <w:sz w:val="20"/>
          <w:szCs w:val="20"/>
          <w:color w:val="auto"/>
        </w:rPr>
        <w:t>for purposes of holding or enforcing any Lien on the Collateral (or any portion thereof) granted under the Collateral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Article XI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b w:val="1"/>
          <w:bCs w:val="1"/>
          <w:i w:val="1"/>
          <w:iCs w:val="1"/>
          <w:color w:val="auto"/>
        </w:rPr>
        <w:t>Section 11.04(c)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 xml:space="preserve">9.02 </w:t>
      </w:r>
      <w:r>
        <w:rPr>
          <w:rFonts w:ascii="Times New Roman" w:cs="Times New Roman" w:eastAsia="Times New Roman" w:hAnsi="Times New Roman"/>
          <w:sz w:val="19"/>
          <w:szCs w:val="19"/>
          <w:b w:val="1"/>
          <w:bCs w:val="1"/>
          <w:color w:val="auto"/>
        </w:rPr>
        <w:t>Rights as a Lender</w:t>
      </w:r>
      <w:r>
        <w:rPr>
          <w:rFonts w:ascii="Times New Roman" w:cs="Times New Roman" w:eastAsia="Times New Roman" w:hAnsi="Times New Roman"/>
          <w:sz w:val="19"/>
          <w:szCs w:val="19"/>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6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9.03</w:t>
      </w:r>
      <w:r>
        <w:rPr>
          <w:sz w:val="20"/>
          <w:szCs w:val="20"/>
          <w:color w:val="auto"/>
        </w:rPr>
        <w:tab/>
      </w:r>
      <w:r>
        <w:rPr>
          <w:rFonts w:ascii="Times New Roman" w:cs="Times New Roman" w:eastAsia="Times New Roman" w:hAnsi="Times New Roman"/>
          <w:sz w:val="19"/>
          <w:szCs w:val="19"/>
          <w:b w:val="1"/>
          <w:bCs w:val="1"/>
          <w:color w:val="auto"/>
        </w:rPr>
        <w:t>Exculpatory Provisions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54" w:lineRule="auto"/>
        <w:tabs>
          <w:tab w:leader="none" w:pos="172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74" w:lineRule="exact"/>
        <w:rPr>
          <w:rFonts w:ascii="Times New Roman" w:cs="Times New Roman" w:eastAsia="Times New Roman" w:hAnsi="Times New Roman"/>
          <w:sz w:val="20"/>
          <w:szCs w:val="20"/>
          <w:color w:val="auto"/>
        </w:rPr>
      </w:pPr>
    </w:p>
    <w:p>
      <w:pPr>
        <w:ind w:left="2360" w:hanging="407"/>
        <w:spacing w:after="0"/>
        <w:tabs>
          <w:tab w:leader="none" w:pos="236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93"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37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w:t>
      </w:r>
    </w:p>
    <w:p>
      <w:pPr>
        <w:sectPr>
          <w:pgSz w:w="11900" w:h="16838" w:orient="portrait"/>
          <w:cols w:equalWidth="0" w:num="1">
            <w:col w:w="11420"/>
          </w:cols>
          <w:pgMar w:left="240" w:top="562" w:right="239" w:bottom="1440" w:gutter="0" w:footer="0" w:header="0"/>
        </w:sectPr>
      </w:pPr>
    </w:p>
    <w:bookmarkStart w:id="166" w:name="page167"/>
    <w:bookmarkEnd w:id="166"/>
    <w:p>
      <w:pPr>
        <w:jc w:val="both"/>
        <w:ind w:left="1300"/>
        <w:spacing w:after="0" w:line="248" w:lineRule="auto"/>
        <w:rPr>
          <w:sz w:val="20"/>
          <w:szCs w:val="20"/>
          <w:color w:val="auto"/>
        </w:rPr>
      </w:pPr>
      <w:r>
        <w:rPr>
          <w:rFonts w:ascii="Times New Roman" w:cs="Times New Roman" w:eastAsia="Times New Roman" w:hAnsi="Times New Roman"/>
          <w:sz w:val="20"/>
          <w:szCs w:val="20"/>
          <w:color w:val="auto"/>
        </w:rPr>
        <w:t xml:space="preserve">Lenders as shall be expressly provided for herein or in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0" w:lineRule="exact"/>
        <w:rPr>
          <w:sz w:val="20"/>
          <w:szCs w:val="20"/>
          <w:color w:val="auto"/>
        </w:rPr>
      </w:pPr>
    </w:p>
    <w:p>
      <w:pPr>
        <w:jc w:val="both"/>
        <w:ind w:left="1300" w:firstLine="653"/>
        <w:spacing w:after="0" w:line="254" w:lineRule="auto"/>
        <w:tabs>
          <w:tab w:leader="none" w:pos="2452"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or responsibility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43" w:lineRule="auto"/>
        <w:tabs>
          <w:tab w:leader="none" w:pos="177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b w:val="1"/>
          <w:bCs w:val="1"/>
          <w:i w:val="1"/>
          <w:iCs w:val="1"/>
          <w:color w:val="auto"/>
        </w:rPr>
        <w:t xml:space="preserve">Sections 11.01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8.02</w:t>
      </w:r>
      <w:r>
        <w:rPr>
          <w:rFonts w:ascii="Times New Roman" w:cs="Times New Roman" w:eastAsia="Times New Roman" w:hAnsi="Times New Roman"/>
          <w:sz w:val="20"/>
          <w:szCs w:val="20"/>
          <w:color w:val="auto"/>
        </w:rPr>
        <w:t>) or (ii) in the absence of its own gross negligence or willful misconduct as determined by a court of competent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89" w:lineRule="exact"/>
        <w:rPr>
          <w:rFonts w:ascii="Times New Roman" w:cs="Times New Roman" w:eastAsia="Times New Roman" w:hAnsi="Times New Roman"/>
          <w:sz w:val="20"/>
          <w:szCs w:val="20"/>
          <w:color w:val="auto"/>
        </w:rPr>
      </w:pPr>
    </w:p>
    <w:p>
      <w:pPr>
        <w:jc w:val="both"/>
        <w:ind w:left="660" w:firstLine="645"/>
        <w:spacing w:after="0" w:line="243" w:lineRule="auto"/>
        <w:tabs>
          <w:tab w:leader="none" w:pos="170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b w:val="1"/>
          <w:bCs w:val="1"/>
          <w:i w:val="1"/>
          <w:iCs w:val="1"/>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9.04 </w:t>
      </w:r>
      <w:r>
        <w:rPr>
          <w:rFonts w:ascii="Times New Roman" w:cs="Times New Roman" w:eastAsia="Times New Roman" w:hAnsi="Times New Roman"/>
          <w:sz w:val="20"/>
          <w:szCs w:val="20"/>
          <w:b w:val="1"/>
          <w:bCs w:val="1"/>
          <w:color w:val="auto"/>
        </w:rPr>
        <w:t>Reliance by Administrative Agent</w:t>
      </w:r>
      <w:r>
        <w:rPr>
          <w:rFonts w:ascii="Times New Roman" w:cs="Times New Roman" w:eastAsia="Times New Roman" w:hAnsi="Times New Roman"/>
          <w:sz w:val="20"/>
          <w:szCs w:val="20"/>
          <w:color w:val="auto"/>
        </w:rPr>
        <w: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w:t>
      </w:r>
    </w:p>
    <w:p>
      <w:pPr>
        <w:sectPr>
          <w:pgSz w:w="11900" w:h="16838" w:orient="portrait"/>
          <w:cols w:equalWidth="0" w:num="1">
            <w:col w:w="11420"/>
          </w:cols>
          <w:pgMar w:left="240" w:top="558" w:right="239" w:bottom="1440" w:gutter="0" w:footer="0" w:header="0"/>
        </w:sectPr>
      </w:pPr>
    </w:p>
    <w:bookmarkStart w:id="167" w:name="page168"/>
    <w:bookmarkEnd w:id="167"/>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20"/>
          <w:szCs w:val="20"/>
          <w:b w:val="1"/>
          <w:bCs w:val="1"/>
          <w:i w:val="1"/>
          <w:iCs w:val="1"/>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9.05 </w:t>
      </w:r>
      <w:r>
        <w:rPr>
          <w:rFonts w:ascii="Times New Roman" w:cs="Times New Roman" w:eastAsia="Times New Roman" w:hAnsi="Times New Roman"/>
          <w:sz w:val="20"/>
          <w:szCs w:val="20"/>
          <w:b w:val="1"/>
          <w:bCs w:val="1"/>
          <w:color w:val="auto"/>
        </w:rPr>
        <w:t>Delegation of Duties</w:t>
      </w:r>
      <w:r>
        <w:rPr>
          <w:rFonts w:ascii="Times New Roman" w:cs="Times New Roman" w:eastAsia="Times New Roman" w:hAnsi="Times New Roman"/>
          <w:sz w:val="20"/>
          <w:szCs w:val="20"/>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9.06</w:t>
      </w:r>
      <w:r>
        <w:rPr>
          <w:sz w:val="20"/>
          <w:szCs w:val="20"/>
          <w:color w:val="auto"/>
        </w:rPr>
        <w:tab/>
      </w:r>
      <w:r>
        <w:rPr>
          <w:rFonts w:ascii="Times New Roman" w:cs="Times New Roman" w:eastAsia="Times New Roman" w:hAnsi="Times New Roman"/>
          <w:sz w:val="19"/>
          <w:szCs w:val="19"/>
          <w:b w:val="1"/>
          <w:bCs w:val="1"/>
          <w:color w:val="auto"/>
        </w:rPr>
        <w:t>Resignation of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3" w:lineRule="auto"/>
        <w:tabs>
          <w:tab w:leader="none" w:pos="176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The Administrative Agent may at any time give notice of its resignation to the Lenders, the L/C Issuer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any successor Administrative Agent be a Defaulting Lender. Whether or not a successor has been appointed, such resignation shall become effective in accordance with such notice on the Resignation Effective Date.</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46" w:lineRule="auto"/>
        <w:tabs>
          <w:tab w:leader="none" w:pos="177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Defaulting Lender. </w:t>
      </w:r>
      <w:r>
        <w:rPr>
          <w:rFonts w:ascii="Times New Roman" w:cs="Times New Roman" w:eastAsia="Times New Roman" w:hAnsi="Times New Roman"/>
          <w:sz w:val="20"/>
          <w:szCs w:val="20"/>
          <w:color w:val="auto"/>
        </w:rPr>
        <w:t>If the Person serving as Administrative Agent is a Defaulting Lender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 (d)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b w:val="1"/>
          <w:bCs w:val="1"/>
          <w:i w:val="1"/>
          <w:i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4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 of Resignation or Removal</w:t>
      </w:r>
      <w:r>
        <w:rPr>
          <w:rFonts w:ascii="Times New Roman" w:cs="Times New Roman" w:eastAsia="Times New Roman" w:hAnsi="Times New Roman"/>
          <w:sz w:val="20"/>
          <w:szCs w:val="20"/>
          <w:color w:val="auto"/>
        </w:rPr>
        <w:t>. With effect from the Resignation Effective Date or the Removal Effective Date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w:t>
      </w:r>
    </w:p>
    <w:p>
      <w:pPr>
        <w:sectPr>
          <w:pgSz w:w="11900" w:h="16838" w:orient="portrait"/>
          <w:cols w:equalWidth="0" w:num="1">
            <w:col w:w="11420"/>
          </w:cols>
          <w:pgMar w:left="240" w:top="563" w:right="239" w:bottom="1440" w:gutter="0" w:footer="0" w:header="0"/>
        </w:sectPr>
      </w:pPr>
    </w:p>
    <w:bookmarkStart w:id="168" w:name="page169"/>
    <w:bookmarkEnd w:id="168"/>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 xml:space="preserve">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b w:val="1"/>
          <w:bCs w:val="1"/>
          <w:i w:val="1"/>
          <w:iCs w:val="1"/>
          <w:color w:val="auto"/>
        </w:rPr>
        <w:t xml:space="preserve">Section 3.01(g) </w:t>
      </w:r>
      <w:r>
        <w:rPr>
          <w:rFonts w:ascii="Times New Roman" w:cs="Times New Roman" w:eastAsia="Times New Roman" w:hAnsi="Times New Roman"/>
          <w:sz w:val="20"/>
          <w:szCs w:val="20"/>
          <w:color w:val="auto"/>
        </w:rPr>
        <w:t>and other than any rights to indemnity payments or other amounts owed to the retiring or removed Administrative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Agent as of the Resignation Effective Date or the Removal Effective Date, as applicable), and the retiring </w:t>
      </w:r>
      <w:r>
        <w:rPr>
          <w:rFonts w:ascii="Times New Roman" w:cs="Times New Roman" w:eastAsia="Times New Roman" w:hAnsi="Times New Roman"/>
          <w:sz w:val="20"/>
          <w:szCs w:val="20"/>
          <w:b w:val="1"/>
          <w:bCs w:val="1"/>
          <w:color w:val="auto"/>
        </w:rPr>
        <w:t>or</w:t>
      </w:r>
      <w:r>
        <w:rPr>
          <w:rFonts w:ascii="Times New Roman" w:cs="Times New Roman" w:eastAsia="Times New Roman" w:hAnsi="Times New Roman"/>
          <w:sz w:val="20"/>
          <w:szCs w:val="20"/>
          <w:color w:val="auto"/>
        </w:rPr>
        <w:t xml:space="preserve">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b w:val="1"/>
          <w:bCs w:val="1"/>
          <w:i w:val="1"/>
          <w:iCs w:val="1"/>
          <w:color w:val="auto"/>
        </w:rPr>
        <w:t>Section 9.06</w:t>
      </w:r>
      <w:r>
        <w:rPr>
          <w:rFonts w:ascii="Times New Roman" w:cs="Times New Roman" w:eastAsia="Times New Roman" w:hAnsi="Times New Roman"/>
          <w:sz w:val="20"/>
          <w:szCs w:val="20"/>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20"/>
          <w:szCs w:val="20"/>
          <w:b w:val="1"/>
          <w:bCs w:val="1"/>
          <w:i w:val="1"/>
          <w:iCs w:val="1"/>
          <w:color w:val="auto"/>
        </w:rPr>
        <w:t xml:space="preserve">Article XI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Section 11.04 </w:t>
      </w:r>
      <w:r>
        <w:rPr>
          <w:rFonts w:ascii="Times New Roman" w:cs="Times New Roman" w:eastAsia="Times New Roman" w:hAnsi="Times New Roman"/>
          <w:sz w:val="20"/>
          <w:szCs w:val="20"/>
          <w:color w:val="auto"/>
        </w:rPr>
        <w:t>shall continue in effect for the benefit of such retiring or removed Administrative Agent, its sub agents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188" w:lineRule="exact"/>
        <w:rPr>
          <w:sz w:val="20"/>
          <w:szCs w:val="20"/>
          <w:color w:val="auto"/>
        </w:rPr>
      </w:pPr>
    </w:p>
    <w:p>
      <w:pPr>
        <w:jc w:val="both"/>
        <w:ind w:left="660" w:firstLine="645"/>
        <w:spacing w:after="0" w:line="255" w:lineRule="auto"/>
        <w:tabs>
          <w:tab w:leader="none" w:pos="1719"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L/C Issuer and Swingline Lender. </w:t>
      </w:r>
      <w:r>
        <w:rPr>
          <w:rFonts w:ascii="Times New Roman" w:cs="Times New Roman" w:eastAsia="Times New Roman" w:hAnsi="Times New Roman"/>
          <w:sz w:val="19"/>
          <w:szCs w:val="19"/>
          <w:color w:val="auto"/>
        </w:rPr>
        <w:t>Any resignation or removal by Bank of America as Administrative Agent pursuant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i w:val="1"/>
          <w:iCs w:val="1"/>
          <w:color w:val="auto"/>
        </w:rPr>
        <w:t>Section 9.06</w:t>
      </w:r>
      <w:r>
        <w:rPr>
          <w:rFonts w:ascii="Times New Roman" w:cs="Times New Roman" w:eastAsia="Times New Roman" w:hAnsi="Times New Roman"/>
          <w:sz w:val="19"/>
          <w:szCs w:val="19"/>
          <w:color w:val="auto"/>
        </w:rPr>
        <w:t xml:space="preserve">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b w:val="1"/>
          <w:bCs w:val="1"/>
          <w:i w:val="1"/>
          <w:iCs w:val="1"/>
          <w:color w:val="auto"/>
        </w:rPr>
        <w:t>Section 2.03(c)</w:t>
      </w:r>
      <w:r>
        <w:rPr>
          <w:rFonts w:ascii="Times New Roman" w:cs="Times New Roman" w:eastAsia="Times New Roman" w:hAnsi="Times New Roman"/>
          <w:sz w:val="19"/>
          <w:szCs w:val="19"/>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9"/>
          <w:szCs w:val="19"/>
          <w:b w:val="1"/>
          <w:bCs w:val="1"/>
          <w:i w:val="1"/>
          <w:iCs w:val="1"/>
          <w:color w:val="auto"/>
        </w:rPr>
        <w:t>Section 2.04(c)</w:t>
      </w:r>
      <w:r>
        <w:rPr>
          <w:rFonts w:ascii="Times New Roman" w:cs="Times New Roman" w:eastAsia="Times New Roman" w:hAnsi="Times New Roman"/>
          <w:sz w:val="19"/>
          <w:szCs w:val="19"/>
          <w:color w:val="auto"/>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9.07 </w:t>
      </w:r>
      <w:r>
        <w:rPr>
          <w:rFonts w:ascii="Times New Roman" w:cs="Times New Roman" w:eastAsia="Times New Roman" w:hAnsi="Times New Roman"/>
          <w:sz w:val="20"/>
          <w:szCs w:val="20"/>
          <w:b w:val="1"/>
          <w:bCs w:val="1"/>
          <w:color w:val="auto"/>
        </w:rPr>
        <w:t>Non-Reliance on Administrative Agent and Other Lenders</w:t>
      </w:r>
      <w:r>
        <w:rPr>
          <w:rFonts w:ascii="Times New Roman" w:cs="Times New Roman" w:eastAsia="Times New Roman" w:hAnsi="Times New Roman"/>
          <w:sz w:val="20"/>
          <w:szCs w:val="20"/>
          <w:color w:val="auto"/>
        </w:rPr>
        <w:t>. Each Lender and the L/C Issuer acknowledges that it has, independently and without reliance upon the Administrative Agent or any other Lender or any of their Related Parties and based on such documents and information as it has deemed</w:t>
      </w:r>
    </w:p>
    <w:p>
      <w:pPr>
        <w:sectPr>
          <w:pgSz w:w="11900" w:h="16838" w:orient="portrait"/>
          <w:cols w:equalWidth="0" w:num="1">
            <w:col w:w="11420"/>
          </w:cols>
          <w:pgMar w:left="240" w:top="563" w:right="239" w:bottom="1440" w:gutter="0" w:footer="0" w:header="0"/>
        </w:sectPr>
      </w:pPr>
    </w:p>
    <w:bookmarkStart w:id="169" w:name="page170"/>
    <w:bookmarkEnd w:id="169"/>
    <w:p>
      <w:pPr>
        <w:jc w:val="both"/>
        <w:spacing w:after="0" w:line="249" w:lineRule="auto"/>
        <w:rPr>
          <w:sz w:val="20"/>
          <w:szCs w:val="20"/>
          <w:color w:val="auto"/>
        </w:rPr>
      </w:pPr>
      <w:r>
        <w:rPr>
          <w:rFonts w:ascii="Times New Roman" w:cs="Times New Roman" w:eastAsia="Times New Roman" w:hAnsi="Times New Roman"/>
          <w:sz w:val="20"/>
          <w:szCs w:val="20"/>
          <w:color w:val="auto"/>
        </w:rPr>
        <w:t>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9.08 </w:t>
      </w:r>
      <w:r>
        <w:rPr>
          <w:rFonts w:ascii="Times New Roman" w:cs="Times New Roman" w:eastAsia="Times New Roman" w:hAnsi="Times New Roman"/>
          <w:sz w:val="20"/>
          <w:szCs w:val="20"/>
          <w:b w:val="1"/>
          <w:bCs w:val="1"/>
          <w:color w:val="auto"/>
        </w:rPr>
        <w:t>No Other Duties, Etc</w:t>
      </w:r>
      <w:r>
        <w:rPr>
          <w:rFonts w:ascii="Times New Roman" w:cs="Times New Roman" w:eastAsia="Times New Roman" w:hAnsi="Times New Roman"/>
          <w:sz w:val="20"/>
          <w:szCs w:val="20"/>
          <w:color w:val="auto"/>
        </w:rPr>
        <w:t>. 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the L/C Issuer hereunder.</w:t>
      </w:r>
    </w:p>
    <w:p>
      <w:pPr>
        <w:spacing w:after="0" w:line="16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9.09</w:t>
      </w:r>
      <w:r>
        <w:rPr>
          <w:sz w:val="20"/>
          <w:szCs w:val="20"/>
          <w:color w:val="auto"/>
        </w:rPr>
        <w:tab/>
      </w:r>
      <w:r>
        <w:rPr>
          <w:rFonts w:ascii="Times New Roman" w:cs="Times New Roman" w:eastAsia="Times New Roman" w:hAnsi="Times New Roman"/>
          <w:sz w:val="19"/>
          <w:szCs w:val="19"/>
          <w:b w:val="1"/>
          <w:bCs w:val="1"/>
          <w:color w:val="auto"/>
        </w:rPr>
        <w:t>Administrative Agent May File Proofs of Claim; Credit Bidding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49" w:lineRule="auto"/>
        <w:tabs>
          <w:tab w:leader="none" w:pos="173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0" w:lineRule="exact"/>
        <w:rPr>
          <w:rFonts w:ascii="Times New Roman" w:cs="Times New Roman" w:eastAsia="Times New Roman" w:hAnsi="Times New Roman"/>
          <w:sz w:val="20"/>
          <w:szCs w:val="20"/>
          <w:color w:val="auto"/>
        </w:rPr>
      </w:pPr>
    </w:p>
    <w:p>
      <w:pPr>
        <w:jc w:val="both"/>
        <w:ind w:left="1300" w:firstLine="653"/>
        <w:spacing w:after="0" w:line="245" w:lineRule="auto"/>
        <w:tabs>
          <w:tab w:leader="none" w:pos="2369"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b w:val="1"/>
          <w:bCs w:val="1"/>
          <w:i w:val="1"/>
          <w:iCs w:val="1"/>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2.10(b)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11.04</w:t>
      </w:r>
      <w:r>
        <w:rPr>
          <w:rFonts w:ascii="Times New Roman" w:cs="Times New Roman" w:eastAsia="Times New Roman" w:hAnsi="Times New Roman"/>
          <w:sz w:val="20"/>
          <w:szCs w:val="20"/>
          <w:color w:val="auto"/>
        </w:rPr>
        <w:t>) allowed in such judicial proceeding; and</w:t>
      </w:r>
    </w:p>
    <w:p>
      <w:pPr>
        <w:spacing w:after="0" w:line="185" w:lineRule="exact"/>
        <w:rPr>
          <w:rFonts w:ascii="Times New Roman" w:cs="Times New Roman" w:eastAsia="Times New Roman" w:hAnsi="Times New Roman"/>
          <w:sz w:val="20"/>
          <w:szCs w:val="20"/>
          <w:color w:val="auto"/>
        </w:rPr>
      </w:pPr>
    </w:p>
    <w:p>
      <w:pPr>
        <w:ind w:left="2380" w:hanging="427"/>
        <w:spacing w:after="0"/>
        <w:tabs>
          <w:tab w:leader="none" w:pos="2380"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monies or other property payable or deliverable on any such claims and to distribute the</w:t>
      </w:r>
    </w:p>
    <w:p>
      <w:pPr>
        <w:spacing w:after="0" w:line="33"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same;</w:t>
      </w:r>
    </w:p>
    <w:p>
      <w:pPr>
        <w:spacing w:after="0" w:line="194" w:lineRule="exact"/>
        <w:rPr>
          <w:sz w:val="20"/>
          <w:szCs w:val="20"/>
          <w:color w:val="auto"/>
        </w:rPr>
      </w:pPr>
    </w:p>
    <w:p>
      <w:pPr>
        <w:jc w:val="both"/>
        <w:ind w:left="1300"/>
        <w:spacing w:after="0" w:line="245"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b w:val="1"/>
          <w:bCs w:val="1"/>
          <w:i w:val="1"/>
          <w:iCs w:val="1"/>
          <w:color w:val="auto"/>
        </w:rPr>
        <w:t>Sections 2.09</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2.10(b)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11.04</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660" w:firstLine="645"/>
        <w:spacing w:after="0" w:line="249" w:lineRule="auto"/>
        <w:tabs>
          <w:tab w:leader="none" w:pos="17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sectPr>
          <w:pgSz w:w="11900" w:h="16838" w:orient="portrait"/>
          <w:cols w:equalWidth="0" w:num="1">
            <w:col w:w="11420"/>
          </w:cols>
          <w:pgMar w:left="240" w:top="562" w:right="239" w:bottom="1440" w:gutter="0" w:footer="0" w:header="0"/>
        </w:sectPr>
      </w:pPr>
    </w:p>
    <w:bookmarkStart w:id="170" w:name="page171"/>
    <w:bookmarkEnd w:id="170"/>
    <w:p>
      <w:pPr>
        <w:jc w:val="both"/>
        <w:ind w:firstLine="645"/>
        <w:spacing w:after="0"/>
        <w:tabs>
          <w:tab w:leader="none" w:pos="1089"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w:t>
      </w:r>
      <w:r>
        <w:rPr>
          <w:rFonts w:ascii="Times New Roman" w:cs="Times New Roman" w:eastAsia="Times New Roman" w:hAnsi="Times New Roman"/>
          <w:sz w:val="20"/>
          <w:szCs w:val="20"/>
          <w:i w:val="1"/>
          <w:iCs w:val="1"/>
          <w:color w:val="auto"/>
        </w:rPr>
        <w:t>Sections 363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1123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1129</w:t>
      </w:r>
      <w:r>
        <w:rPr>
          <w:rFonts w:ascii="Times New Roman" w:cs="Times New Roman" w:eastAsia="Times New Roman" w:hAnsi="Times New Roman"/>
          <w:sz w:val="20"/>
          <w:szCs w:val="20"/>
          <w:color w:val="auto"/>
        </w:rPr>
        <w:t xml:space="preserve">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i w:val="1"/>
          <w:iCs w:val="1"/>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xml:space="preserve"> of this Agreement),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pro rata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20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9.10</w:t>
      </w:r>
      <w:r>
        <w:rPr>
          <w:sz w:val="20"/>
          <w:szCs w:val="20"/>
          <w:color w:val="auto"/>
        </w:rPr>
        <w:tab/>
      </w:r>
      <w:r>
        <w:rPr>
          <w:rFonts w:ascii="Times New Roman" w:cs="Times New Roman" w:eastAsia="Times New Roman" w:hAnsi="Times New Roman"/>
          <w:sz w:val="19"/>
          <w:szCs w:val="19"/>
          <w:b w:val="1"/>
          <w:bCs w:val="1"/>
          <w:color w:val="auto"/>
        </w:rPr>
        <w:t>Collateral and Guaranty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20" w:firstLine="645"/>
        <w:spacing w:after="0" w:line="269" w:lineRule="auto"/>
        <w:tabs>
          <w:tab w:leader="none" w:pos="1089"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Cash Management Bank and a potential Hedge Bank) and the L/C Issuer irrevocably authorize the Administrative Agent, at its option and in its discretion,</w:t>
      </w:r>
    </w:p>
    <w:p>
      <w:pPr>
        <w:spacing w:after="0" w:line="159" w:lineRule="exact"/>
        <w:rPr>
          <w:rFonts w:ascii="Times New Roman" w:cs="Times New Roman" w:eastAsia="Times New Roman" w:hAnsi="Times New Roman"/>
          <w:sz w:val="20"/>
          <w:szCs w:val="20"/>
          <w:color w:val="auto"/>
        </w:rPr>
      </w:pPr>
    </w:p>
    <w:p>
      <w:pPr>
        <w:ind w:left="1720" w:hanging="427"/>
        <w:spacing w:after="0"/>
        <w:tabs>
          <w:tab w:leader="none" w:pos="172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Lien on any property granted to or held by the Administrative Agent under any Loan Document</w:t>
      </w:r>
    </w:p>
    <w:p>
      <w:pPr>
        <w:spacing w:after="0" w:line="21" w:lineRule="exact"/>
        <w:rPr>
          <w:rFonts w:ascii="Times New Roman" w:cs="Times New Roman" w:eastAsia="Times New Roman" w:hAnsi="Times New Roman"/>
          <w:sz w:val="20"/>
          <w:szCs w:val="20"/>
          <w:color w:val="auto"/>
        </w:rPr>
      </w:pPr>
    </w:p>
    <w:p>
      <w:pPr>
        <w:jc w:val="both"/>
        <w:ind w:left="640" w:firstLine="5"/>
        <w:spacing w:after="0" w:line="242" w:lineRule="auto"/>
        <w:tabs>
          <w:tab w:leader="none" w:pos="87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Facility Termination Date, (ii) that is sold or otherwise disposed of or to be sold or otherwise disposed of as part of or in connection with any sale or other disposition permitted hereunder or under any other Loan Document, or (iii) if approved, authorized or ratified in writing by the Required Lenders in accordance with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640" w:firstLine="653"/>
        <w:spacing w:after="0" w:line="269" w:lineRule="auto"/>
        <w:tabs>
          <w:tab w:leader="none" w:pos="185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b w:val="1"/>
          <w:bCs w:val="1"/>
          <w:i w:val="1"/>
          <w:iCs w:val="1"/>
          <w:color w:val="auto"/>
        </w:rPr>
        <w:t>Section 7.01(i)</w:t>
      </w:r>
      <w:r>
        <w:rPr>
          <w:rFonts w:ascii="Times New Roman" w:cs="Times New Roman" w:eastAsia="Times New Roman" w:hAnsi="Times New Roman"/>
          <w:sz w:val="20"/>
          <w:szCs w:val="20"/>
          <w:color w:val="auto"/>
        </w:rPr>
        <w:t>; and</w:t>
      </w:r>
    </w:p>
    <w:p>
      <w:pPr>
        <w:sectPr>
          <w:pgSz w:w="11900" w:h="16838" w:orient="portrait"/>
          <w:cols w:equalWidth="0" w:num="1">
            <w:col w:w="10760"/>
          </w:cols>
          <w:pgMar w:left="900" w:top="562" w:right="239" w:bottom="1440" w:gutter="0" w:footer="0" w:header="0"/>
        </w:sectPr>
      </w:pPr>
    </w:p>
    <w:bookmarkStart w:id="171" w:name="page172"/>
    <w:bookmarkEnd w:id="171"/>
    <w:p>
      <w:pPr>
        <w:ind w:left="1300" w:right="20" w:firstLine="653"/>
        <w:spacing w:after="0" w:line="269" w:lineRule="auto"/>
        <w:tabs>
          <w:tab w:leader="none" w:pos="2479"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Guaranty if such Person ceases to be a Subsidiary as a result of a transaction permitted under the Loan Documents.</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4" w:lineRule="auto"/>
        <w:tabs>
          <w:tab w:leader="none" w:pos="17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b w:val="1"/>
          <w:bCs w:val="1"/>
          <w:i w:val="1"/>
          <w:iCs w:val="1"/>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b w:val="1"/>
          <w:bCs w:val="1"/>
          <w:i w:val="1"/>
          <w:iCs w:val="1"/>
          <w:color w:val="auto"/>
        </w:rPr>
        <w:t>Section 9.10</w:t>
      </w:r>
      <w:r>
        <w:rPr>
          <w:rFonts w:ascii="Times New Roman" w:cs="Times New Roman" w:eastAsia="Times New Roman" w:hAnsi="Times New Roman"/>
          <w:sz w:val="20"/>
          <w:szCs w:val="20"/>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0"/>
          <w:szCs w:val="20"/>
          <w:b w:val="1"/>
          <w:bCs w:val="1"/>
          <w:i w:val="1"/>
          <w:iCs w:val="1"/>
          <w:color w:val="auto"/>
        </w:rPr>
        <w:t>Section 9.10</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7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b w:val="1"/>
          <w:bCs w:val="1"/>
          <w:color w:val="auto"/>
        </w:rPr>
        <w:t>Secured Cash Management Agreements and Secured Hedge Agreements</w:t>
      </w:r>
      <w:r>
        <w:rPr>
          <w:rFonts w:ascii="Times New Roman" w:cs="Times New Roman" w:eastAsia="Times New Roman" w:hAnsi="Times New Roman"/>
          <w:sz w:val="20"/>
          <w:szCs w:val="20"/>
          <w:color w:val="auto"/>
        </w:rPr>
        <w:t xml:space="preserve">. Except as otherwise expressly set forth herein </w:t>
      </w:r>
      <w:r>
        <w:rPr>
          <w:rFonts w:ascii="Times New Roman" w:cs="Times New Roman" w:eastAsia="Times New Roman" w:hAnsi="Times New Roman"/>
          <w:sz w:val="20"/>
          <w:szCs w:val="20"/>
          <w:b w:val="1"/>
          <w:bCs w:val="1"/>
          <w:color w:val="auto"/>
        </w:rPr>
        <w:t>or</w:t>
      </w:r>
      <w:r>
        <w:rPr>
          <w:rFonts w:ascii="Times New Roman" w:cs="Times New Roman" w:eastAsia="Times New Roman" w:hAnsi="Times New Roman"/>
          <w:sz w:val="20"/>
          <w:szCs w:val="20"/>
          <w:color w:val="auto"/>
        </w:rPr>
        <w:t xml:space="preserve"> in any Guaranty or any Collateral Document, no Cash Management Bank or Hedge Bank that obtains the benefit of the provisions of </w:t>
      </w:r>
      <w:r>
        <w:rPr>
          <w:rFonts w:ascii="Times New Roman" w:cs="Times New Roman" w:eastAsia="Times New Roman" w:hAnsi="Times New Roman"/>
          <w:sz w:val="20"/>
          <w:szCs w:val="20"/>
          <w:b w:val="1"/>
          <w:bCs w:val="1"/>
          <w:i w:val="1"/>
          <w:iCs w:val="1"/>
          <w:color w:val="auto"/>
        </w:rPr>
        <w:t>Section 8.03</w:t>
      </w:r>
      <w:r>
        <w:rPr>
          <w:rFonts w:ascii="Times New Roman" w:cs="Times New Roman" w:eastAsia="Times New Roman" w:hAnsi="Times New Roman"/>
          <w:sz w:val="20"/>
          <w:szCs w:val="20"/>
          <w:color w:val="auto"/>
        </w:rPr>
        <w:t>, any Guaranty or any Collateral by virtue of the provisions hereof or any Collateral Document shall have any right to notice of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spacing w:after="0" w:line="18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b w:val="1"/>
          <w:bCs w:val="1"/>
          <w:color w:val="auto"/>
        </w:rPr>
        <w:t>Certain ERISA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49" w:lineRule="auto"/>
        <w:tabs>
          <w:tab w:leader="none" w:pos="1722"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ectPr>
          <w:pgSz w:w="11900" w:h="16838" w:orient="portrait"/>
          <w:cols w:equalWidth="0" w:num="1">
            <w:col w:w="11420"/>
          </w:cols>
          <w:pgMar w:left="240" w:top="562" w:right="239" w:bottom="1440" w:gutter="0" w:footer="0" w:header="0"/>
        </w:sectPr>
      </w:pPr>
    </w:p>
    <w:bookmarkStart w:id="172" w:name="page173"/>
    <w:bookmarkEnd w:id="172"/>
    <w:p>
      <w:pPr>
        <w:jc w:val="both"/>
        <w:ind w:left="1300" w:firstLine="653"/>
        <w:spacing w:after="0" w:line="256" w:lineRule="auto"/>
        <w:tabs>
          <w:tab w:leader="none" w:pos="2382"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w:t>
      </w:r>
      <w:r>
        <w:rPr>
          <w:rFonts w:ascii="Times New Roman" w:cs="Times New Roman" w:eastAsia="Times New Roman" w:hAnsi="Times New Roman"/>
          <w:sz w:val="20"/>
          <w:szCs w:val="20"/>
          <w:i w:val="1"/>
          <w:iCs w:val="1"/>
          <w:color w:val="auto"/>
        </w:rPr>
        <w:t>plan assets</w:t>
      </w:r>
      <w:r>
        <w:rPr>
          <w:rFonts w:ascii="Times New Roman" w:cs="Times New Roman" w:eastAsia="Times New Roman" w:hAnsi="Times New Roman"/>
          <w:sz w:val="20"/>
          <w:szCs w:val="20"/>
          <w:color w:val="auto"/>
        </w:rPr>
        <w:t xml:space="preserve">” (within the meaning of </w:t>
      </w:r>
      <w:r>
        <w:rPr>
          <w:rFonts w:ascii="Times New Roman" w:cs="Times New Roman" w:eastAsia="Times New Roman" w:hAnsi="Times New Roman"/>
          <w:sz w:val="20"/>
          <w:szCs w:val="20"/>
          <w:i w:val="1"/>
          <w:iCs w:val="1"/>
          <w:color w:val="auto"/>
        </w:rPr>
        <w:t>Section 3(42)</w:t>
      </w:r>
      <w:r>
        <w:rPr>
          <w:rFonts w:ascii="Times New Roman" w:cs="Times New Roman" w:eastAsia="Times New Roman" w:hAnsi="Times New Roman"/>
          <w:sz w:val="20"/>
          <w:szCs w:val="20"/>
          <w:color w:val="auto"/>
        </w:rPr>
        <w:t xml:space="preserve"> of ERISA or otherwise) of one or more Benefit Plans with respect to such Lender’s entrance into, participation in, administration of and performance of the Loans, the Letters of Credit, the Commitments, or this agreement,</w:t>
      </w:r>
    </w:p>
    <w:p>
      <w:pPr>
        <w:spacing w:after="0" w:line="141" w:lineRule="exact"/>
        <w:rPr>
          <w:rFonts w:ascii="Times New Roman" w:cs="Times New Roman" w:eastAsia="Times New Roman" w:hAnsi="Times New Roman"/>
          <w:sz w:val="20"/>
          <w:szCs w:val="20"/>
          <w:color w:val="auto"/>
        </w:rPr>
      </w:pPr>
    </w:p>
    <w:p>
      <w:pPr>
        <w:jc w:val="both"/>
        <w:ind w:left="1300" w:firstLine="653"/>
        <w:spacing w:after="0" w:line="238" w:lineRule="exact"/>
        <w:tabs>
          <w:tab w:leader="none" w:pos="2478"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20"/>
          <w:szCs w:val="20"/>
          <w:color w:val="auto"/>
        </w:rPr>
      </w:pPr>
    </w:p>
    <w:p>
      <w:pPr>
        <w:jc w:val="both"/>
        <w:ind w:left="1300" w:firstLine="653"/>
        <w:spacing w:after="0" w:line="244" w:lineRule="auto"/>
        <w:tabs>
          <w:tab w:leader="none" w:pos="2546"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w:t>
      </w:r>
      <w:r>
        <w:rPr>
          <w:rFonts w:ascii="Times New Roman" w:cs="Times New Roman" w:eastAsia="Times New Roman" w:hAnsi="Times New Roman"/>
          <w:sz w:val="20"/>
          <w:szCs w:val="20"/>
          <w:i w:val="1"/>
          <w:iCs w:val="1"/>
          <w:color w:val="auto"/>
        </w:rPr>
        <w:t>Qualified Professional Asset Manager</w:t>
      </w:r>
      <w:r>
        <w:rPr>
          <w:rFonts w:ascii="Times New Roman" w:cs="Times New Roman" w:eastAsia="Times New Roman" w:hAnsi="Times New Roman"/>
          <w:sz w:val="20"/>
          <w:szCs w:val="20"/>
          <w:color w:val="auto"/>
        </w:rPr>
        <w:t xml:space="preserve">” (within the meaning of </w:t>
      </w:r>
      <w:r>
        <w:rPr>
          <w:rFonts w:ascii="Times New Roman" w:cs="Times New Roman" w:eastAsia="Times New Roman" w:hAnsi="Times New Roman"/>
          <w:sz w:val="20"/>
          <w:szCs w:val="20"/>
          <w:i w:val="1"/>
          <w:iCs w:val="1"/>
          <w:color w:val="auto"/>
        </w:rPr>
        <w:t>Part VI</w:t>
      </w:r>
      <w:r>
        <w:rPr>
          <w:rFonts w:ascii="Times New Roman" w:cs="Times New Roman" w:eastAsia="Times New Roman" w:hAnsi="Times New Roman"/>
          <w:sz w:val="20"/>
          <w:szCs w:val="20"/>
          <w:color w:val="auto"/>
        </w:rPr>
        <w:t xml:space="preserve">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w:t>
      </w:r>
      <w:r>
        <w:rPr>
          <w:rFonts w:ascii="Times New Roman" w:cs="Times New Roman" w:eastAsia="Times New Roman" w:hAnsi="Times New Roman"/>
          <w:sz w:val="20"/>
          <w:szCs w:val="20"/>
          <w:i w:val="1"/>
          <w:iCs w:val="1"/>
          <w:color w:val="auto"/>
        </w:rPr>
        <w:t>subsections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i w:val="1"/>
          <w:iCs w:val="1"/>
          <w:color w:val="auto"/>
        </w:rPr>
        <w:t>Part I</w:t>
      </w:r>
      <w:r>
        <w:rPr>
          <w:rFonts w:ascii="Times New Roman" w:cs="Times New Roman" w:eastAsia="Times New Roman" w:hAnsi="Times New Roman"/>
          <w:sz w:val="20"/>
          <w:szCs w:val="20"/>
          <w:color w:val="auto"/>
        </w:rPr>
        <w:t xml:space="preserve"> of PTE 84-14 and (D) to the best knowledge of such Lender, the requirements of </w:t>
      </w:r>
      <w:r>
        <w:rPr>
          <w:rFonts w:ascii="Times New Roman" w:cs="Times New Roman" w:eastAsia="Times New Roman" w:hAnsi="Times New Roman"/>
          <w:sz w:val="20"/>
          <w:szCs w:val="20"/>
          <w:i w:val="1"/>
          <w:iCs w:val="1"/>
          <w:color w:val="auto"/>
        </w:rPr>
        <w:t>subsection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i w:val="1"/>
          <w:iCs w:val="1"/>
          <w:color w:val="auto"/>
        </w:rPr>
        <w:t>Part I</w:t>
      </w:r>
      <w:r>
        <w:rPr>
          <w:rFonts w:ascii="Times New Roman" w:cs="Times New Roman" w:eastAsia="Times New Roman" w:hAnsi="Times New Roman"/>
          <w:sz w:val="20"/>
          <w:szCs w:val="20"/>
          <w:color w:val="auto"/>
        </w:rPr>
        <w:t xml:space="preserve"> of PTE 84-14 are satisfied with respect to such Lender’s entrance into, participation in, administration of and performance of the Loans, the Letters of Credit, the Commitments and this Agreement, or</w:t>
      </w:r>
    </w:p>
    <w:p>
      <w:pPr>
        <w:spacing w:after="0" w:line="186" w:lineRule="exact"/>
        <w:rPr>
          <w:rFonts w:ascii="Times New Roman" w:cs="Times New Roman" w:eastAsia="Times New Roman" w:hAnsi="Times New Roman"/>
          <w:sz w:val="20"/>
          <w:szCs w:val="20"/>
          <w:color w:val="auto"/>
        </w:rPr>
      </w:pPr>
    </w:p>
    <w:p>
      <w:pPr>
        <w:ind w:left="1300" w:firstLine="653"/>
        <w:spacing w:after="0" w:line="269" w:lineRule="auto"/>
        <w:tabs>
          <w:tab w:leader="none" w:pos="2414"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5"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76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b w:val="1"/>
          <w:bCs w:val="1"/>
          <w:i w:val="1"/>
          <w:iCs w:val="1"/>
          <w:color w:val="auto"/>
        </w:rPr>
        <w:t>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b w:val="1"/>
          <w:bCs w:val="1"/>
          <w:i w:val="1"/>
          <w:iCs w:val="1"/>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0"/>
          <w:szCs w:val="20"/>
          <w:b w:val="1"/>
          <w:bCs w:val="1"/>
          <w:i w:val="1"/>
          <w:iCs w:val="1"/>
          <w:color w:val="auto"/>
        </w:rPr>
        <w:t>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b w:val="1"/>
          <w:bCs w:val="1"/>
          <w:i w:val="1"/>
          <w:iCs w:val="1"/>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w:t>
      </w:r>
    </w:p>
    <w:p>
      <w:pPr>
        <w:spacing w:after="0" w:line="1" w:lineRule="exact"/>
        <w:rPr>
          <w:rFonts w:ascii="Times New Roman" w:cs="Times New Roman" w:eastAsia="Times New Roman" w:hAnsi="Times New Roman"/>
          <w:sz w:val="20"/>
          <w:szCs w:val="20"/>
          <w:color w:val="auto"/>
        </w:rPr>
      </w:pPr>
    </w:p>
    <w:p>
      <w:pPr>
        <w:jc w:val="both"/>
        <w:ind w:left="660" w:hanging="4"/>
        <w:spacing w:after="0"/>
        <w:tabs>
          <w:tab w:leader="none" w:pos="94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ind w:left="380" w:hanging="372"/>
        <w:spacing w:after="0"/>
        <w:tabs>
          <w:tab w:leader="none" w:pos="3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CONTINUING GUARANTY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10.01 </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w:t>
      </w:r>
    </w:p>
    <w:p>
      <w:pPr>
        <w:sectPr>
          <w:pgSz w:w="11900" w:h="16838" w:orient="portrait"/>
          <w:cols w:equalWidth="0" w:num="1">
            <w:col w:w="11420"/>
          </w:cols>
          <w:pgMar w:left="240" w:top="559" w:right="239" w:bottom="1440" w:gutter="0" w:footer="0" w:header="0"/>
        </w:sectPr>
      </w:pPr>
    </w:p>
    <w:bookmarkStart w:id="173" w:name="page174"/>
    <w:bookmarkEnd w:id="173"/>
    <w:p>
      <w:pPr>
        <w:jc w:val="both"/>
        <w:spacing w:after="0" w:line="242" w:lineRule="auto"/>
        <w:rPr>
          <w:sz w:val="20"/>
          <w:szCs w:val="20"/>
          <w:color w:val="auto"/>
        </w:rPr>
      </w:pPr>
      <w:r>
        <w:rPr>
          <w:rFonts w:ascii="Times New Roman" w:cs="Times New Roman" w:eastAsia="Times New Roman" w:hAnsi="Times New Roman"/>
          <w:sz w:val="20"/>
          <w:szCs w:val="20"/>
          <w:color w:val="auto"/>
        </w:rPr>
        <w:t>Guarantor, subject to the proviso in this sentence, its “</w:t>
      </w:r>
      <w:r>
        <w:rPr>
          <w:rFonts w:ascii="Times New Roman" w:cs="Times New Roman" w:eastAsia="Times New Roman" w:hAnsi="Times New Roman"/>
          <w:sz w:val="20"/>
          <w:szCs w:val="20"/>
          <w:b w:val="1"/>
          <w:bCs w:val="1"/>
          <w:i w:val="1"/>
          <w:iCs w:val="1"/>
          <w:color w:val="auto"/>
        </w:rPr>
        <w:t>Guaranteed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w:t>
      </w:r>
      <w:r>
        <w:rPr>
          <w:rFonts w:ascii="Times New Roman" w:cs="Times New Roman" w:eastAsia="Times New Roman" w:hAnsi="Times New Roman"/>
          <w:sz w:val="20"/>
          <w:szCs w:val="20"/>
          <w:i w:val="1"/>
          <w:iCs w:val="1"/>
          <w:color w:val="auto"/>
        </w:rPr>
        <w:t>Section 548</w:t>
      </w:r>
      <w:r>
        <w:rPr>
          <w:rFonts w:ascii="Times New Roman" w:cs="Times New Roman" w:eastAsia="Times New Roman" w:hAnsi="Times New Roman"/>
          <w:sz w:val="20"/>
          <w:szCs w:val="20"/>
          <w:color w:val="auto"/>
        </w:rPr>
        <w:t xml:space="preserve"> of the Bankruptcy Code of the United States or any comparable provisions of any applicable state law or other Applicable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10.02 </w:t>
      </w:r>
      <w:r>
        <w:rPr>
          <w:rFonts w:ascii="Times New Roman" w:cs="Times New Roman" w:eastAsia="Times New Roman" w:hAnsi="Times New Roman"/>
          <w:sz w:val="20"/>
          <w:szCs w:val="20"/>
          <w:b w:val="1"/>
          <w:bCs w:val="1"/>
          <w:color w:val="auto"/>
        </w:rPr>
        <w:t>Rights of Lenders</w:t>
      </w:r>
      <w:r>
        <w:rPr>
          <w:rFonts w:ascii="Times New Roman" w:cs="Times New Roman" w:eastAsia="Times New Roman" w:hAnsi="Times New Roman"/>
          <w:sz w:val="20"/>
          <w:szCs w:val="20"/>
          <w:color w:val="auto"/>
        </w:rPr>
        <w:t>. 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10.03 </w:t>
      </w:r>
      <w:r>
        <w:rPr>
          <w:rFonts w:ascii="Times New Roman" w:cs="Times New Roman" w:eastAsia="Times New Roman" w:hAnsi="Times New Roman"/>
          <w:sz w:val="20"/>
          <w:szCs w:val="20"/>
          <w:b w:val="1"/>
          <w:bCs w:val="1"/>
          <w:color w:val="auto"/>
        </w:rPr>
        <w:t>Certain Waivers</w:t>
      </w:r>
      <w:r>
        <w:rPr>
          <w:rFonts w:ascii="Times New Roman" w:cs="Times New Roman" w:eastAsia="Times New Roman" w:hAnsi="Times New Roman"/>
          <w:sz w:val="20"/>
          <w:szCs w:val="20"/>
          <w:color w:val="auto"/>
        </w:rPr>
        <w:t>. 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9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10.04 </w:t>
      </w:r>
      <w:r>
        <w:rPr>
          <w:rFonts w:ascii="Times New Roman" w:cs="Times New Roman" w:eastAsia="Times New Roman" w:hAnsi="Times New Roman"/>
          <w:sz w:val="20"/>
          <w:szCs w:val="20"/>
          <w:b w:val="1"/>
          <w:bCs w:val="1"/>
          <w:color w:val="auto"/>
        </w:rPr>
        <w:t>Obligations Independent</w:t>
      </w:r>
      <w:r>
        <w:rPr>
          <w:rFonts w:ascii="Times New Roman" w:cs="Times New Roman" w:eastAsia="Times New Roman" w:hAnsi="Times New Roman"/>
          <w:sz w:val="20"/>
          <w:szCs w:val="20"/>
          <w:color w:val="auto"/>
        </w:rPr>
        <w:t>. The obligations of each Guarantor hereunder are those of primary obligor, and not merely as surety, and are independent of the Secured Obligations and the obligations of any</w:t>
      </w:r>
    </w:p>
    <w:p>
      <w:pPr>
        <w:sectPr>
          <w:pgSz w:w="11900" w:h="16838" w:orient="portrait"/>
          <w:cols w:equalWidth="0" w:num="1">
            <w:col w:w="11420"/>
          </w:cols>
          <w:pgMar w:left="240" w:top="559" w:right="239" w:bottom="1440" w:gutter="0" w:footer="0" w:header="0"/>
        </w:sectPr>
      </w:pPr>
    </w:p>
    <w:bookmarkStart w:id="174" w:name="page175"/>
    <w:bookmarkEnd w:id="174"/>
    <w:p>
      <w:pPr>
        <w:jc w:val="both"/>
        <w:spacing w:after="0" w:line="269" w:lineRule="auto"/>
        <w:rPr>
          <w:sz w:val="20"/>
          <w:szCs w:val="20"/>
          <w:color w:val="auto"/>
        </w:rPr>
      </w:pPr>
      <w:r>
        <w:rPr>
          <w:rFonts w:ascii="Times New Roman" w:cs="Times New Roman" w:eastAsia="Times New Roman" w:hAnsi="Times New Roman"/>
          <w:sz w:val="20"/>
          <w:szCs w:val="20"/>
          <w:color w:val="auto"/>
        </w:rPr>
        <w:t>other guarantor, and a separate action may be brought against each Guarantor to enforce this Guaranty whether or not the Borrower or any other person or entity is joined as a party.</w:t>
      </w:r>
    </w:p>
    <w:p>
      <w:pPr>
        <w:spacing w:after="0" w:line="15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10.05 </w:t>
      </w:r>
      <w:r>
        <w:rPr>
          <w:rFonts w:ascii="Times New Roman" w:cs="Times New Roman" w:eastAsia="Times New Roman" w:hAnsi="Times New Roman"/>
          <w:sz w:val="20"/>
          <w:szCs w:val="20"/>
          <w:b w:val="1"/>
          <w:bCs w:val="1"/>
          <w:color w:val="auto"/>
        </w:rPr>
        <w:t>Subrogation</w:t>
      </w:r>
      <w:r>
        <w:rPr>
          <w:rFonts w:ascii="Times New Roman" w:cs="Times New Roman" w:eastAsia="Times New Roman" w:hAnsi="Times New Roman"/>
          <w:sz w:val="20"/>
          <w:szCs w:val="20"/>
          <w:color w:val="auto"/>
        </w:rPr>
        <w:t>. 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17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10.06 </w:t>
      </w:r>
      <w:r>
        <w:rPr>
          <w:rFonts w:ascii="Times New Roman" w:cs="Times New Roman" w:eastAsia="Times New Roman" w:hAnsi="Times New Roman"/>
          <w:sz w:val="20"/>
          <w:szCs w:val="20"/>
          <w:b w:val="1"/>
          <w:bCs w:val="1"/>
          <w:color w:val="auto"/>
        </w:rPr>
        <w:t>Termination; Reinstatement</w:t>
      </w:r>
      <w:r>
        <w:rPr>
          <w:rFonts w:ascii="Times New Roman" w:cs="Times New Roman" w:eastAsia="Times New Roman" w:hAnsi="Times New Roman"/>
          <w:sz w:val="20"/>
          <w:szCs w:val="20"/>
          <w:color w:val="auto"/>
        </w:rPr>
        <w:t xml:space="preserve">. 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20"/>
          <w:szCs w:val="20"/>
          <w:b w:val="1"/>
          <w:bCs w:val="1"/>
          <w:i w:val="1"/>
          <w:iCs w:val="1"/>
          <w:color w:val="auto"/>
        </w:rPr>
        <w:t>Section 10.06</w:t>
      </w:r>
      <w:r>
        <w:rPr>
          <w:rFonts w:ascii="Times New Roman" w:cs="Times New Roman" w:eastAsia="Times New Roman" w:hAnsi="Times New Roman"/>
          <w:sz w:val="20"/>
          <w:szCs w:val="20"/>
          <w:color w:val="auto"/>
        </w:rPr>
        <w:t xml:space="preserve"> shall survive termination of this Guaranty.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10.07 </w:t>
      </w:r>
      <w:r>
        <w:rPr>
          <w:rFonts w:ascii="Times New Roman" w:cs="Times New Roman" w:eastAsia="Times New Roman" w:hAnsi="Times New Roman"/>
          <w:sz w:val="20"/>
          <w:szCs w:val="20"/>
          <w:b w:val="1"/>
          <w:bCs w:val="1"/>
          <w:color w:val="auto"/>
        </w:rPr>
        <w:t>Stay of Acceleration</w:t>
      </w:r>
      <w:r>
        <w:rPr>
          <w:rFonts w:ascii="Times New Roman" w:cs="Times New Roman" w:eastAsia="Times New Roman" w:hAnsi="Times New Roman"/>
          <w:sz w:val="20"/>
          <w:szCs w:val="20"/>
          <w:color w:val="auto"/>
        </w:rPr>
        <w:t>. 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10.08 </w:t>
      </w:r>
      <w:r>
        <w:rPr>
          <w:rFonts w:ascii="Times New Roman" w:cs="Times New Roman" w:eastAsia="Times New Roman" w:hAnsi="Times New Roman"/>
          <w:sz w:val="20"/>
          <w:szCs w:val="20"/>
          <w:b w:val="1"/>
          <w:bCs w:val="1"/>
          <w:color w:val="auto"/>
        </w:rPr>
        <w:t>Condition of Borrower</w:t>
      </w:r>
      <w:r>
        <w:rPr>
          <w:rFonts w:ascii="Times New Roman" w:cs="Times New Roman" w:eastAsia="Times New Roman" w:hAnsi="Times New Roman"/>
          <w:sz w:val="20"/>
          <w:szCs w:val="20"/>
          <w:color w:val="auto"/>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10.09 </w:t>
      </w:r>
      <w:r>
        <w:rPr>
          <w:rFonts w:ascii="Times New Roman" w:cs="Times New Roman" w:eastAsia="Times New Roman" w:hAnsi="Times New Roman"/>
          <w:sz w:val="20"/>
          <w:szCs w:val="20"/>
          <w:b w:val="1"/>
          <w:bCs w:val="1"/>
          <w:color w:val="auto"/>
        </w:rPr>
        <w:t>Appointment of Borrower</w:t>
      </w:r>
      <w:r>
        <w:rPr>
          <w:rFonts w:ascii="Times New Roman" w:cs="Times New Roman" w:eastAsia="Times New Roman" w:hAnsi="Times New Roman"/>
          <w:sz w:val="20"/>
          <w:szCs w:val="20"/>
          <w:color w:val="auto"/>
        </w:rPr>
        <w:t>. Each of the Loan Parties hereby appoints the Borrower to act as its agent for all purposes of this Agreement, the other Loan Documents and all other documents and electronic platforms entered into in connection herewith and agrees that</w:t>
      </w:r>
    </w:p>
    <w:p>
      <w:pPr>
        <w:jc w:val="both"/>
        <w:ind w:firstLine="8"/>
        <w:spacing w:after="0" w:line="241" w:lineRule="auto"/>
        <w:tabs>
          <w:tab w:leader="none" w:pos="31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ectPr>
          <w:pgSz w:w="11900" w:h="16838" w:orient="portrait"/>
          <w:cols w:equalWidth="0" w:num="1">
            <w:col w:w="11420"/>
          </w:cols>
          <w:pgMar w:left="240" w:top="563" w:right="239" w:bottom="1440" w:gutter="0" w:footer="0" w:header="0"/>
        </w:sectPr>
      </w:pPr>
    </w:p>
    <w:bookmarkStart w:id="175" w:name="page176"/>
    <w:bookmarkEnd w:id="175"/>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b w:val="1"/>
          <w:bCs w:val="1"/>
          <w:color w:val="auto"/>
        </w:rPr>
        <w:t>Right of Contribution</w:t>
      </w:r>
      <w:r>
        <w:rPr>
          <w:rFonts w:ascii="Times New Roman" w:cs="Times New Roman" w:eastAsia="Times New Roman" w:hAnsi="Times New Roman"/>
          <w:sz w:val="20"/>
          <w:szCs w:val="20"/>
          <w:color w:val="auto"/>
        </w:rPr>
        <w:t>. The Guarantors agree among themselves that, in connection with payments made hereunder, each Guarantor shall have contribution rights against the other Guarantors as permitted under Applicable Law.</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b w:val="1"/>
          <w:bCs w:val="1"/>
          <w:color w:val="auto"/>
        </w:rPr>
        <w:t>Keepwell</w:t>
      </w:r>
      <w:r>
        <w:rPr>
          <w:rFonts w:ascii="Times New Roman" w:cs="Times New Roman" w:eastAsia="Times New Roman" w:hAnsi="Times New Roman"/>
          <w:sz w:val="20"/>
          <w:szCs w:val="20"/>
          <w:color w:val="auto"/>
        </w:rPr>
        <w:t xml:space="preserve">. 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b w:val="1"/>
          <w:bCs w:val="1"/>
          <w:i w:val="1"/>
          <w:iCs w:val="1"/>
          <w:color w:val="auto"/>
        </w:rPr>
        <w:t>Article 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 xml:space="preserve"> shall remain in full force and effect until the Secured Obligations have been indefeasibly paid and performed in full. Each Loan Party intends this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Specified Loan Party for all purposes of the Commodity Exchange Act.</w:t>
      </w:r>
    </w:p>
    <w:p>
      <w:pPr>
        <w:spacing w:after="0" w:line="19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XI.</w:t>
      </w:r>
      <w:r>
        <w:rPr>
          <w:sz w:val="20"/>
          <w:szCs w:val="20"/>
          <w:color w:val="auto"/>
        </w:rPr>
        <w:tab/>
      </w: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11.01</w:t>
      </w:r>
      <w:r>
        <w:rPr>
          <w:sz w:val="20"/>
          <w:szCs w:val="20"/>
          <w:color w:val="auto"/>
        </w:rPr>
        <w:tab/>
      </w:r>
      <w:r>
        <w:rPr>
          <w:rFonts w:ascii="Times New Roman" w:cs="Times New Roman" w:eastAsia="Times New Roman" w:hAnsi="Times New Roman"/>
          <w:sz w:val="19"/>
          <w:szCs w:val="19"/>
          <w:b w:val="1"/>
          <w:bCs w:val="1"/>
          <w:color w:val="auto"/>
        </w:rPr>
        <w:t>Amendments,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6" w:lineRule="auto"/>
        <w:tabs>
          <w:tab w:leader="none" w:pos="173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i w:val="1"/>
          <w:iCs w:val="1"/>
          <w:color w:val="auto"/>
        </w:rPr>
        <w:t>Section 3.03(c)</w:t>
      </w:r>
      <w:r>
        <w:rPr>
          <w:rFonts w:ascii="Times New Roman" w:cs="Times New Roman" w:eastAsia="Times New Roman" w:hAnsi="Times New Roman"/>
          <w:sz w:val="20"/>
          <w:szCs w:val="20"/>
          <w:color w:val="auto"/>
        </w:rPr>
        <w:t xml:space="preserve"> and the last paragraph of this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amendment, waiver or consent shall:</w:t>
      </w:r>
    </w:p>
    <w:p>
      <w:pPr>
        <w:spacing w:after="0" w:line="179" w:lineRule="exact"/>
        <w:rPr>
          <w:rFonts w:ascii="Times New Roman" w:cs="Times New Roman" w:eastAsia="Times New Roman" w:hAnsi="Times New Roman"/>
          <w:sz w:val="20"/>
          <w:szCs w:val="20"/>
          <w:color w:val="auto"/>
        </w:rPr>
      </w:pPr>
    </w:p>
    <w:p>
      <w:pPr>
        <w:ind w:left="2320" w:hanging="367"/>
        <w:spacing w:after="0"/>
        <w:tabs>
          <w:tab w:leader="none" w:pos="232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i w:val="1"/>
          <w:iCs w:val="1"/>
          <w:color w:val="auto"/>
        </w:rPr>
        <w:t>Section 4.01</w:t>
      </w:r>
      <w:r>
        <w:rPr>
          <w:rFonts w:ascii="Times New Roman" w:cs="Times New Roman" w:eastAsia="Times New Roman" w:hAnsi="Times New Roman"/>
          <w:sz w:val="20"/>
          <w:szCs w:val="20"/>
          <w:color w:val="auto"/>
        </w:rPr>
        <w:t>, without the written consent of each Lender;</w:t>
      </w:r>
    </w:p>
    <w:p>
      <w:pPr>
        <w:spacing w:after="0" w:line="215" w:lineRule="exact"/>
        <w:rPr>
          <w:rFonts w:ascii="Times New Roman" w:cs="Times New Roman" w:eastAsia="Times New Roman" w:hAnsi="Times New Roman"/>
          <w:sz w:val="20"/>
          <w:szCs w:val="20"/>
          <w:color w:val="auto"/>
        </w:rPr>
      </w:pPr>
    </w:p>
    <w:p>
      <w:pPr>
        <w:ind w:left="1300" w:firstLine="653"/>
        <w:spacing w:after="0" w:line="273" w:lineRule="auto"/>
        <w:tabs>
          <w:tab w:leader="none" w:pos="238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i w:val="1"/>
          <w:iCs w:val="1"/>
          <w:color w:val="auto"/>
        </w:rPr>
        <w:t>clause (a)</w:t>
      </w:r>
      <w:r>
        <w:rPr>
          <w:rFonts w:ascii="Times New Roman" w:cs="Times New Roman" w:eastAsia="Times New Roman" w:hAnsi="Times New Roman"/>
          <w:sz w:val="20"/>
          <w:szCs w:val="20"/>
          <w:color w:val="auto"/>
        </w:rPr>
        <w:t xml:space="preserve"> above, waive any condition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as to any Credit Extension without the written consent of the Required Lenders;</w:t>
      </w:r>
    </w:p>
    <w:p>
      <w:pPr>
        <w:spacing w:after="0" w:line="156"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587"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without the written consent of such Lender (it being understood and agreed that a waiver of any condition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precedent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80"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27"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ectPr>
          <w:pgSz w:w="11900" w:h="16838" w:orient="portrait"/>
          <w:cols w:equalWidth="0" w:num="1">
            <w:col w:w="11420"/>
          </w:cols>
          <w:pgMar w:left="240" w:top="558" w:right="239" w:bottom="1440" w:gutter="0" w:footer="0" w:header="0"/>
        </w:sectPr>
      </w:pPr>
    </w:p>
    <w:bookmarkStart w:id="176" w:name="page177"/>
    <w:bookmarkEnd w:id="176"/>
    <w:p>
      <w:pPr>
        <w:jc w:val="both"/>
        <w:ind w:left="640" w:firstLine="653"/>
        <w:spacing w:after="0" w:line="244" w:lineRule="auto"/>
        <w:tabs>
          <w:tab w:leader="none" w:pos="178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b w:val="1"/>
          <w:bCs w:val="1"/>
          <w:i w:val="1"/>
          <w:iCs w:val="1"/>
          <w:color w:val="auto"/>
        </w:rPr>
        <w:t xml:space="preserve">clause (iv) </w:t>
      </w:r>
      <w:r>
        <w:rPr>
          <w:rFonts w:ascii="Times New Roman" w:cs="Times New Roman" w:eastAsia="Times New Roman" w:hAnsi="Times New Roman"/>
          <w:sz w:val="20"/>
          <w:szCs w:val="20"/>
          <w:color w:val="auto"/>
        </w:rPr>
        <w:t>of the second proviso to this</w:t>
      </w:r>
      <w:r>
        <w:rPr>
          <w:rFonts w:ascii="Times New Roman" w:cs="Times New Roman" w:eastAsia="Times New Roman" w:hAnsi="Times New Roman"/>
          <w:sz w:val="20"/>
          <w:szCs w:val="20"/>
          <w:b w:val="1"/>
          <w:bCs w:val="1"/>
          <w:i w:val="1"/>
          <w:iCs w:val="1"/>
          <w:color w:val="auto"/>
        </w:rPr>
        <w:t xml:space="preserve"> Section 11.01</w:t>
      </w:r>
      <w:r>
        <w:rPr>
          <w:rFonts w:ascii="Times New Roman" w:cs="Times New Roman" w:eastAsia="Times New Roman" w:hAnsi="Times New Roman"/>
          <w:sz w:val="20"/>
          <w:szCs w:val="20"/>
          <w:color w:val="auto"/>
        </w:rPr>
        <w:t>) any fees or other amounts payable hereunder or under any other Loan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Document without the written consent of each Lender entitled to such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w:t>
      </w:r>
      <w:r>
        <w:rPr>
          <w:rFonts w:ascii="Times New Roman" w:cs="Times New Roman" w:eastAsia="Times New Roman" w:hAnsi="Times New Roman"/>
          <w:sz w:val="20"/>
          <w:szCs w:val="20"/>
          <w:i w:val="1"/>
          <w:iCs w:val="1"/>
          <w:color w:val="auto"/>
        </w:rPr>
        <w:t>Default Rate</w:t>
      </w:r>
      <w:r>
        <w:rPr>
          <w:rFonts w:ascii="Times New Roman" w:cs="Times New Roman" w:eastAsia="Times New Roman" w:hAnsi="Times New Roman"/>
          <w:sz w:val="20"/>
          <w:szCs w:val="20"/>
          <w:color w:val="auto"/>
        </w:rPr>
        <w:t>”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2" w:lineRule="exact"/>
        <w:rPr>
          <w:rFonts w:ascii="Times New Roman" w:cs="Times New Roman" w:eastAsia="Times New Roman" w:hAnsi="Times New Roman"/>
          <w:sz w:val="20"/>
          <w:szCs w:val="20"/>
          <w:color w:val="auto"/>
        </w:rPr>
      </w:pPr>
    </w:p>
    <w:p>
      <w:pPr>
        <w:jc w:val="both"/>
        <w:ind w:left="640" w:firstLine="653"/>
        <w:spacing w:after="0" w:line="256" w:lineRule="auto"/>
        <w:tabs>
          <w:tab w:leader="none" w:pos="178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change </w:t>
      </w:r>
      <w:r>
        <w:rPr>
          <w:rFonts w:ascii="Times New Roman" w:cs="Times New Roman" w:eastAsia="Times New Roman" w:hAnsi="Times New Roman"/>
          <w:sz w:val="20"/>
          <w:szCs w:val="20"/>
          <w:b w:val="1"/>
          <w:bCs w:val="1"/>
          <w:i w:val="1"/>
          <w:iCs w:val="1"/>
          <w:color w:val="auto"/>
        </w:rPr>
        <w:t>Section 8.03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or (B) </w:t>
      </w:r>
      <w:r>
        <w:rPr>
          <w:rFonts w:ascii="Times New Roman" w:cs="Times New Roman" w:eastAsia="Times New Roman" w:hAnsi="Times New Roman"/>
          <w:sz w:val="20"/>
          <w:szCs w:val="20"/>
          <w:b w:val="1"/>
          <w:bCs w:val="1"/>
          <w:i w:val="1"/>
          <w:iCs w:val="1"/>
          <w:color w:val="auto"/>
        </w:rPr>
        <w:t>Section 2.12(f)</w:t>
      </w:r>
      <w:r>
        <w:rPr>
          <w:rFonts w:ascii="Times New Roman" w:cs="Times New Roman" w:eastAsia="Times New Roman" w:hAnsi="Times New Roman"/>
          <w:sz w:val="20"/>
          <w:szCs w:val="20"/>
          <w:color w:val="auto"/>
        </w:rPr>
        <w:t xml:space="preserve"> in a manner that would alter the pro rata application required thereby without the written consent of each Lender directly affected thereby;</w:t>
      </w:r>
    </w:p>
    <w:p>
      <w:pPr>
        <w:spacing w:after="0" w:line="168" w:lineRule="exact"/>
        <w:rPr>
          <w:rFonts w:ascii="Times New Roman" w:cs="Times New Roman" w:eastAsia="Times New Roman" w:hAnsi="Times New Roman"/>
          <w:sz w:val="20"/>
          <w:szCs w:val="20"/>
          <w:color w:val="auto"/>
        </w:rPr>
      </w:pPr>
    </w:p>
    <w:p>
      <w:pPr>
        <w:jc w:val="both"/>
        <w:ind w:left="640" w:firstLine="653"/>
        <w:spacing w:after="0" w:line="250" w:lineRule="auto"/>
        <w:tabs>
          <w:tab w:leader="none" w:pos="180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xml:space="preserve"> or the definition of “</w:t>
      </w:r>
      <w:r>
        <w:rPr>
          <w:rFonts w:ascii="Times New Roman" w:cs="Times New Roman" w:eastAsia="Times New Roman" w:hAnsi="Times New Roman"/>
          <w:sz w:val="20"/>
          <w:szCs w:val="20"/>
          <w:i w:val="1"/>
          <w:iCs w:val="1"/>
          <w:color w:val="auto"/>
        </w:rPr>
        <w:t>Required Lenders</w:t>
      </w:r>
      <w:r>
        <w:rPr>
          <w:rFonts w:ascii="Times New Roman" w:cs="Times New Roman" w:eastAsia="Times New Roman" w:hAnsi="Times New Roman"/>
          <w:sz w:val="20"/>
          <w:szCs w:val="20"/>
          <w:color w:val="auto"/>
        </w:rPr>
        <w:t>”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80" w:lineRule="exact"/>
        <w:rPr>
          <w:rFonts w:ascii="Times New Roman" w:cs="Times New Roman" w:eastAsia="Times New Roman" w:hAnsi="Times New Roman"/>
          <w:sz w:val="20"/>
          <w:szCs w:val="20"/>
          <w:color w:val="auto"/>
        </w:rPr>
      </w:pPr>
    </w:p>
    <w:p>
      <w:pPr>
        <w:ind w:left="640" w:firstLine="653"/>
        <w:spacing w:after="0" w:line="269" w:lineRule="auto"/>
        <w:tabs>
          <w:tab w:leader="none" w:pos="191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in any transaction or series of related transactions,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6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0"/>
          <w:szCs w:val="20"/>
          <w:b w:val="1"/>
          <w:bCs w:val="1"/>
          <w:i w:val="1"/>
          <w:iCs w:val="1"/>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74" w:lineRule="exact"/>
        <w:rPr>
          <w:rFonts w:ascii="Times New Roman" w:cs="Times New Roman" w:eastAsia="Times New Roman" w:hAnsi="Times New Roman"/>
          <w:sz w:val="20"/>
          <w:szCs w:val="20"/>
          <w:color w:val="auto"/>
        </w:rPr>
      </w:pPr>
    </w:p>
    <w:p>
      <w:pPr>
        <w:ind w:left="640" w:right="20" w:firstLine="653"/>
        <w:spacing w:after="0" w:line="269" w:lineRule="auto"/>
        <w:tabs>
          <w:tab w:leader="none" w:pos="180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the Borrower or permit the Borrower to assign or transfer any of its rights or obligations under this Agreement or the other Loan Documents without the consent of each Lender; or</w:t>
      </w:r>
    </w:p>
    <w:p>
      <w:pPr>
        <w:spacing w:after="0" w:line="155" w:lineRule="exact"/>
        <w:rPr>
          <w:rFonts w:ascii="Times New Roman" w:cs="Times New Roman" w:eastAsia="Times New Roman" w:hAnsi="Times New Roman"/>
          <w:sz w:val="20"/>
          <w:szCs w:val="20"/>
          <w:color w:val="auto"/>
        </w:rPr>
      </w:pPr>
    </w:p>
    <w:p>
      <w:pPr>
        <w:ind w:left="640" w:firstLine="653"/>
        <w:spacing w:after="0" w:line="273" w:lineRule="auto"/>
        <w:tabs>
          <w:tab w:leader="none" w:pos="186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b w:val="1"/>
          <w:bCs w:val="1"/>
          <w:i w:val="1"/>
          <w:iCs w:val="1"/>
          <w:color w:val="auto"/>
        </w:rPr>
        <w:t>Section 1.09</w:t>
      </w:r>
      <w:r>
        <w:rPr>
          <w:rFonts w:ascii="Times New Roman" w:cs="Times New Roman" w:eastAsia="Times New Roman" w:hAnsi="Times New Roman"/>
          <w:sz w:val="20"/>
          <w:szCs w:val="20"/>
          <w:color w:val="auto"/>
        </w:rPr>
        <w:t xml:space="preserve"> or the definition of “</w:t>
      </w:r>
      <w:r>
        <w:rPr>
          <w:rFonts w:ascii="Times New Roman" w:cs="Times New Roman" w:eastAsia="Times New Roman" w:hAnsi="Times New Roman"/>
          <w:sz w:val="20"/>
          <w:szCs w:val="20"/>
          <w:i w:val="1"/>
          <w:iCs w:val="1"/>
          <w:color w:val="auto"/>
        </w:rPr>
        <w:t>Alternative Currency</w:t>
      </w:r>
      <w:r>
        <w:rPr>
          <w:rFonts w:ascii="Times New Roman" w:cs="Times New Roman" w:eastAsia="Times New Roman" w:hAnsi="Times New Roman"/>
          <w:sz w:val="20"/>
          <w:szCs w:val="20"/>
          <w:color w:val="auto"/>
        </w:rPr>
        <w:t>” without the written consent of each Lender directly affected thereby;</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 writing and signed by the Administrative Agent in addition to the Lenders required above, affect the rights or duties of the Administrative Agent under this Agreement or any other Loan Document; (D) the Fee Letter may be amended, or rights or privileges thereunder waived, in a writing executed only by the parties thereto.</w:t>
      </w:r>
    </w:p>
    <w:p>
      <w:pPr>
        <w:spacing w:after="0" w:line="184" w:lineRule="exact"/>
        <w:rPr>
          <w:sz w:val="20"/>
          <w:szCs w:val="20"/>
          <w:color w:val="auto"/>
        </w:rPr>
      </w:pPr>
    </w:p>
    <w:p>
      <w:pPr>
        <w:jc w:val="both"/>
        <w:ind w:firstLine="645"/>
        <w:spacing w:after="0" w:line="254" w:lineRule="auto"/>
        <w:tabs>
          <w:tab w:leader="none" w:pos="11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 no Defaulting Lender shall have any right to approve or disapprove any amendment, waiver or consent hereunder (and any amendment, waiver or consent which by its terms requires the consent of all Lenders or each affected</w:t>
      </w:r>
    </w:p>
    <w:p>
      <w:pPr>
        <w:sectPr>
          <w:pgSz w:w="11900" w:h="16838" w:orient="portrait"/>
          <w:cols w:equalWidth="0" w:num="1">
            <w:col w:w="10760"/>
          </w:cols>
          <w:pgMar w:left="900" w:top="562" w:right="239" w:bottom="1440" w:gutter="0" w:footer="0" w:header="0"/>
        </w:sectPr>
      </w:pPr>
    </w:p>
    <w:bookmarkStart w:id="177" w:name="page178"/>
    <w:bookmarkEnd w:id="177"/>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 xml:space="preserve">Lender, or all Lenders or each affected Lender under the Revolving Facility,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or all Lenders or each affected Lender under the Revolving Facility,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w:t>
      </w:r>
      <w:r>
        <w:rPr>
          <w:rFonts w:ascii="Times New Roman" w:cs="Times New Roman" w:eastAsia="Times New Roman" w:hAnsi="Times New Roman"/>
          <w:sz w:val="20"/>
          <w:szCs w:val="20"/>
          <w:i w:val="1"/>
          <w:iCs w:val="1"/>
          <w:color w:val="auto"/>
        </w:rPr>
        <w:t>Section 1126(c)</w:t>
      </w:r>
      <w:r>
        <w:rPr>
          <w:rFonts w:ascii="Times New Roman" w:cs="Times New Roman" w:eastAsia="Times New Roman" w:hAnsi="Times New Roman"/>
          <w:sz w:val="20"/>
          <w:szCs w:val="20"/>
          <w:color w:val="auto"/>
        </w:rPr>
        <w:t xml:space="preserve">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87" w:lineRule="exact"/>
        <w:rPr>
          <w:sz w:val="20"/>
          <w:szCs w:val="20"/>
          <w:color w:val="auto"/>
        </w:rPr>
      </w:pPr>
    </w:p>
    <w:p>
      <w:pPr>
        <w:jc w:val="both"/>
        <w:ind w:left="660" w:firstLine="645"/>
        <w:spacing w:after="0" w:line="247" w:lineRule="auto"/>
        <w:tabs>
          <w:tab w:leader="none" w:pos="170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73"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this Agreement may be amended with the written consent of the Administrative Agent, the L/C Issuer, the Borrower and the Lenders affected thereby to amend the definition of “</w:t>
      </w:r>
      <w:r>
        <w:rPr>
          <w:rFonts w:ascii="Times New Roman" w:cs="Times New Roman" w:eastAsia="Times New Roman" w:hAnsi="Times New Roman"/>
          <w:sz w:val="20"/>
          <w:szCs w:val="20"/>
          <w:i w:val="1"/>
          <w:iCs w:val="1"/>
          <w:color w:val="auto"/>
        </w:rPr>
        <w:t>Alternative Currency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Eurocurrency Rate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 1.09</w:t>
      </w:r>
      <w:r>
        <w:rPr>
          <w:rFonts w:ascii="Times New Roman" w:cs="Times New Roman" w:eastAsia="Times New Roman" w:hAnsi="Times New Roman"/>
          <w:sz w:val="20"/>
          <w:szCs w:val="20"/>
          <w:color w:val="auto"/>
        </w:rPr>
        <w:t xml:space="preserve"> solely to add additional currency options and the applicable interest rate with respect thereto, in each case solely to the extent permitted pursuant to </w:t>
      </w:r>
      <w:r>
        <w:rPr>
          <w:rFonts w:ascii="Times New Roman" w:cs="Times New Roman" w:eastAsia="Times New Roman" w:hAnsi="Times New Roman"/>
          <w:sz w:val="20"/>
          <w:szCs w:val="20"/>
          <w:b w:val="1"/>
          <w:bCs w:val="1"/>
          <w:i w:val="1"/>
          <w:iCs w:val="1"/>
          <w:color w:val="auto"/>
        </w:rPr>
        <w:t>Section 1.09</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83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If any Lender does not consent to a proposed amendment, waiver, consent or release with respect to any Loan Document that requires the consent of each Lender and that has been approved by the Required Lenders, the Borrower may replace such Non-Consenting Lender in accordance with Section 11.13;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b w:val="1"/>
          <w:bCs w:val="1"/>
          <w:color w:val="auto"/>
        </w:rPr>
        <w:t>Notices; Effectiveness; Electronic Communications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56" w:lineRule="auto"/>
        <w:tabs>
          <w:tab w:leader="none" w:pos="1722"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 Generally</w:t>
      </w:r>
      <w:r>
        <w:rPr>
          <w:rFonts w:ascii="Times New Roman" w:cs="Times New Roman" w:eastAsia="Times New Roman" w:hAnsi="Times New Roman"/>
          <w:sz w:val="20"/>
          <w:szCs w:val="20"/>
          <w:color w:val="auto"/>
        </w:rPr>
        <w:t>. Except in the case of notices and other communications expressly permitted to be given by telephone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except as provided in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fax transmission or e-</w:t>
      </w:r>
    </w:p>
    <w:p>
      <w:pPr>
        <w:sectPr>
          <w:pgSz w:w="11900" w:h="16838" w:orient="portrait"/>
          <w:cols w:equalWidth="0" w:num="1">
            <w:col w:w="11420"/>
          </w:cols>
          <w:pgMar w:left="240" w:top="563" w:right="239" w:bottom="1440" w:gutter="0" w:footer="0" w:header="0"/>
        </w:sectPr>
      </w:pPr>
    </w:p>
    <w:bookmarkStart w:id="178" w:name="page179"/>
    <w:bookmarkEnd w:id="178"/>
    <w:p>
      <w:pPr>
        <w:ind w:right="20"/>
        <w:spacing w:after="0" w:line="269" w:lineRule="auto"/>
        <w:rPr>
          <w:sz w:val="20"/>
          <w:szCs w:val="20"/>
          <w:color w:val="auto"/>
        </w:rPr>
      </w:pPr>
      <w:r>
        <w:rPr>
          <w:rFonts w:ascii="Times New Roman" w:cs="Times New Roman" w:eastAsia="Times New Roman" w:hAnsi="Times New Roman"/>
          <w:sz w:val="20"/>
          <w:szCs w:val="20"/>
          <w:color w:val="auto"/>
        </w:rPr>
        <w:t>mail transmission as follows, and all notices and other communications expressly permitted hereunder to be given by telephone shall be made to the applicable telephone number, as follows:</w:t>
      </w:r>
    </w:p>
    <w:p>
      <w:pPr>
        <w:spacing w:after="0" w:line="160" w:lineRule="exact"/>
        <w:rPr>
          <w:sz w:val="20"/>
          <w:szCs w:val="20"/>
          <w:color w:val="auto"/>
        </w:rPr>
      </w:pPr>
    </w:p>
    <w:p>
      <w:pPr>
        <w:ind w:left="640" w:firstLine="653"/>
        <w:spacing w:after="0" w:line="269" w:lineRule="auto"/>
        <w:tabs>
          <w:tab w:leader="none" w:pos="168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or any other Loan Party, the Administrative Agent, the L/C Issuer or the Swingline Lender, to the address, fax number, e-mail address or telephone number specified for such Person on </w:t>
      </w:r>
      <w:r>
        <w:rPr>
          <w:rFonts w:ascii="Times New Roman" w:cs="Times New Roman" w:eastAsia="Times New Roman" w:hAnsi="Times New Roman"/>
          <w:sz w:val="20"/>
          <w:szCs w:val="20"/>
          <w:b w:val="1"/>
          <w:bCs w:val="1"/>
          <w:i w:val="1"/>
          <w:iCs w:val="1"/>
          <w:color w:val="auto"/>
        </w:rPr>
        <w:t>Schedule 1.01(a)</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640" w:firstLine="653"/>
        <w:spacing w:after="0" w:line="249" w:lineRule="auto"/>
        <w:tabs>
          <w:tab w:leader="none" w:pos="189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40"/>
        <w:spacing w:after="0"/>
        <w:tabs>
          <w:tab w:leader="none" w:pos="3560" w:val="left"/>
        </w:tabs>
        <w:rPr>
          <w:sz w:val="20"/>
          <w:szCs w:val="20"/>
          <w:color w:val="auto"/>
        </w:rPr>
      </w:pPr>
      <w:r>
        <w:rPr>
          <w:rFonts w:ascii="Times New Roman" w:cs="Times New Roman" w:eastAsia="Times New Roman" w:hAnsi="Times New Roman"/>
          <w:sz w:val="20"/>
          <w:szCs w:val="20"/>
          <w:color w:val="auto"/>
        </w:rPr>
        <w:t>This Agreement was prepared by:</w:t>
      </w:r>
      <w:r>
        <w:rPr>
          <w:sz w:val="20"/>
          <w:szCs w:val="20"/>
          <w:color w:val="auto"/>
        </w:rPr>
        <w:tab/>
      </w:r>
      <w:r>
        <w:rPr>
          <w:rFonts w:ascii="Times New Roman" w:cs="Times New Roman" w:eastAsia="Times New Roman" w:hAnsi="Times New Roman"/>
          <w:sz w:val="19"/>
          <w:szCs w:val="19"/>
          <w:color w:val="auto"/>
        </w:rPr>
        <w:t>Haynes and Boone, LLP</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1221 McKinney Street</w:t>
      </w:r>
    </w:p>
    <w:p>
      <w:pPr>
        <w:ind w:left="3880"/>
        <w:spacing w:after="0"/>
        <w:rPr>
          <w:sz w:val="20"/>
          <w:szCs w:val="20"/>
          <w:color w:val="auto"/>
        </w:rPr>
      </w:pPr>
      <w:r>
        <w:rPr>
          <w:rFonts w:ascii="Times New Roman" w:cs="Times New Roman" w:eastAsia="Times New Roman" w:hAnsi="Times New Roman"/>
          <w:sz w:val="20"/>
          <w:szCs w:val="20"/>
          <w:color w:val="auto"/>
        </w:rPr>
        <w:t>Suite 2100</w:t>
      </w:r>
    </w:p>
    <w:p>
      <w:pPr>
        <w:ind w:left="3880"/>
        <w:spacing w:after="0"/>
        <w:rPr>
          <w:sz w:val="20"/>
          <w:szCs w:val="20"/>
          <w:color w:val="auto"/>
        </w:rPr>
      </w:pPr>
      <w:r>
        <w:rPr>
          <w:rFonts w:ascii="Times New Roman" w:cs="Times New Roman" w:eastAsia="Times New Roman" w:hAnsi="Times New Roman"/>
          <w:sz w:val="20"/>
          <w:szCs w:val="20"/>
          <w:color w:val="auto"/>
        </w:rPr>
        <w:t>Houston, TX 77010</w:t>
      </w:r>
    </w:p>
    <w:p>
      <w:pPr>
        <w:ind w:left="3880"/>
        <w:spacing w:after="0"/>
        <w:rPr>
          <w:sz w:val="20"/>
          <w:szCs w:val="20"/>
          <w:color w:val="auto"/>
        </w:rPr>
      </w:pPr>
      <w:r>
        <w:rPr>
          <w:rFonts w:ascii="Times New Roman" w:cs="Times New Roman" w:eastAsia="Times New Roman" w:hAnsi="Times New Roman"/>
          <w:sz w:val="20"/>
          <w:szCs w:val="20"/>
          <w:color w:val="auto"/>
        </w:rPr>
        <w:t>Attention: Neal Kaminsky</w:t>
      </w:r>
    </w:p>
    <w:p>
      <w:pPr>
        <w:ind w:left="3880"/>
        <w:spacing w:after="0"/>
        <w:rPr>
          <w:sz w:val="20"/>
          <w:szCs w:val="20"/>
          <w:color w:val="auto"/>
        </w:rPr>
      </w:pPr>
      <w:r>
        <w:rPr>
          <w:rFonts w:ascii="Times New Roman" w:cs="Times New Roman" w:eastAsia="Times New Roman" w:hAnsi="Times New Roman"/>
          <w:sz w:val="20"/>
          <w:szCs w:val="20"/>
          <w:color w:val="auto"/>
        </w:rPr>
        <w:t>Phone: (713) 547-2542</w:t>
      </w:r>
    </w:p>
    <w:p>
      <w:pPr>
        <w:ind w:left="3880"/>
        <w:spacing w:after="0"/>
        <w:rPr>
          <w:sz w:val="20"/>
          <w:szCs w:val="20"/>
          <w:color w:val="auto"/>
        </w:rPr>
      </w:pPr>
      <w:r>
        <w:rPr>
          <w:rFonts w:ascii="Times New Roman" w:cs="Times New Roman" w:eastAsia="Times New Roman" w:hAnsi="Times New Roman"/>
          <w:sz w:val="20"/>
          <w:szCs w:val="20"/>
          <w:color w:val="auto"/>
        </w:rPr>
        <w:t>E-mail: neal.kaminsky@haynesboone.com</w:t>
      </w:r>
    </w:p>
    <w:p>
      <w:pPr>
        <w:spacing w:after="0" w:line="190" w:lineRule="exact"/>
        <w:rPr>
          <w:sz w:val="20"/>
          <w:szCs w:val="20"/>
          <w:color w:val="auto"/>
        </w:rPr>
      </w:pPr>
    </w:p>
    <w:p>
      <w:pPr>
        <w:ind w:left="1060" w:hanging="415"/>
        <w:spacing w:after="0"/>
        <w:tabs>
          <w:tab w:leader="none" w:pos="10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Communications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40" w:firstLine="653"/>
        <w:spacing w:after="0" w:line="243" w:lineRule="auto"/>
        <w:tabs>
          <w:tab w:leader="none" w:pos="1709"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notices to any Lender, the Swingline Lender or the L/C Issuer pursuant to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if such Lender, the Swingline Lender or the L/C Issuer, as applicable, has notified the Administrative Agent that it is incapable of receiving notices under such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approval of such procedures may be limited to particular notices or communications.</w:t>
      </w:r>
    </w:p>
    <w:p>
      <w:pPr>
        <w:spacing w:after="0" w:line="186" w:lineRule="exact"/>
        <w:rPr>
          <w:rFonts w:ascii="Times New Roman" w:cs="Times New Roman" w:eastAsia="Times New Roman" w:hAnsi="Times New Roman"/>
          <w:sz w:val="20"/>
          <w:szCs w:val="20"/>
          <w:color w:val="auto"/>
        </w:rPr>
      </w:pPr>
    </w:p>
    <w:p>
      <w:pPr>
        <w:jc w:val="both"/>
        <w:ind w:left="640" w:firstLine="653"/>
        <w:spacing w:after="0" w:line="249" w:lineRule="auto"/>
        <w:tabs>
          <w:tab w:leader="none" w:pos="176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w:t>
      </w:r>
    </w:p>
    <w:p>
      <w:pPr>
        <w:sectPr>
          <w:pgSz w:w="11900" w:h="16838" w:orient="portrait"/>
          <w:cols w:equalWidth="0" w:num="1">
            <w:col w:w="10760"/>
          </w:cols>
          <w:pgMar w:left="900" w:top="562" w:right="239" w:bottom="1440" w:gutter="0" w:footer="0" w:header="0"/>
        </w:sectPr>
      </w:pPr>
    </w:p>
    <w:bookmarkStart w:id="179" w:name="page180"/>
    <w:bookmarkEnd w:id="179"/>
    <w:p>
      <w:pPr>
        <w:jc w:val="both"/>
        <w:ind w:left="640"/>
        <w:spacing w:after="0" w:line="263" w:lineRule="auto"/>
        <w:rPr>
          <w:sz w:val="20"/>
          <w:szCs w:val="20"/>
          <w:color w:val="auto"/>
        </w:rPr>
      </w:pPr>
      <w:r>
        <w:rPr>
          <w:rFonts w:ascii="Times New Roman" w:cs="Times New Roman" w:eastAsia="Times New Roman" w:hAnsi="Times New Roman"/>
          <w:sz w:val="19"/>
          <w:szCs w:val="19"/>
          <w:color w:val="auto"/>
        </w:rPr>
        <w:t xml:space="preserve">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both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63" w:lineRule="exact"/>
        <w:rPr>
          <w:sz w:val="20"/>
          <w:szCs w:val="20"/>
          <w:color w:val="auto"/>
        </w:rPr>
      </w:pPr>
    </w:p>
    <w:p>
      <w:pPr>
        <w:ind w:left="1160" w:hanging="515"/>
        <w:spacing w:after="0"/>
        <w:tabs>
          <w:tab w:leader="none" w:pos="11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5" w:lineRule="exact"/>
        <w:rPr>
          <w:rFonts w:ascii="Times New Roman" w:cs="Times New Roman" w:eastAsia="Times New Roman" w:hAnsi="Times New Roman"/>
          <w:sz w:val="20"/>
          <w:szCs w:val="20"/>
          <w:color w:val="auto"/>
        </w:rPr>
      </w:pPr>
    </w:p>
    <w:p>
      <w:pPr>
        <w:jc w:val="both"/>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186" w:lineRule="exact"/>
        <w:rPr>
          <w:rFonts w:ascii="Times New Roman" w:cs="Times New Roman" w:eastAsia="Times New Roman" w:hAnsi="Times New Roman"/>
          <w:sz w:val="20"/>
          <w:szCs w:val="20"/>
          <w:color w:val="auto"/>
        </w:rPr>
      </w:pPr>
    </w:p>
    <w:p>
      <w:pPr>
        <w:jc w:val="both"/>
        <w:ind w:firstLine="645"/>
        <w:spacing w:after="0" w:line="256" w:lineRule="auto"/>
        <w:tabs>
          <w:tab w:leader="none" w:pos="1072"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Change of Address, Etc</w:t>
      </w:r>
      <w:r>
        <w:rPr>
          <w:rFonts w:ascii="Times New Roman" w:cs="Times New Roman" w:eastAsia="Times New Roman" w:hAnsi="Times New Roman"/>
          <w:sz w:val="19"/>
          <w:szCs w:val="19"/>
          <w:color w:val="auto"/>
        </w:rPr>
        <w:t>. Each of the Borrower, the Administrative Agent, the L/C Issuer and the Swingline Lender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4" w:lineRule="exact"/>
        <w:rPr>
          <w:rFonts w:ascii="Times New Roman" w:cs="Times New Roman" w:eastAsia="Times New Roman" w:hAnsi="Times New Roman"/>
          <w:sz w:val="19"/>
          <w:szCs w:val="19"/>
          <w:color w:val="auto"/>
        </w:rPr>
      </w:pPr>
    </w:p>
    <w:p>
      <w:pPr>
        <w:jc w:val="both"/>
        <w:ind w:firstLine="645"/>
        <w:spacing w:after="0" w:line="246" w:lineRule="auto"/>
        <w:tabs>
          <w:tab w:leader="none" w:pos="104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w:t>
      </w:r>
    </w:p>
    <w:p>
      <w:pPr>
        <w:sectPr>
          <w:pgSz w:w="11900" w:h="16838" w:orient="portrait"/>
          <w:cols w:equalWidth="0" w:num="1">
            <w:col w:w="10760"/>
          </w:cols>
          <w:pgMar w:left="900" w:top="563" w:right="239" w:bottom="1440" w:gutter="0" w:footer="0" w:header="0"/>
        </w:sectPr>
      </w:pPr>
    </w:p>
    <w:bookmarkStart w:id="180" w:name="page181"/>
    <w:bookmarkEnd w:id="180"/>
    <w:p>
      <w:pPr>
        <w:jc w:val="both"/>
        <w:spacing w:after="0" w:line="249" w:lineRule="auto"/>
        <w:rPr>
          <w:sz w:val="20"/>
          <w:szCs w:val="20"/>
          <w:color w:val="auto"/>
        </w:rPr>
      </w:pPr>
      <w:r>
        <w:rPr>
          <w:rFonts w:ascii="Times New Roman" w:cs="Times New Roman" w:eastAsia="Times New Roman" w:hAnsi="Times New Roman"/>
          <w:sz w:val="20"/>
          <w:szCs w:val="20"/>
          <w:color w:val="auto"/>
        </w:rPr>
        <w:t>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11.03</w:t>
      </w:r>
      <w:r>
        <w:rPr>
          <w:sz w:val="20"/>
          <w:szCs w:val="20"/>
          <w:color w:val="auto"/>
        </w:rPr>
        <w:tab/>
      </w:r>
      <w:r>
        <w:rPr>
          <w:rFonts w:ascii="Times New Roman" w:cs="Times New Roman" w:eastAsia="Times New Roman" w:hAnsi="Times New Roman"/>
          <w:sz w:val="19"/>
          <w:szCs w:val="19"/>
          <w:b w:val="1"/>
          <w:bCs w:val="1"/>
          <w:color w:val="auto"/>
        </w:rPr>
        <w:t>No Waiver; Cumulative Remedies; Enforcement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5"/>
        <w:spacing w:after="0" w:line="245" w:lineRule="auto"/>
        <w:tabs>
          <w:tab w:leader="none" w:pos="111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5" w:lineRule="exact"/>
        <w:rPr>
          <w:rFonts w:ascii="Times New Roman" w:cs="Times New Roman" w:eastAsia="Times New Roman" w:hAnsi="Times New Roman"/>
          <w:sz w:val="20"/>
          <w:szCs w:val="20"/>
          <w:color w:val="auto"/>
        </w:rPr>
      </w:pPr>
    </w:p>
    <w:p>
      <w:pPr>
        <w:jc w:val="both"/>
        <w:ind w:firstLine="645"/>
        <w:spacing w:after="0" w:line="255" w:lineRule="auto"/>
        <w:tabs>
          <w:tab w:leader="none" w:pos="107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9"/>
          <w:szCs w:val="19"/>
          <w:b w:val="1"/>
          <w:bCs w:val="1"/>
          <w:i w:val="1"/>
          <w:iCs w:val="1"/>
          <w:color w:val="auto"/>
        </w:rPr>
        <w:t>Section 8.02</w:t>
      </w:r>
      <w:r>
        <w:rPr>
          <w:rFonts w:ascii="Times New Roman" w:cs="Times New Roman" w:eastAsia="Times New Roman" w:hAnsi="Times New Roman"/>
          <w:sz w:val="19"/>
          <w:szCs w:val="19"/>
          <w:color w:val="auto"/>
        </w:rPr>
        <w:t xml:space="preserve"> for the benefit of all the Lenders and the L/C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cs="Times New Roman" w:eastAsia="Times New Roman" w:hAnsi="Times New Roman"/>
          <w:sz w:val="19"/>
          <w:szCs w:val="19"/>
          <w:b w:val="1"/>
          <w:bCs w:val="1"/>
          <w:i w:val="1"/>
          <w:iCs w:val="1"/>
          <w:color w:val="auto"/>
        </w:rPr>
        <w:t>Section 11.08</w:t>
      </w:r>
      <w:r>
        <w:rPr>
          <w:rFonts w:ascii="Times New Roman" w:cs="Times New Roman" w:eastAsia="Times New Roman" w:hAnsi="Times New Roman"/>
          <w:sz w:val="19"/>
          <w:szCs w:val="19"/>
          <w:color w:val="auto"/>
        </w:rPr>
        <w:t xml:space="preserve"> (subject to the terms of </w:t>
      </w:r>
      <w:r>
        <w:rPr>
          <w:rFonts w:ascii="Times New Roman" w:cs="Times New Roman" w:eastAsia="Times New Roman" w:hAnsi="Times New Roman"/>
          <w:sz w:val="19"/>
          <w:szCs w:val="19"/>
          <w:b w:val="1"/>
          <w:bCs w:val="1"/>
          <w:i w:val="1"/>
          <w:iCs w:val="1"/>
          <w:color w:val="auto"/>
        </w:rPr>
        <w:t>Section 2.13</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further</w:t>
      </w:r>
      <w:r>
        <w:rPr>
          <w:rFonts w:ascii="Times New Roman" w:cs="Times New Roman" w:eastAsia="Times New Roman" w:hAnsi="Times New Roman"/>
          <w:sz w:val="19"/>
          <w:szCs w:val="19"/>
          <w:color w:val="auto"/>
        </w:rPr>
        <w:t>, that if at any time there is no Person acting as Administrative Agent hereunder and under the other Loan Documents,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then (i) the Required Lenders shall have the rights otherwise ascribed to the Administrative Agent pursuant to </w:t>
      </w:r>
      <w:r>
        <w:rPr>
          <w:rFonts w:ascii="Times New Roman" w:cs="Times New Roman" w:eastAsia="Times New Roman" w:hAnsi="Times New Roman"/>
          <w:sz w:val="19"/>
          <w:szCs w:val="19"/>
          <w:b w:val="1"/>
          <w:bCs w:val="1"/>
          <w:i w:val="1"/>
          <w:iCs w:val="1"/>
          <w:color w:val="auto"/>
        </w:rPr>
        <w:t>Section 8.02</w:t>
      </w:r>
      <w:r>
        <w:rPr>
          <w:rFonts w:ascii="Times New Roman" w:cs="Times New Roman" w:eastAsia="Times New Roman" w:hAnsi="Times New Roman"/>
          <w:sz w:val="19"/>
          <w:szCs w:val="19"/>
          <w:color w:val="auto"/>
        </w:rPr>
        <w:t xml:space="preserve"> and (ii) in addition to the matters set forth in </w:t>
      </w:r>
      <w:r>
        <w:rPr>
          <w:rFonts w:ascii="Times New Roman" w:cs="Times New Roman" w:eastAsia="Times New Roman" w:hAnsi="Times New Roman"/>
          <w:sz w:val="19"/>
          <w:szCs w:val="19"/>
          <w:i w:val="1"/>
          <w:iCs w:val="1"/>
          <w:color w:val="auto"/>
        </w:rPr>
        <w:t>clauses (b), (c)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w:t>
      </w:r>
      <w:r>
        <w:rPr>
          <w:rFonts w:ascii="Times New Roman" w:cs="Times New Roman" w:eastAsia="Times New Roman" w:hAnsi="Times New Roman"/>
          <w:sz w:val="19"/>
          <w:szCs w:val="19"/>
          <w:color w:val="auto"/>
        </w:rPr>
        <w:t xml:space="preserve"> of the preceding proviso and subject to </w:t>
      </w:r>
      <w:r>
        <w:rPr>
          <w:rFonts w:ascii="Times New Roman" w:cs="Times New Roman" w:eastAsia="Times New Roman" w:hAnsi="Times New Roman"/>
          <w:sz w:val="19"/>
          <w:szCs w:val="19"/>
          <w:b w:val="1"/>
          <w:bCs w:val="1"/>
          <w:i w:val="1"/>
          <w:iCs w:val="1"/>
          <w:color w:val="auto"/>
        </w:rPr>
        <w:t>Section 2.13</w:t>
      </w:r>
      <w:r>
        <w:rPr>
          <w:rFonts w:ascii="Times New Roman" w:cs="Times New Roman" w:eastAsia="Times New Roman" w:hAnsi="Times New Roman"/>
          <w:sz w:val="19"/>
          <w:szCs w:val="19"/>
          <w:color w:val="auto"/>
        </w:rPr>
        <w:t>, any Lender may, with the consent of the Required Lenders, enforce any rights and remedies available to it and as authorized by the Required Lenders.</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11.04</w:t>
      </w:r>
      <w:r>
        <w:rPr>
          <w:sz w:val="20"/>
          <w:szCs w:val="20"/>
          <w:color w:val="auto"/>
        </w:rPr>
        <w:tab/>
      </w:r>
      <w:r>
        <w:rPr>
          <w:rFonts w:ascii="Times New Roman" w:cs="Times New Roman" w:eastAsia="Times New Roman" w:hAnsi="Times New Roman"/>
          <w:sz w:val="19"/>
          <w:szCs w:val="19"/>
          <w:b w:val="1"/>
          <w:bCs w:val="1"/>
          <w:color w:val="auto"/>
        </w:rPr>
        <w:t>Expenses; Indemnity; Damage Waiver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5" w:lineRule="auto"/>
        <w:tabs>
          <w:tab w:leader="none" w:pos="106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The Loan Parties shall pay (i) all reasonable out-of-pocket expenses incurred by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and its Affiliates (including, but not limited to, (A) the reasonable fees, charges and disbursements of counsel for the Administrative Agent and its Affiliates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extension, reinstatement or renewal of any Letter of Credit or any demand for payment</w:t>
      </w:r>
    </w:p>
    <w:p>
      <w:pPr>
        <w:sectPr>
          <w:pgSz w:w="11900" w:h="16838" w:orient="portrait"/>
          <w:cols w:equalWidth="0" w:num="1">
            <w:col w:w="10760"/>
          </w:cols>
          <w:pgMar w:left="900" w:top="562" w:right="239" w:bottom="1440" w:gutter="0" w:footer="0" w:header="0"/>
        </w:sectPr>
      </w:pPr>
    </w:p>
    <w:bookmarkStart w:id="181" w:name="page182"/>
    <w:bookmarkEnd w:id="181"/>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thereunder and (iii) all out-of-pocket expenses incurred by the Administrative Agent, any Lender or the L/C Issuer (including the fees, charges and disbursements of any counsel for the Administrative Agent, any Lender or the L/C Issuer)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connection with the enforcement or protection of its rights (A) in connection with this Agreement and the other Loan Documents, including its rights under this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177" w:lineRule="exact"/>
        <w:rPr>
          <w:sz w:val="20"/>
          <w:szCs w:val="20"/>
          <w:color w:val="auto"/>
        </w:rPr>
      </w:pPr>
    </w:p>
    <w:p>
      <w:pPr>
        <w:jc w:val="both"/>
        <w:ind w:left="4" w:firstLine="645"/>
        <w:spacing w:after="0" w:line="242" w:lineRule="auto"/>
        <w:tabs>
          <w:tab w:leader="none" w:pos="1117"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 by the Loan Parties</w:t>
      </w:r>
      <w:r>
        <w:rPr>
          <w:rFonts w:ascii="Times New Roman" w:cs="Times New Roman" w:eastAsia="Times New Roman" w:hAnsi="Times New Roman"/>
          <w:sz w:val="20"/>
          <w:szCs w:val="20"/>
          <w:color w:val="auto"/>
        </w:rPr>
        <w:t>. The Loan Parties shall indemnify the Administrative Agent (and any sub-agent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thereof), each Lender and the L/C Issuer, and each Related Party of any of the foregoing Persons (each such Person being called an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w:t>
      </w:r>
    </w:p>
    <w:p>
      <w:pPr>
        <w:spacing w:after="0" w:line="5" w:lineRule="exact"/>
        <w:rPr>
          <w:rFonts w:ascii="Times New Roman" w:cs="Times New Roman" w:eastAsia="Times New Roman" w:hAnsi="Times New Roman"/>
          <w:sz w:val="20"/>
          <w:szCs w:val="20"/>
          <w:color w:val="auto"/>
        </w:rPr>
      </w:pPr>
    </w:p>
    <w:p>
      <w:pPr>
        <w:jc w:val="both"/>
        <w:ind w:left="4" w:hanging="4"/>
        <w:spacing w:after="0" w:line="252" w:lineRule="auto"/>
        <w:tabs>
          <w:tab w:leader="none" w:pos="299"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w:t>
      </w:r>
    </w:p>
    <w:p>
      <w:pPr>
        <w:spacing w:after="0" w:line="1" w:lineRule="exact"/>
        <w:rPr>
          <w:rFonts w:ascii="Times New Roman" w:cs="Times New Roman" w:eastAsia="Times New Roman" w:hAnsi="Times New Roman"/>
          <w:sz w:val="19"/>
          <w:szCs w:val="19"/>
          <w:color w:val="auto"/>
        </w:rPr>
      </w:pPr>
    </w:p>
    <w:p>
      <w:pPr>
        <w:jc w:val="both"/>
        <w:ind w:left="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IN ALL CASES, WHETHER OR NOT CAUSED BY OR ARISING, IN WHOLE OR IN PART, OUT OF THE COMPARATIVE, CONTRIBUTORY OR SOLE NEGLIGENCE OF THE INDEMNITEE;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20"/>
          <w:szCs w:val="20"/>
          <w:b w:val="1"/>
          <w:bCs w:val="1"/>
          <w:i w:val="1"/>
          <w:iCs w:val="1"/>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Section 11.04(b)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86" w:lineRule="exact"/>
        <w:rPr>
          <w:rFonts w:ascii="Times New Roman" w:cs="Times New Roman" w:eastAsia="Times New Roman" w:hAnsi="Times New Roman"/>
          <w:sz w:val="19"/>
          <w:szCs w:val="19"/>
          <w:color w:val="auto"/>
        </w:rPr>
      </w:pPr>
    </w:p>
    <w:p>
      <w:pPr>
        <w:jc w:val="both"/>
        <w:ind w:left="4" w:firstLine="645"/>
        <w:spacing w:after="0" w:line="248" w:lineRule="auto"/>
        <w:tabs>
          <w:tab w:leader="none" w:pos="114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Reimbursement by Lenders</w:t>
      </w:r>
      <w:r>
        <w:rPr>
          <w:rFonts w:ascii="Times New Roman" w:cs="Times New Roman" w:eastAsia="Times New Roman" w:hAnsi="Times New Roman"/>
          <w:sz w:val="20"/>
          <w:szCs w:val="20"/>
          <w:color w:val="auto"/>
        </w:rPr>
        <w:t>. To the extent that the Loan Parties for any reason fail to indefeasibly pay any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required under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color w:val="auto"/>
        </w:rPr>
        <w:t xml:space="preserve">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w:t>
      </w:r>
    </w:p>
    <w:p>
      <w:pPr>
        <w:sectPr>
          <w:pgSz w:w="11900" w:h="16838" w:orient="portrait"/>
          <w:cols w:equalWidth="0" w:num="1">
            <w:col w:w="10764"/>
          </w:cols>
          <w:pgMar w:left="896" w:top="563" w:right="239" w:bottom="1440" w:gutter="0" w:footer="0" w:header="0"/>
        </w:sectPr>
      </w:pPr>
    </w:p>
    <w:bookmarkStart w:id="182" w:name="page183"/>
    <w:bookmarkEnd w:id="182"/>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 xml:space="preserve">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 w:cs="Times New Roman" w:eastAsia="Times New Roman" w:hAnsi="Times New Roman"/>
          <w:sz w:val="20"/>
          <w:szCs w:val="20"/>
          <w:b w:val="1"/>
          <w:bCs w:val="1"/>
          <w:i w:val="1"/>
          <w:iCs w:val="1"/>
          <w:color w:val="auto"/>
        </w:rPr>
        <w:t xml:space="preserve">clause (c) </w:t>
      </w:r>
      <w:r>
        <w:rPr>
          <w:rFonts w:ascii="Times New Roman" w:cs="Times New Roman" w:eastAsia="Times New Roman" w:hAnsi="Times New Roman"/>
          <w:sz w:val="20"/>
          <w:szCs w:val="20"/>
          <w:color w:val="auto"/>
        </w:rPr>
        <w:t>are subject to the provisions of</w:t>
      </w:r>
      <w:r>
        <w:rPr>
          <w:rFonts w:ascii="Times New Roman" w:cs="Times New Roman" w:eastAsia="Times New Roman" w:hAnsi="Times New Roman"/>
          <w:sz w:val="20"/>
          <w:szCs w:val="20"/>
          <w:b w:val="1"/>
          <w:bCs w:val="1"/>
          <w:i w:val="1"/>
          <w:iCs w:val="1"/>
          <w:color w:val="auto"/>
        </w:rPr>
        <w:t xml:space="preserve"> Section 2.12(d)</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660" w:firstLine="645"/>
        <w:spacing w:after="0" w:line="243" w:lineRule="auto"/>
        <w:tabs>
          <w:tab w:leader="none" w:pos="174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Consequential Damages, Etc</w:t>
      </w:r>
      <w:r>
        <w:rPr>
          <w:rFonts w:ascii="Times New Roman" w:cs="Times New Roman" w:eastAsia="Times New Roman" w:hAnsi="Times New Roman"/>
          <w:sz w:val="20"/>
          <w:szCs w:val="20"/>
          <w:color w:val="auto"/>
        </w:rPr>
        <w:t>. To the fullest extent permitted by Applicable Law, no Loan Party shall assert,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3" w:lineRule="exact"/>
        <w:rPr>
          <w:rFonts w:ascii="Times New Roman" w:cs="Times New Roman" w:eastAsia="Times New Roman" w:hAnsi="Times New Roman"/>
          <w:sz w:val="20"/>
          <w:szCs w:val="20"/>
          <w:color w:val="auto"/>
        </w:rPr>
      </w:pPr>
    </w:p>
    <w:p>
      <w:pPr>
        <w:ind w:left="1800" w:hanging="495"/>
        <w:spacing w:after="0"/>
        <w:tabs>
          <w:tab w:leader="none" w:pos="18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w:t>
      </w:r>
      <w:r>
        <w:rPr>
          <w:rFonts w:ascii="Times New Roman" w:cs="Times New Roman" w:eastAsia="Times New Roman" w:hAnsi="Times New Roman"/>
          <w:sz w:val="20"/>
          <w:szCs w:val="20"/>
          <w:color w:val="auto"/>
        </w:rPr>
        <w:t>. All amounts due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payable not later than 10 Business Days after demand</w:t>
      </w:r>
    </w:p>
    <w:p>
      <w:pPr>
        <w:spacing w:after="0" w:line="2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therefor.</w:t>
      </w:r>
    </w:p>
    <w:p>
      <w:pPr>
        <w:spacing w:after="0" w:line="189"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82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The agreements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indemnity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11.02(e)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resignation of the Administrative Agent, the L/C Issuer and the Swingline Lender, the replacement of any Lender, the termination of the Aggregate Commitments and the repayment, satisfaction or discharge of all the other Obligations.</w:t>
      </w:r>
    </w:p>
    <w:p>
      <w:pPr>
        <w:spacing w:after="0" w:line="1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 xml:space="preserve">11.05 </w:t>
      </w:r>
      <w:r>
        <w:rPr>
          <w:rFonts w:ascii="Times New Roman" w:cs="Times New Roman" w:eastAsia="Times New Roman" w:hAnsi="Times New Roman"/>
          <w:sz w:val="19"/>
          <w:szCs w:val="19"/>
          <w:b w:val="1"/>
          <w:bCs w:val="1"/>
          <w:color w:val="auto"/>
        </w:rPr>
        <w:t>Payments Set Aside</w:t>
      </w:r>
      <w:r>
        <w:rPr>
          <w:rFonts w:ascii="Times New Roman" w:cs="Times New Roman" w:eastAsia="Times New Roman" w:hAnsi="Times New Roman"/>
          <w:sz w:val="19"/>
          <w:szCs w:val="19"/>
          <w:color w:val="auto"/>
        </w:rPr>
        <w:t xml:space="preserve">. 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xml:space="preserve"> of the preceding sentence shall survive the payment in full of the Obligations and the termination of this Agreement.</w:t>
      </w:r>
    </w:p>
    <w:p>
      <w:pPr>
        <w:sectPr>
          <w:pgSz w:w="11900" w:h="16838" w:orient="portrait"/>
          <w:cols w:equalWidth="0" w:num="1">
            <w:col w:w="11420"/>
          </w:cols>
          <w:pgMar w:left="240" w:top="563" w:right="239" w:bottom="1440" w:gutter="0" w:footer="0" w:header="0"/>
        </w:sectPr>
      </w:pPr>
    </w:p>
    <w:bookmarkStart w:id="183" w:name="page184"/>
    <w:bookmarkEnd w:id="183"/>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11.06</w:t>
      </w:r>
      <w:r>
        <w:rPr>
          <w:sz w:val="20"/>
          <w:szCs w:val="20"/>
          <w:color w:val="auto"/>
        </w:rPr>
        <w:tab/>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42" w:lineRule="auto"/>
        <w:tabs>
          <w:tab w:leader="none" w:pos="110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Successors and Assigns Generally</w:t>
      </w:r>
      <w:r>
        <w:rPr>
          <w:rFonts w:ascii="Times New Roman" w:cs="Times New Roman" w:eastAsia="Times New Roman" w:hAnsi="Times New Roman"/>
          <w:sz w:val="20"/>
          <w:szCs w:val="20"/>
          <w:color w:val="auto"/>
        </w:rPr>
        <w:t>. The provisions of this Agreement and the other Loan Documents shall be binding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upon 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b w:val="1"/>
          <w:bCs w:val="1"/>
          <w:i w:val="1"/>
          <w:iCs w:val="1"/>
          <w:color w:val="auto"/>
        </w:rPr>
        <w:t>Section 11.06(b)</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b w:val="1"/>
          <w:bCs w:val="1"/>
          <w:i w:val="1"/>
          <w:iCs w:val="1"/>
          <w:color w:val="auto"/>
        </w:rPr>
        <w:t>Section 11.06(d)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b w:val="1"/>
          <w:bCs w:val="1"/>
          <w:i w:val="1"/>
          <w:iCs w:val="1"/>
          <w:color w:val="auto"/>
        </w:rPr>
        <w:t>Section 11.06(e)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b w:val="1"/>
          <w:bCs w:val="1"/>
          <w:i w:val="1"/>
          <w:iCs w:val="1"/>
          <w:color w:val="auto"/>
        </w:rPr>
        <w:t>Section 11.06(d)</w:t>
      </w:r>
      <w:r>
        <w:rPr>
          <w:rFonts w:ascii="Times New Roman" w:cs="Times New Roman" w:eastAsia="Times New Roman" w:hAnsi="Times New Roman"/>
          <w:sz w:val="20"/>
          <w:szCs w:val="20"/>
          <w:color w:val="auto"/>
        </w:rPr>
        <w:t xml:space="preserve"> and, to the extent expressly contemplated hereby, the Related Parties of each of the Administrative Agent, the L/C Issuer and the Lenders) any legal or equitable right, remedy or claim under or by reason of this Agreement.</w:t>
      </w:r>
    </w:p>
    <w:p>
      <w:pPr>
        <w:spacing w:after="0" w:line="190" w:lineRule="exact"/>
        <w:rPr>
          <w:rFonts w:ascii="Times New Roman" w:cs="Times New Roman" w:eastAsia="Times New Roman" w:hAnsi="Times New Roman"/>
          <w:sz w:val="20"/>
          <w:szCs w:val="20"/>
          <w:color w:val="auto"/>
        </w:rPr>
      </w:pPr>
    </w:p>
    <w:p>
      <w:pPr>
        <w:jc w:val="both"/>
        <w:ind w:firstLine="645"/>
        <w:spacing w:after="0" w:line="250" w:lineRule="auto"/>
        <w:tabs>
          <w:tab w:leader="none" w:pos="10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Assignments by Lenders</w:t>
      </w:r>
      <w:r>
        <w:rPr>
          <w:rFonts w:ascii="Times New Roman" w:cs="Times New Roman" w:eastAsia="Times New Roman" w:hAnsi="Times New Roman"/>
          <w:sz w:val="20"/>
          <w:szCs w:val="20"/>
          <w:color w:val="auto"/>
        </w:rPr>
        <w:t>. Any Lender may at any time assign to one or more assignees all or a portion of its rights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obligations under this Agreement and the other Loan Documents (including all or a portion of its Commitment(s) and the Loans (including for purposes of this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participations in L/C Obligations and in Swingline Loans) at the time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with respect to the Revolving Facility) any such assignment shall be subject to the following conditions:</w:t>
      </w:r>
    </w:p>
    <w:p>
      <w:pPr>
        <w:spacing w:after="0" w:line="176" w:lineRule="exact"/>
        <w:rPr>
          <w:rFonts w:ascii="Times New Roman" w:cs="Times New Roman" w:eastAsia="Times New Roman" w:hAnsi="Times New Roman"/>
          <w:sz w:val="20"/>
          <w:szCs w:val="20"/>
          <w:color w:val="auto"/>
        </w:rPr>
      </w:pPr>
    </w:p>
    <w:p>
      <w:pPr>
        <w:ind w:left="1660" w:hanging="367"/>
        <w:spacing w:after="0"/>
        <w:tabs>
          <w:tab w:leader="none" w:pos="1660"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Minimum Amounts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300" w:firstLine="641"/>
        <w:spacing w:after="0" w:line="245" w:lineRule="auto"/>
        <w:tabs>
          <w:tab w:leader="none" w:pos="2498"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under the Revolving Facility and/or the Loans at the time owing to it (in each case with respect to the Revolving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20"/>
          <w:szCs w:val="20"/>
          <w:b w:val="1"/>
          <w:bCs w:val="1"/>
          <w:i w:val="1"/>
          <w:iCs w:val="1"/>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xml:space="preserve"> in the aggregate or in the case of an assignment to a Lender, an Affiliate of a Lender or an Approved Fund, no minimum amount need be assigned; and</w:t>
      </w:r>
    </w:p>
    <w:p>
      <w:pPr>
        <w:spacing w:after="0" w:line="181" w:lineRule="exact"/>
        <w:rPr>
          <w:rFonts w:ascii="Times New Roman" w:cs="Times New Roman" w:eastAsia="Times New Roman" w:hAnsi="Times New Roman"/>
          <w:sz w:val="20"/>
          <w:szCs w:val="20"/>
          <w:color w:val="auto"/>
        </w:rPr>
      </w:pPr>
    </w:p>
    <w:p>
      <w:pPr>
        <w:jc w:val="both"/>
        <w:ind w:left="1300" w:firstLine="641"/>
        <w:spacing w:after="0" w:line="244" w:lineRule="auto"/>
        <w:tabs>
          <w:tab w:leader="none" w:pos="2568"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b w:val="1"/>
          <w:bCs w:val="1"/>
          <w:i w:val="1"/>
          <w:iCs w:val="1"/>
          <w:color w:val="auto"/>
        </w:rPr>
        <w:t>clause (b)(i)(A)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unless each of the Administrative Agent and, so long as no Event of Default has occurred and is continuing, the Borrower otherwise consents (each such consent not to be unreasonably withheld or delayed).</w:t>
      </w:r>
    </w:p>
    <w:p>
      <w:pPr>
        <w:spacing w:after="0" w:line="182" w:lineRule="exact"/>
        <w:rPr>
          <w:rFonts w:ascii="Times New Roman" w:cs="Times New Roman" w:eastAsia="Times New Roman" w:hAnsi="Times New Roman"/>
          <w:sz w:val="20"/>
          <w:szCs w:val="20"/>
          <w:color w:val="auto"/>
        </w:rPr>
      </w:pPr>
    </w:p>
    <w:p>
      <w:pPr>
        <w:ind w:left="640" w:firstLine="653"/>
        <w:spacing w:after="0" w:line="273" w:lineRule="auto"/>
        <w:tabs>
          <w:tab w:leader="none" w:pos="1750"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assigning Lender’s rights and obligations under</w:t>
      </w:r>
    </w:p>
    <w:p>
      <w:pPr>
        <w:sectPr>
          <w:pgSz w:w="11900" w:h="16838" w:orient="portrait"/>
          <w:cols w:equalWidth="0" w:num="1">
            <w:col w:w="10760"/>
          </w:cols>
          <w:pgMar w:left="900" w:top="558" w:right="239" w:bottom="1440" w:gutter="0" w:footer="0" w:header="0"/>
        </w:sectPr>
      </w:pPr>
    </w:p>
    <w:bookmarkStart w:id="184" w:name="page185"/>
    <w:bookmarkEnd w:id="184"/>
    <w:p>
      <w:pPr>
        <w:ind w:left="100" w:right="20"/>
        <w:spacing w:after="0" w:line="269" w:lineRule="auto"/>
        <w:rPr>
          <w:sz w:val="20"/>
          <w:szCs w:val="20"/>
          <w:color w:val="auto"/>
        </w:rPr>
      </w:pPr>
      <w:r>
        <w:rPr>
          <w:rFonts w:ascii="Times New Roman" w:cs="Times New Roman" w:eastAsia="Times New Roman" w:hAnsi="Times New Roman"/>
          <w:sz w:val="20"/>
          <w:szCs w:val="20"/>
          <w:color w:val="auto"/>
        </w:rPr>
        <w:t xml:space="preserve">this Agreement and the other Loan Documents with respect to the Loans and/or the Commitment assigned, except that this </w:t>
      </w:r>
      <w:r>
        <w:rPr>
          <w:rFonts w:ascii="Times New Roman" w:cs="Times New Roman" w:eastAsia="Times New Roman" w:hAnsi="Times New Roman"/>
          <w:sz w:val="20"/>
          <w:szCs w:val="20"/>
          <w:b w:val="1"/>
          <w:bCs w:val="1"/>
          <w:i w:val="1"/>
          <w:iCs w:val="1"/>
          <w:color w:val="auto"/>
        </w:rPr>
        <w:t xml:space="preserve">clause (b)(ii) </w:t>
      </w:r>
      <w:r>
        <w:rPr>
          <w:rFonts w:ascii="Times New Roman" w:cs="Times New Roman" w:eastAsia="Times New Roman" w:hAnsi="Times New Roman"/>
          <w:sz w:val="20"/>
          <w:szCs w:val="20"/>
          <w:color w:val="auto"/>
        </w:rPr>
        <w:t>shall not apply to the Swingline Lender’s rights and obligations in respect of Swingline Loans.</w:t>
      </w:r>
    </w:p>
    <w:p>
      <w:pPr>
        <w:spacing w:after="0" w:line="156" w:lineRule="exact"/>
        <w:rPr>
          <w:sz w:val="20"/>
          <w:szCs w:val="20"/>
          <w:color w:val="auto"/>
        </w:rPr>
      </w:pPr>
    </w:p>
    <w:p>
      <w:pPr>
        <w:ind w:left="100" w:right="20" w:firstLine="653"/>
        <w:spacing w:after="0" w:line="273" w:lineRule="auto"/>
        <w:tabs>
          <w:tab w:leader="none" w:pos="122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Required Consents</w:t>
      </w:r>
      <w:r>
        <w:rPr>
          <w:rFonts w:ascii="Times New Roman" w:cs="Times New Roman" w:eastAsia="Times New Roman" w:hAnsi="Times New Roman"/>
          <w:sz w:val="20"/>
          <w:szCs w:val="20"/>
          <w:color w:val="auto"/>
        </w:rPr>
        <w:t>. No consent shall be required for any assignment except to the extent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 xml:space="preserve">(i)(B)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i w:val="1"/>
          <w:iCs w:val="1"/>
          <w:color w:val="auto"/>
        </w:rPr>
        <w:t xml:space="preserve"> Section 11.06 </w:t>
      </w:r>
      <w:r>
        <w:rPr>
          <w:rFonts w:ascii="Times New Roman" w:cs="Times New Roman" w:eastAsia="Times New Roman" w:hAnsi="Times New Roman"/>
          <w:sz w:val="20"/>
          <w:szCs w:val="20"/>
          <w:color w:val="auto"/>
        </w:rPr>
        <w:t>and, in addition:</w:t>
      </w:r>
    </w:p>
    <w:p>
      <w:pPr>
        <w:spacing w:after="0" w:line="156" w:lineRule="exact"/>
        <w:rPr>
          <w:rFonts w:ascii="Times New Roman" w:cs="Times New Roman" w:eastAsia="Times New Roman" w:hAnsi="Times New Roman"/>
          <w:sz w:val="20"/>
          <w:szCs w:val="20"/>
          <w:color w:val="auto"/>
        </w:rPr>
      </w:pPr>
    </w:p>
    <w:p>
      <w:pPr>
        <w:jc w:val="both"/>
        <w:ind w:left="760" w:firstLine="641"/>
        <w:spacing w:after="0" w:line="245" w:lineRule="auto"/>
        <w:tabs>
          <w:tab w:leader="none" w:pos="1876"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Business Days after having received notice thereof;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Borrower’s consent shall not be required during the primary syndication of the Facilities;</w:t>
      </w:r>
    </w:p>
    <w:p>
      <w:pPr>
        <w:spacing w:after="0" w:line="185" w:lineRule="exact"/>
        <w:rPr>
          <w:rFonts w:ascii="Times New Roman" w:cs="Times New Roman" w:eastAsia="Times New Roman" w:hAnsi="Times New Roman"/>
          <w:sz w:val="20"/>
          <w:szCs w:val="20"/>
          <w:color w:val="auto"/>
        </w:rPr>
      </w:pPr>
    </w:p>
    <w:p>
      <w:pPr>
        <w:jc w:val="both"/>
        <w:ind w:left="760" w:firstLine="641"/>
        <w:spacing w:after="0" w:line="249" w:lineRule="auto"/>
        <w:tabs>
          <w:tab w:leader="none" w:pos="1866"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Revolving Facility, an Affiliate of such Lender or an Approved Fund with respect to such Lender; and</w:t>
      </w:r>
    </w:p>
    <w:p>
      <w:pPr>
        <w:spacing w:after="0" w:line="180" w:lineRule="exact"/>
        <w:rPr>
          <w:rFonts w:ascii="Times New Roman" w:cs="Times New Roman" w:eastAsia="Times New Roman" w:hAnsi="Times New Roman"/>
          <w:sz w:val="20"/>
          <w:szCs w:val="20"/>
          <w:color w:val="auto"/>
        </w:rPr>
      </w:pPr>
    </w:p>
    <w:p>
      <w:pPr>
        <w:ind w:left="760" w:right="20" w:firstLine="641"/>
        <w:spacing w:after="0" w:line="269" w:lineRule="auto"/>
        <w:tabs>
          <w:tab w:leader="none" w:pos="1852"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Swingline Lender shall be required for any assignment in respect of the Revolving Facility.</w:t>
      </w:r>
    </w:p>
    <w:p>
      <w:pPr>
        <w:spacing w:after="0" w:line="155" w:lineRule="exact"/>
        <w:rPr>
          <w:rFonts w:ascii="Times New Roman" w:cs="Times New Roman" w:eastAsia="Times New Roman" w:hAnsi="Times New Roman"/>
          <w:sz w:val="20"/>
          <w:szCs w:val="20"/>
          <w:color w:val="auto"/>
        </w:rPr>
      </w:pPr>
    </w:p>
    <w:p>
      <w:pPr>
        <w:jc w:val="both"/>
        <w:ind w:left="100" w:firstLine="653"/>
        <w:spacing w:after="0" w:line="248" w:lineRule="auto"/>
        <w:tabs>
          <w:tab w:leader="none" w:pos="126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The parties to each assignment shall execute and deliver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an Assignment and Assumption, together with a processing and recordation fee in the amount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case of any assignment. The assignee, if it is not a Lender, shall deliver to the Administrative Agent an Administrative Questionnaire.</w:t>
      </w:r>
    </w:p>
    <w:p>
      <w:pPr>
        <w:spacing w:after="0" w:line="175" w:lineRule="exact"/>
        <w:rPr>
          <w:rFonts w:ascii="Times New Roman" w:cs="Times New Roman" w:eastAsia="Times New Roman" w:hAnsi="Times New Roman"/>
          <w:sz w:val="20"/>
          <w:szCs w:val="20"/>
          <w:color w:val="auto"/>
        </w:rPr>
      </w:pPr>
    </w:p>
    <w:p>
      <w:pPr>
        <w:jc w:val="both"/>
        <w:ind w:left="100" w:firstLine="653"/>
        <w:spacing w:after="0" w:line="248" w:lineRule="auto"/>
        <w:tabs>
          <w:tab w:leader="none" w:pos="126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Assignment to Certain Persons</w:t>
      </w:r>
      <w:r>
        <w:rPr>
          <w:rFonts w:ascii="Times New Roman" w:cs="Times New Roman" w:eastAsia="Times New Roman" w:hAnsi="Times New Roman"/>
          <w:sz w:val="20"/>
          <w:szCs w:val="20"/>
          <w:color w:val="auto"/>
        </w:rPr>
        <w:t>. No such assignment shall be made (A) to the Borrower or any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or (C) to a natural Person (or a holding company, investment vehicle or trust for, or owned and operated by or for the primary benefit of one or more natural Persons).</w:t>
      </w:r>
    </w:p>
    <w:p>
      <w:pPr>
        <w:spacing w:after="0" w:line="175" w:lineRule="exact"/>
        <w:rPr>
          <w:rFonts w:ascii="Times New Roman" w:cs="Times New Roman" w:eastAsia="Times New Roman" w:hAnsi="Times New Roman"/>
          <w:sz w:val="20"/>
          <w:szCs w:val="20"/>
          <w:color w:val="auto"/>
        </w:rPr>
      </w:pPr>
    </w:p>
    <w:p>
      <w:pPr>
        <w:jc w:val="both"/>
        <w:ind w:left="100" w:firstLine="653"/>
        <w:spacing w:after="0" w:line="244" w:lineRule="auto"/>
        <w:tabs>
          <w:tab w:leader="none" w:pos="126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w:t>
      </w:r>
    </w:p>
    <w:p>
      <w:pPr>
        <w:sectPr>
          <w:pgSz w:w="11900" w:h="16838" w:orient="portrait"/>
          <w:cols w:equalWidth="0" w:num="1">
            <w:col w:w="10220"/>
          </w:cols>
          <w:pgMar w:left="1440" w:top="563" w:right="239" w:bottom="1440" w:gutter="0" w:footer="0" w:header="0"/>
        </w:sectPr>
      </w:pPr>
    </w:p>
    <w:bookmarkStart w:id="185" w:name="page186"/>
    <w:bookmarkEnd w:id="185"/>
    <w:p>
      <w:pPr>
        <w:jc w:val="both"/>
        <w:ind w:left="100"/>
        <w:spacing w:after="0" w:line="247" w:lineRule="auto"/>
        <w:rPr>
          <w:sz w:val="20"/>
          <w:szCs w:val="20"/>
          <w:color w:val="auto"/>
        </w:rPr>
      </w:pPr>
      <w:r>
        <w:rPr>
          <w:rFonts w:ascii="Times New Roman" w:cs="Times New Roman" w:eastAsia="Times New Roman" w:hAnsi="Times New Roman"/>
          <w:sz w:val="20"/>
          <w:szCs w:val="20"/>
          <w:color w:val="auto"/>
        </w:rPr>
        <w:t xml:space="preserve">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0"/>
          <w:szCs w:val="20"/>
          <w:b w:val="1"/>
          <w:bCs w:val="1"/>
          <w:i w:val="1"/>
          <w:iCs w:val="1"/>
          <w:color w:val="auto"/>
        </w:rPr>
        <w:t>clause (b)(vi)</w:t>
      </w:r>
      <w:r>
        <w:rPr>
          <w:rFonts w:ascii="Times New Roman" w:cs="Times New Roman" w:eastAsia="Times New Roman" w:hAnsi="Times New Roman"/>
          <w:sz w:val="20"/>
          <w:szCs w:val="20"/>
          <w:color w:val="auto"/>
        </w:rPr>
        <w:t>, then the assignee of such interest shall be deemed to be a Defaulting Lender for all purposes of this Agreement until such compliance occurs.</w:t>
      </w:r>
    </w:p>
    <w:p>
      <w:pPr>
        <w:spacing w:after="0" w:line="177" w:lineRule="exact"/>
        <w:rPr>
          <w:sz w:val="20"/>
          <w:szCs w:val="20"/>
          <w:color w:val="auto"/>
        </w:rPr>
      </w:pPr>
    </w:p>
    <w:p>
      <w:pPr>
        <w:jc w:val="both"/>
        <w:ind w:left="100" w:firstLine="653"/>
        <w:spacing w:after="0" w:line="242" w:lineRule="auto"/>
        <w:tabs>
          <w:tab w:leader="none" w:pos="1269"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b w:val="1"/>
          <w:bCs w:val="1"/>
          <w:i w:val="1"/>
          <w:iCs w:val="1"/>
          <w:color w:val="auto"/>
        </w:rPr>
        <w:t>Section 11.06(c)</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b w:val="1"/>
          <w:bCs w:val="1"/>
          <w:i w:val="1"/>
          <w:iCs w:val="1"/>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b w:val="1"/>
          <w:bCs w:val="1"/>
          <w:i w:val="1"/>
          <w:iCs w:val="1"/>
          <w:color w:val="auto"/>
        </w:rPr>
        <w:t>Section 11.06(d)</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540" w:firstLine="645"/>
        <w:spacing w:after="0" w:line="243" w:lineRule="auto"/>
        <w:tabs>
          <w:tab w:leader="none" w:pos="57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(and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86" w:lineRule="exact"/>
        <w:rPr>
          <w:rFonts w:ascii="Times New Roman" w:cs="Times New Roman" w:eastAsia="Times New Roman" w:hAnsi="Times New Roman"/>
          <w:sz w:val="20"/>
          <w:szCs w:val="20"/>
          <w:color w:val="auto"/>
        </w:rPr>
      </w:pPr>
    </w:p>
    <w:p>
      <w:pPr>
        <w:ind w:left="520" w:hanging="415"/>
        <w:spacing w:after="0"/>
        <w:tabs>
          <w:tab w:leader="none" w:pos="52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00" w:firstLine="653"/>
        <w:spacing w:after="0" w:line="245" w:lineRule="auto"/>
        <w:tabs>
          <w:tab w:leader="none" w:pos="1142"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Lender’s obligations</w:t>
      </w:r>
    </w:p>
    <w:p>
      <w:pPr>
        <w:sectPr>
          <w:pgSz w:w="11900" w:h="16838" w:orient="portrait"/>
          <w:cols w:equalWidth="0" w:num="1">
            <w:col w:w="10220"/>
          </w:cols>
          <w:pgMar w:left="1440" w:top="562" w:right="239" w:bottom="1440" w:gutter="0" w:footer="0" w:header="0"/>
        </w:sectPr>
      </w:pPr>
    </w:p>
    <w:bookmarkStart w:id="186" w:name="page187"/>
    <w:bookmarkEnd w:id="186"/>
    <w:p>
      <w:pPr>
        <w:jc w:val="both"/>
        <w:ind w:left="100"/>
        <w:spacing w:after="0" w:line="247" w:lineRule="auto"/>
        <w:rPr>
          <w:sz w:val="20"/>
          <w:szCs w:val="20"/>
          <w:color w:val="auto"/>
        </w:rPr>
      </w:pPr>
      <w:r>
        <w:rPr>
          <w:rFonts w:ascii="Times New Roman" w:cs="Times New Roman" w:eastAsia="Times New Roman" w:hAnsi="Times New Roman"/>
          <w:sz w:val="20"/>
          <w:szCs w:val="20"/>
          <w:color w:val="auto"/>
        </w:rPr>
        <w:t xml:space="preserve">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b w:val="1"/>
          <w:bCs w:val="1"/>
          <w:i w:val="1"/>
          <w:iCs w:val="1"/>
          <w:color w:val="auto"/>
        </w:rPr>
        <w:t>Section 11.04(c)</w:t>
      </w:r>
      <w:r>
        <w:rPr>
          <w:rFonts w:ascii="Times New Roman" w:cs="Times New Roman" w:eastAsia="Times New Roman" w:hAnsi="Times New Roman"/>
          <w:sz w:val="20"/>
          <w:szCs w:val="20"/>
          <w:color w:val="auto"/>
        </w:rPr>
        <w:t xml:space="preserve"> without regard to the existence of any participations.</w:t>
      </w:r>
    </w:p>
    <w:p>
      <w:pPr>
        <w:spacing w:after="0" w:line="181" w:lineRule="exact"/>
        <w:rPr>
          <w:sz w:val="20"/>
          <w:szCs w:val="20"/>
          <w:color w:val="auto"/>
        </w:rPr>
      </w:pPr>
    </w:p>
    <w:p>
      <w:pPr>
        <w:jc w:val="both"/>
        <w:ind w:left="100" w:firstLine="653"/>
        <w:spacing w:after="0" w:line="253" w:lineRule="auto"/>
        <w:tabs>
          <w:tab w:leader="none" w:pos="1170"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9"/>
          <w:szCs w:val="19"/>
          <w:b w:val="1"/>
          <w:bCs w:val="1"/>
          <w:i w:val="1"/>
          <w:iCs w:val="1"/>
          <w:color w:val="auto"/>
        </w:rPr>
        <w:t>Section 11.01</w:t>
      </w:r>
      <w:r>
        <w:rPr>
          <w:rFonts w:ascii="Times New Roman" w:cs="Times New Roman" w:eastAsia="Times New Roman" w:hAnsi="Times New Roman"/>
          <w:sz w:val="19"/>
          <w:szCs w:val="19"/>
          <w:color w:val="auto"/>
        </w:rPr>
        <w:t xml:space="preserve"> that affects such Participant. The Borrower agrees that each Participant shall be entitled to the benefits of </w:t>
      </w:r>
      <w:r>
        <w:rPr>
          <w:rFonts w:ascii="Times New Roman" w:cs="Times New Roman" w:eastAsia="Times New Roman" w:hAnsi="Times New Roman"/>
          <w:sz w:val="19"/>
          <w:szCs w:val="19"/>
          <w:b w:val="1"/>
          <w:bCs w:val="1"/>
          <w:i w:val="1"/>
          <w:iCs w:val="1"/>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3.04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3.05</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b w:val="1"/>
          <w:bCs w:val="1"/>
          <w:i w:val="1"/>
          <w:iCs w:val="1"/>
          <w:color w:val="auto"/>
        </w:rPr>
        <w:t>Section 3.01(e)</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b w:val="1"/>
          <w:bCs w:val="1"/>
          <w:i w:val="1"/>
          <w:iCs w:val="1"/>
          <w:color w:val="auto"/>
        </w:rPr>
        <w:t>Section 3.01(e)</w:t>
      </w:r>
      <w:r>
        <w:rPr>
          <w:rFonts w:ascii="Times New Roman" w:cs="Times New Roman" w:eastAsia="Times New Roman" w:hAnsi="Times New Roman"/>
          <w:sz w:val="19"/>
          <w:szCs w:val="19"/>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b w:val="1"/>
          <w:bCs w:val="1"/>
          <w:i w:val="1"/>
          <w:iCs w:val="1"/>
          <w:color w:val="auto"/>
        </w:rPr>
        <w:t>Section 11.06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Participant (A) shall be subject to the provisions of </w:t>
      </w:r>
      <w:r>
        <w:rPr>
          <w:rFonts w:ascii="Times New Roman" w:cs="Times New Roman" w:eastAsia="Times New Roman" w:hAnsi="Times New Roman"/>
          <w:sz w:val="19"/>
          <w:szCs w:val="19"/>
          <w:b w:val="1"/>
          <w:bCs w:val="1"/>
          <w:i w:val="1"/>
          <w:iCs w:val="1"/>
          <w:color w:val="auto"/>
        </w:rPr>
        <w:t>Sections 3.06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11.13</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b w:val="1"/>
          <w:bCs w:val="1"/>
          <w:i w:val="1"/>
          <w:iCs w:val="1"/>
          <w:color w:val="auto"/>
        </w:rPr>
        <w:t>Section 11.06</w:t>
      </w:r>
      <w:r>
        <w:rPr>
          <w:rFonts w:ascii="Times New Roman" w:cs="Times New Roman" w:eastAsia="Times New Roman" w:hAnsi="Times New Roman"/>
          <w:sz w:val="19"/>
          <w:szCs w:val="19"/>
          <w:color w:val="auto"/>
        </w:rPr>
        <w:t xml:space="preserve"> and (B) shall not be entitled to receive any greater payment under </w:t>
      </w:r>
      <w:r>
        <w:rPr>
          <w:rFonts w:ascii="Times New Roman" w:cs="Times New Roman" w:eastAsia="Times New Roman" w:hAnsi="Times New Roman"/>
          <w:sz w:val="19"/>
          <w:szCs w:val="19"/>
          <w:b w:val="1"/>
          <w:bCs w:val="1"/>
          <w:i w:val="1"/>
          <w:iCs w:val="1"/>
          <w:color w:val="auto"/>
        </w:rPr>
        <w:t>Sections 3.01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3.04</w:t>
      </w:r>
      <w:r>
        <w:rPr>
          <w:rFonts w:ascii="Times New Roman" w:cs="Times New Roman" w:eastAsia="Times New Roman" w:hAnsi="Times New Roman"/>
          <w:sz w:val="19"/>
          <w:szCs w:val="19"/>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9"/>
          <w:szCs w:val="19"/>
          <w:b w:val="1"/>
          <w:bCs w:val="1"/>
          <w:i w:val="1"/>
          <w:iCs w:val="1"/>
          <w:color w:val="auto"/>
        </w:rPr>
        <w:t>Section 3.06</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b w:val="1"/>
          <w:bCs w:val="1"/>
          <w:i w:val="1"/>
          <w:iCs w:val="1"/>
          <w:color w:val="auto"/>
        </w:rPr>
        <w:t>Section 11.08</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b w:val="1"/>
          <w:bCs w:val="1"/>
          <w:i w:val="1"/>
          <w:iCs w:val="1"/>
          <w:color w:val="auto"/>
        </w:rPr>
        <w:t>Section 2.13</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w:t>
      </w:r>
      <w:r>
        <w:rPr>
          <w:rFonts w:ascii="Times New Roman" w:cs="Times New Roman" w:eastAsia="Times New Roman" w:hAnsi="Times New Roman"/>
          <w:sz w:val="19"/>
          <w:szCs w:val="19"/>
          <w:i w:val="1"/>
          <w:iCs w:val="1"/>
          <w:color w:val="auto"/>
        </w:rPr>
        <w:t>Section 5f.103-1(c)</w:t>
      </w:r>
      <w:r>
        <w:rPr>
          <w:rFonts w:ascii="Times New Roman" w:cs="Times New Roman" w:eastAsia="Times New Roman" w:hAnsi="Times New Roman"/>
          <w:sz w:val="19"/>
          <w:szCs w:val="19"/>
          <w:color w:val="auto"/>
        </w:rPr>
        <w:t xml:space="preserve">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rFonts w:ascii="Times New Roman" w:cs="Times New Roman" w:eastAsia="Times New Roman" w:hAnsi="Times New Roman"/>
          <w:sz w:val="19"/>
          <w:szCs w:val="19"/>
          <w:color w:val="auto"/>
        </w:rPr>
      </w:pPr>
    </w:p>
    <w:p>
      <w:pPr>
        <w:spacing w:after="0" w:line="222" w:lineRule="exact"/>
        <w:rPr>
          <w:rFonts w:ascii="Times New Roman" w:cs="Times New Roman" w:eastAsia="Times New Roman" w:hAnsi="Times New Roman"/>
          <w:sz w:val="19"/>
          <w:szCs w:val="19"/>
          <w:color w:val="auto"/>
        </w:rPr>
      </w:pPr>
    </w:p>
    <w:p>
      <w:pPr>
        <w:jc w:val="both"/>
        <w:ind w:left="-540" w:firstLine="645"/>
        <w:spacing w:after="0" w:line="256" w:lineRule="auto"/>
        <w:tabs>
          <w:tab w:leader="none" w:pos="522"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Certain Pledges. </w:t>
      </w:r>
      <w:r>
        <w:rPr>
          <w:rFonts w:ascii="Times New Roman" w:cs="Times New Roman" w:eastAsia="Times New Roman" w:hAnsi="Times New Roman"/>
          <w:sz w:val="20"/>
          <w:szCs w:val="20"/>
          <w:color w:val="auto"/>
        </w:rPr>
        <w:t>Any Lender may at any time pledge or assign a security interest in all or any portion of its rights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(including under its Note or Notes, if any) to secure obligations of such Lender, including any pledge or assignment to secure obligations to a Federal Reserve Bank; provided that no such pledge or assignment shall release such Lender from</w:t>
      </w:r>
    </w:p>
    <w:p>
      <w:pPr>
        <w:sectPr>
          <w:pgSz w:w="11900" w:h="16838" w:orient="portrait"/>
          <w:cols w:equalWidth="0" w:num="1">
            <w:col w:w="10220"/>
          </w:cols>
          <w:pgMar w:left="1440" w:top="562" w:right="239" w:bottom="1440" w:gutter="0" w:footer="0" w:header="0"/>
        </w:sectPr>
      </w:pPr>
    </w:p>
    <w:bookmarkStart w:id="187" w:name="page188"/>
    <w:bookmarkEnd w:id="187"/>
    <w:p>
      <w:pPr>
        <w:ind w:left="4"/>
        <w:spacing w:after="0"/>
        <w:rPr>
          <w:sz w:val="20"/>
          <w:szCs w:val="20"/>
          <w:color w:val="auto"/>
        </w:rPr>
      </w:pPr>
      <w:r>
        <w:rPr>
          <w:rFonts w:ascii="Times New Roman" w:cs="Times New Roman" w:eastAsia="Times New Roman" w:hAnsi="Times New Roman"/>
          <w:sz w:val="20"/>
          <w:szCs w:val="20"/>
          <w:color w:val="auto"/>
        </w:rPr>
        <w:t>any of its obligations hereunder or substitute any such pledgee or assignee for such Lender as a party hereto.</w:t>
      </w:r>
    </w:p>
    <w:p>
      <w:pPr>
        <w:spacing w:after="0" w:line="212" w:lineRule="exact"/>
        <w:rPr>
          <w:sz w:val="20"/>
          <w:szCs w:val="20"/>
          <w:color w:val="auto"/>
        </w:rPr>
      </w:pPr>
    </w:p>
    <w:p>
      <w:pPr>
        <w:jc w:val="both"/>
        <w:ind w:left="4" w:firstLine="645"/>
        <w:spacing w:after="0" w:line="261" w:lineRule="auto"/>
        <w:tabs>
          <w:tab w:leader="none" w:pos="1043"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Resignation as L/C Issuer or Swingline Lender after Assignment</w:t>
      </w:r>
      <w:r>
        <w:rPr>
          <w:rFonts w:ascii="Times New Roman" w:cs="Times New Roman" w:eastAsia="Times New Roman" w:hAnsi="Times New Roman"/>
          <w:sz w:val="19"/>
          <w:szCs w:val="19"/>
          <w:color w:val="auto"/>
        </w:rPr>
        <w:t>. Notwithstanding anything to the contrary contained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herein, if at any time Bank of America assigns all of its Revolving Commitment and Revolving Loans pursuant to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xml:space="preserve"> above, Bank of America may, (i) upon 30 days’ notice to the Administrative Agent, the Borrower and the Lenders, resign as L/C Issuer and/or</w:t>
      </w:r>
    </w:p>
    <w:p>
      <w:pPr>
        <w:spacing w:after="0" w:line="1" w:lineRule="exact"/>
        <w:rPr>
          <w:rFonts w:ascii="Times New Roman" w:cs="Times New Roman" w:eastAsia="Times New Roman" w:hAnsi="Times New Roman"/>
          <w:sz w:val="19"/>
          <w:szCs w:val="19"/>
          <w:color w:val="auto"/>
        </w:rPr>
      </w:pPr>
    </w:p>
    <w:p>
      <w:pPr>
        <w:jc w:val="both"/>
        <w:ind w:left="4" w:hanging="4"/>
        <w:spacing w:after="0"/>
        <w:tabs>
          <w:tab w:leader="none" w:pos="303"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no failure by the Borrower to appoint any such successor shall affect the resignation of Bank of America as L/C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b w:val="1"/>
          <w:bCs w:val="1"/>
          <w:i w:val="1"/>
          <w:iCs w:val="1"/>
          <w:color w:val="auto"/>
        </w:rPr>
        <w:t>Section 2.03(c)</w:t>
      </w:r>
      <w:r>
        <w:rPr>
          <w:rFonts w:ascii="Times New Roman" w:cs="Times New Roman" w:eastAsia="Times New Roman" w:hAnsi="Times New Roman"/>
          <w:sz w:val="20"/>
          <w:szCs w:val="20"/>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20"/>
          <w:szCs w:val="20"/>
          <w:b w:val="1"/>
          <w:bCs w:val="1"/>
          <w:i w:val="1"/>
          <w:iCs w:val="1"/>
          <w:color w:val="auto"/>
        </w:rPr>
        <w:t>Section 2.04(c)</w:t>
      </w:r>
      <w:r>
        <w:rPr>
          <w:rFonts w:ascii="Times New Roman" w:cs="Times New Roman" w:eastAsia="Times New Roman" w:hAnsi="Times New Roman"/>
          <w:sz w:val="20"/>
          <w:szCs w:val="20"/>
          <w:color w:val="auto"/>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5" w:lineRule="exact"/>
        <w:rPr>
          <w:sz w:val="20"/>
          <w:szCs w:val="20"/>
          <w:color w:val="auto"/>
        </w:rPr>
      </w:pPr>
    </w:p>
    <w:p>
      <w:pPr>
        <w:ind w:left="4"/>
        <w:spacing w:after="0"/>
        <w:tabs>
          <w:tab w:leader="none" w:pos="603" w:val="left"/>
        </w:tabs>
        <w:rPr>
          <w:sz w:val="20"/>
          <w:szCs w:val="20"/>
          <w:color w:val="auto"/>
        </w:rPr>
      </w:pPr>
      <w:r>
        <w:rPr>
          <w:rFonts w:ascii="Times New Roman" w:cs="Times New Roman" w:eastAsia="Times New Roman" w:hAnsi="Times New Roman"/>
          <w:sz w:val="20"/>
          <w:szCs w:val="20"/>
          <w:color w:val="auto"/>
        </w:rPr>
        <w:t>11.07</w:t>
      </w:r>
      <w:r>
        <w:rPr>
          <w:sz w:val="20"/>
          <w:szCs w:val="20"/>
          <w:color w:val="auto"/>
        </w:rPr>
        <w:tab/>
      </w:r>
      <w:r>
        <w:rPr>
          <w:rFonts w:ascii="Times New Roman" w:cs="Times New Roman" w:eastAsia="Times New Roman" w:hAnsi="Times New Roman"/>
          <w:sz w:val="19"/>
          <w:szCs w:val="19"/>
          <w:b w:val="1"/>
          <w:bCs w:val="1"/>
          <w:color w:val="auto"/>
        </w:rPr>
        <w:t>Treatment of Certain Information; Confidentiality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4" w:firstLine="645"/>
        <w:spacing w:after="0" w:line="255" w:lineRule="auto"/>
        <w:tabs>
          <w:tab w:leader="none" w:pos="1052"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Treatment of Certain Information</w:t>
      </w:r>
      <w:r>
        <w:rPr>
          <w:rFonts w:ascii="Times New Roman" w:cs="Times New Roman" w:eastAsia="Times New Roman" w:hAnsi="Times New Roman"/>
          <w:sz w:val="19"/>
          <w:szCs w:val="19"/>
          <w:color w:val="auto"/>
        </w:rPr>
        <w:t>. Each of the Administrative Agent, the Lenders and the L/C Issuer agrees to maintain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cs="Times New Roman" w:eastAsia="Times New Roman" w:hAnsi="Times New Roman"/>
          <w:sz w:val="19"/>
          <w:szCs w:val="19"/>
          <w:b w:val="1"/>
          <w:bCs w:val="1"/>
          <w:i w:val="1"/>
          <w:iCs w:val="1"/>
          <w:color w:val="auto"/>
        </w:rPr>
        <w:t>Section 11.07</w:t>
      </w:r>
      <w:r>
        <w:rPr>
          <w:rFonts w:ascii="Times New Roman" w:cs="Times New Roman" w:eastAsia="Times New Roman" w:hAnsi="Times New Roman"/>
          <w:sz w:val="19"/>
          <w:szCs w:val="19"/>
          <w:color w:val="auto"/>
        </w:rPr>
        <w:t>, to</w:t>
      </w:r>
    </w:p>
    <w:p>
      <w:pPr>
        <w:spacing w:after="0" w:line="3" w:lineRule="exact"/>
        <w:rPr>
          <w:rFonts w:ascii="Times New Roman" w:cs="Times New Roman" w:eastAsia="Times New Roman" w:hAnsi="Times New Roman"/>
          <w:sz w:val="19"/>
          <w:szCs w:val="19"/>
          <w:color w:val="auto"/>
        </w:rPr>
      </w:pPr>
    </w:p>
    <w:p>
      <w:pPr>
        <w:jc w:val="both"/>
        <w:ind w:left="4" w:hanging="4"/>
        <w:spacing w:after="0"/>
        <w:tabs>
          <w:tab w:leader="none" w:pos="35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20"/>
          <w:szCs w:val="20"/>
          <w:b w:val="1"/>
          <w:bCs w:val="1"/>
          <w:i w:val="1"/>
          <w:iCs w:val="1"/>
          <w:color w:val="auto"/>
        </w:rPr>
        <w:t>Section 2.16(c)</w:t>
      </w:r>
      <w:r>
        <w:rPr>
          <w:rFonts w:ascii="Times New Roman" w:cs="Times New Roman" w:eastAsia="Times New Roman" w:hAnsi="Times New Roman"/>
          <w:sz w:val="20"/>
          <w:szCs w:val="20"/>
          <w:color w:val="auto"/>
        </w:rPr>
        <w:t xml:space="preserve">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Swingline</w:t>
      </w:r>
    </w:p>
    <w:p>
      <w:pPr>
        <w:sectPr>
          <w:pgSz w:w="11900" w:h="16838" w:orient="portrait"/>
          <w:cols w:equalWidth="0" w:num="1">
            <w:col w:w="10764"/>
          </w:cols>
          <w:pgMar w:left="896" w:top="563" w:right="239" w:bottom="1440" w:gutter="0" w:footer="0" w:header="0"/>
        </w:sectPr>
      </w:pPr>
    </w:p>
    <w:bookmarkStart w:id="188" w:name="page189"/>
    <w:bookmarkEnd w:id="188"/>
    <w:p>
      <w:pPr>
        <w:jc w:val="both"/>
        <w:ind w:left="660"/>
        <w:spacing w:after="0" w:line="255" w:lineRule="auto"/>
        <w:rPr>
          <w:sz w:val="20"/>
          <w:szCs w:val="20"/>
          <w:color w:val="auto"/>
        </w:rPr>
      </w:pPr>
      <w:r>
        <w:rPr>
          <w:rFonts w:ascii="Times New Roman" w:cs="Times New Roman" w:eastAsia="Times New Roman" w:hAnsi="Times New Roman"/>
          <w:sz w:val="19"/>
          <w:szCs w:val="19"/>
          <w:color w:val="auto"/>
        </w:rPr>
        <w:t xml:space="preserve">Lender to deliver Borrower Materials or notices to the Lenders or (viii) the CUSIP Service Bureau or any similar agency in connection with the application, issuance, publishing and monitoring of CUSIP numbers or other market identifiers with respect to the credit facilities provided hereunder, or (ix) with the consent of the Borrower or to the extent such Information (x) becomes publicly available other than as a result of a breach of this </w:t>
      </w:r>
      <w:r>
        <w:rPr>
          <w:rFonts w:ascii="Times New Roman" w:cs="Times New Roman" w:eastAsia="Times New Roman" w:hAnsi="Times New Roman"/>
          <w:sz w:val="19"/>
          <w:szCs w:val="19"/>
          <w:b w:val="1"/>
          <w:bCs w:val="1"/>
          <w:i w:val="1"/>
          <w:iCs w:val="1"/>
          <w:color w:val="auto"/>
        </w:rPr>
        <w:t>Section 11.07</w:t>
      </w:r>
      <w:r>
        <w:rPr>
          <w:rFonts w:ascii="Times New Roman" w:cs="Times New Roman" w:eastAsia="Times New Roman" w:hAnsi="Times New Roman"/>
          <w:sz w:val="19"/>
          <w:szCs w:val="19"/>
          <w:color w:val="auto"/>
        </w:rPr>
        <w:t xml:space="preserve">, (xi) becomes available to the Administrative Agent, any Lender, the L/C Issuer or any of their respective Affiliates on a nonconfidential basis from a source other than the Borrower or (xii) is independently discovered or developed by a party hereto without utilizing any Information received from the Borrower or violating the terms of this </w:t>
      </w:r>
      <w:r>
        <w:rPr>
          <w:rFonts w:ascii="Times New Roman" w:cs="Times New Roman" w:eastAsia="Times New Roman" w:hAnsi="Times New Roman"/>
          <w:sz w:val="19"/>
          <w:szCs w:val="19"/>
          <w:b w:val="1"/>
          <w:bCs w:val="1"/>
          <w:i w:val="1"/>
          <w:iCs w:val="1"/>
          <w:color w:val="auto"/>
        </w:rPr>
        <w:t>Section 11.07</w:t>
      </w:r>
      <w:r>
        <w:rPr>
          <w:rFonts w:ascii="Times New Roman" w:cs="Times New Roman" w:eastAsia="Times New Roman" w:hAnsi="Times New Roman"/>
          <w:sz w:val="19"/>
          <w:szCs w:val="19"/>
          <w:color w:val="auto"/>
        </w:rPr>
        <w:t>. For purposes of this</w:t>
      </w:r>
      <w:r>
        <w:rPr>
          <w:rFonts w:ascii="Times New Roman" w:cs="Times New Roman" w:eastAsia="Times New Roman" w:hAnsi="Times New Roman"/>
          <w:sz w:val="19"/>
          <w:szCs w:val="19"/>
          <w:b w:val="1"/>
          <w:bCs w:val="1"/>
          <w:i w:val="1"/>
          <w:iCs w:val="1"/>
          <w:color w:val="auto"/>
        </w:rPr>
        <w:t xml:space="preserve"> Section 11.07</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means all information received from the Borrower or any Subsidiary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relating to the Borrower or any Subsidiary or any of their respective businesses, other than any such information that is available to the Administrative Agent, any Lender or the L/C Issuer on a nonconfidential basis prior to disclosure by the Borrower or any Subsidiary,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the case of information received from the Borrower or any Subsidiary after the date hereof, such information is clearly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identified at the time of delivery as confidential. Any Person required to maintain the confidentiality of Information as provided in this </w:t>
      </w:r>
      <w:r>
        <w:rPr>
          <w:rFonts w:ascii="Times New Roman" w:cs="Times New Roman" w:eastAsia="Times New Roman" w:hAnsi="Times New Roman"/>
          <w:sz w:val="19"/>
          <w:szCs w:val="19"/>
          <w:b w:val="1"/>
          <w:bCs w:val="1"/>
          <w:i w:val="1"/>
          <w:iCs w:val="1"/>
          <w:color w:val="auto"/>
        </w:rPr>
        <w:t xml:space="preserve">Section 11.07 </w:t>
      </w:r>
      <w:r>
        <w:rPr>
          <w:rFonts w:ascii="Times New Roman" w:cs="Times New Roman" w:eastAsia="Times New Roman" w:hAnsi="Times New Roman"/>
          <w:sz w:val="19"/>
          <w:szCs w:val="19"/>
          <w:color w:val="auto"/>
        </w:rPr>
        <w:t>shall be considered to have complied with its obligation to do so if such Person has exercised the same degree of care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71" w:lineRule="exact"/>
        <w:rPr>
          <w:sz w:val="20"/>
          <w:szCs w:val="20"/>
          <w:color w:val="auto"/>
        </w:rPr>
      </w:pPr>
    </w:p>
    <w:p>
      <w:pPr>
        <w:jc w:val="both"/>
        <w:ind w:left="660" w:firstLine="645"/>
        <w:spacing w:after="0" w:line="250" w:lineRule="auto"/>
        <w:tabs>
          <w:tab w:leader="none" w:pos="177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Non-Public Information</w:t>
      </w:r>
      <w:r>
        <w:rPr>
          <w:rFonts w:ascii="Times New Roman" w:cs="Times New Roman" w:eastAsia="Times New Roman" w:hAnsi="Times New Roman"/>
          <w:sz w:val="20"/>
          <w:szCs w:val="20"/>
          <w:color w:val="auto"/>
        </w:rPr>
        <w:t>. Each of the Administrative Agent, the Lenders and the L/C Issuer acknowledges that (i)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76" w:lineRule="exact"/>
        <w:rPr>
          <w:rFonts w:ascii="Times New Roman" w:cs="Times New Roman" w:eastAsia="Times New Roman" w:hAnsi="Times New Roman"/>
          <w:sz w:val="20"/>
          <w:szCs w:val="20"/>
          <w:color w:val="auto"/>
        </w:rPr>
      </w:pPr>
    </w:p>
    <w:p>
      <w:pPr>
        <w:jc w:val="both"/>
        <w:ind w:left="660" w:firstLine="645"/>
        <w:spacing w:after="0" w:line="248" w:lineRule="auto"/>
        <w:tabs>
          <w:tab w:leader="none" w:pos="170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Press Releases</w:t>
      </w:r>
      <w:r>
        <w:rPr>
          <w:rFonts w:ascii="Times New Roman" w:cs="Times New Roman" w:eastAsia="Times New Roman" w:hAnsi="Times New Roman"/>
          <w:sz w:val="20"/>
          <w:szCs w:val="20"/>
          <w:color w:val="auto"/>
        </w:rPr>
        <w:t>. The Loan Parties and their Affiliates agree that they will not in the future issue any press releases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spacing w:after="0" w:line="175"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82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Customary Advertising Material</w:t>
      </w:r>
      <w:r>
        <w:rPr>
          <w:rFonts w:ascii="Times New Roman" w:cs="Times New Roman" w:eastAsia="Times New Roman" w:hAnsi="Times New Roman"/>
          <w:sz w:val="20"/>
          <w:szCs w:val="20"/>
          <w:color w:val="auto"/>
        </w:rPr>
        <w:t>. The Loan Parties consent to the publication by the Administrative Agent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of customary advertising material relating to the transactions contemplated hereby using the name, product photographs, logo or trademark of the Loan Parties.</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11.08 </w:t>
      </w:r>
      <w:r>
        <w:rPr>
          <w:rFonts w:ascii="Times New Roman" w:cs="Times New Roman" w:eastAsia="Times New Roman" w:hAnsi="Times New Roman"/>
          <w:sz w:val="20"/>
          <w:szCs w:val="20"/>
          <w:b w:val="1"/>
          <w:bCs w:val="1"/>
          <w:color w:val="auto"/>
        </w:rPr>
        <w:t>Right of Setoff</w:t>
      </w:r>
      <w:r>
        <w:rPr>
          <w:rFonts w:ascii="Times New Roman" w:cs="Times New Roman" w:eastAsia="Times New Roman" w:hAnsi="Times New Roman"/>
          <w:sz w:val="20"/>
          <w:szCs w:val="20"/>
          <w:color w:val="auto"/>
        </w:rPr>
        <w:t>. 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w:t>
      </w:r>
    </w:p>
    <w:p>
      <w:pPr>
        <w:sectPr>
          <w:pgSz w:w="11900" w:h="16838" w:orient="portrait"/>
          <w:cols w:equalWidth="0" w:num="1">
            <w:col w:w="11420"/>
          </w:cols>
          <w:pgMar w:left="240" w:top="563" w:right="239" w:bottom="1440" w:gutter="0" w:footer="0" w:header="0"/>
        </w:sectPr>
      </w:pPr>
    </w:p>
    <w:bookmarkStart w:id="189" w:name="page190"/>
    <w:bookmarkEnd w:id="189"/>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such Loan Party may be contingent or unmatured, secured or unsecured,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the event that any Defaulting Lender shall exercise any such right of setoff, (a) all amounts so set off shall be paid over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immediately to the Administrative Agent for further application in accordance with the provisions of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20"/>
          <w:szCs w:val="20"/>
          <w:b w:val="1"/>
          <w:bCs w:val="1"/>
          <w:i w:val="1"/>
          <w:iCs w:val="1"/>
          <w:color w:val="auto"/>
        </w:rPr>
        <w:t>Section 11.08</w:t>
      </w:r>
      <w:r>
        <w:rPr>
          <w:rFonts w:ascii="Times New Roman" w:cs="Times New Roman" w:eastAsia="Times New Roman" w:hAnsi="Times New Roman"/>
          <w:sz w:val="20"/>
          <w:szCs w:val="20"/>
          <w:color w:val="auto"/>
        </w:rPr>
        <w:t xml:space="preserve">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11.09 </w:t>
      </w:r>
      <w:r>
        <w:rPr>
          <w:rFonts w:ascii="Times New Roman" w:cs="Times New Roman" w:eastAsia="Times New Roman" w:hAnsi="Times New Roman"/>
          <w:sz w:val="20"/>
          <w:szCs w:val="20"/>
          <w:b w:val="1"/>
          <w:bCs w:val="1"/>
          <w:color w:val="auto"/>
        </w:rPr>
        <w:t>Interest Rate Limitation</w:t>
      </w:r>
      <w:r>
        <w:rPr>
          <w:rFonts w:ascii="Times New Roman" w:cs="Times New Roman" w:eastAsia="Times New Roman" w:hAnsi="Times New Roman"/>
          <w:sz w:val="20"/>
          <w:szCs w:val="20"/>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b w:val="1"/>
          <w:bCs w:val="1"/>
          <w:i w:val="1"/>
          <w:iCs w:val="1"/>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w:t>
      </w:r>
    </w:p>
    <w:p>
      <w:pPr>
        <w:spacing w:after="0" w:line="1" w:lineRule="exact"/>
        <w:rPr>
          <w:sz w:val="20"/>
          <w:szCs w:val="20"/>
          <w:color w:val="auto"/>
        </w:rPr>
      </w:pPr>
    </w:p>
    <w:p>
      <w:pPr>
        <w:ind w:right="20" w:firstLine="8"/>
        <w:spacing w:after="0" w:line="246" w:lineRule="auto"/>
        <w:tabs>
          <w:tab w:leader="none" w:pos="30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 voluntary prepayments and the effects thereof, and (c) amortize, prorate, allocate, and spread in equal or unequal parts the total amount of interest throughout the contemplated term of the Obligations hereunder.</w:t>
      </w:r>
    </w:p>
    <w:p>
      <w:pPr>
        <w:spacing w:after="0" w:line="17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11.10 </w:t>
      </w:r>
      <w:r>
        <w:rPr>
          <w:rFonts w:ascii="Times New Roman" w:cs="Times New Roman" w:eastAsia="Times New Roman" w:hAnsi="Times New Roman"/>
          <w:sz w:val="20"/>
          <w:szCs w:val="20"/>
          <w:b w:val="1"/>
          <w:bCs w:val="1"/>
          <w:color w:val="auto"/>
        </w:rPr>
        <w:t>Counterparts; Integration; Effectiveness</w:t>
      </w:r>
      <w:r>
        <w:rPr>
          <w:rFonts w:ascii="Times New Roman" w:cs="Times New Roman" w:eastAsia="Times New Roman" w:hAnsi="Times New Roman"/>
          <w:sz w:val="20"/>
          <w:szCs w:val="20"/>
          <w:color w:val="auto"/>
        </w:rPr>
        <w:t xml:space="preserve">. 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b w:val="1"/>
          <w:bCs w:val="1"/>
          <w:i w:val="1"/>
          <w:iCs w:val="1"/>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b w:val="1"/>
          <w:bCs w:val="1"/>
          <w:color w:val="auto"/>
        </w:rPr>
        <w:t>Survival of Representations and Warranties</w:t>
      </w:r>
      <w:r>
        <w:rPr>
          <w:rFonts w:ascii="Times New Roman" w:cs="Times New Roman" w:eastAsia="Times New Roman" w:hAnsi="Times New Roman"/>
          <w:sz w:val="20"/>
          <w:szCs w:val="20"/>
          <w:color w:val="auto"/>
        </w:rPr>
        <w:t>. All representations and warranties made hereunder and in any other Loan Document or other document delivered pursuant hereto or thereto or in</w:t>
      </w:r>
    </w:p>
    <w:p>
      <w:pPr>
        <w:sectPr>
          <w:pgSz w:w="11900" w:h="16838" w:orient="portrait"/>
          <w:cols w:equalWidth="0" w:num="1">
            <w:col w:w="11420"/>
          </w:cols>
          <w:pgMar w:left="240" w:top="562" w:right="239" w:bottom="1440" w:gutter="0" w:footer="0" w:header="0"/>
        </w:sectPr>
      </w:pPr>
    </w:p>
    <w:bookmarkStart w:id="190" w:name="page191"/>
    <w:bookmarkEnd w:id="190"/>
    <w:p>
      <w:pPr>
        <w:jc w:val="both"/>
        <w:spacing w:after="0" w:line="247" w:lineRule="auto"/>
        <w:rPr>
          <w:sz w:val="20"/>
          <w:szCs w:val="20"/>
          <w:color w:val="auto"/>
        </w:rPr>
      </w:pPr>
      <w:r>
        <w:rPr>
          <w:rFonts w:ascii="Times New Roman" w:cs="Times New Roman" w:eastAsia="Times New Roman" w:hAnsi="Times New Roman"/>
          <w:sz w:val="20"/>
          <w:szCs w:val="20"/>
          <w:color w:val="auto"/>
        </w:rPr>
        <w:t>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7"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provision of this Agreement or the other Loan Documents is held to be illegal, invalid or unenforceable,</w:t>
      </w:r>
    </w:p>
    <w:p>
      <w:pPr>
        <w:spacing w:after="0" w:line="26" w:lineRule="exact"/>
        <w:rPr>
          <w:sz w:val="20"/>
          <w:szCs w:val="20"/>
          <w:color w:val="auto"/>
        </w:rPr>
      </w:pPr>
    </w:p>
    <w:p>
      <w:pPr>
        <w:jc w:val="both"/>
        <w:ind w:firstLine="8"/>
        <w:spacing w:after="0"/>
        <w:tabs>
          <w:tab w:leader="none" w:pos="27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b w:val="1"/>
          <w:bCs w:val="1"/>
          <w:i w:val="1"/>
          <w:iCs w:val="1"/>
          <w:color w:val="auto"/>
        </w:rPr>
        <w:t>Section 11.12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19"/>
          <w:szCs w:val="19"/>
          <w:b w:val="1"/>
          <w:bCs w:val="1"/>
          <w:color w:val="auto"/>
        </w:rPr>
        <w:t>Replacement of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5"/>
        <w:spacing w:after="0" w:line="245" w:lineRule="auto"/>
        <w:tabs>
          <w:tab w:leader="none" w:pos="1722"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is entitled to replace a Lender pursuant to the provisions of </w:t>
      </w:r>
      <w:r>
        <w:rPr>
          <w:rFonts w:ascii="Times New Roman" w:cs="Times New Roman" w:eastAsia="Times New Roman" w:hAnsi="Times New Roman"/>
          <w:sz w:val="20"/>
          <w:szCs w:val="20"/>
          <w:b w:val="1"/>
          <w:bCs w:val="1"/>
          <w:i w:val="1"/>
          <w:iCs w:val="1"/>
          <w:color w:val="auto"/>
        </w:rPr>
        <w:t>Section 3.06</w:t>
      </w:r>
      <w:r>
        <w:rPr>
          <w:rFonts w:ascii="Times New Roman" w:cs="Times New Roman" w:eastAsia="Times New Roman" w:hAnsi="Times New Roman"/>
          <w:sz w:val="20"/>
          <w:szCs w:val="20"/>
          <w:color w:val="auto"/>
        </w:rPr>
        <w:t xml:space="preserve">,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b w:val="1"/>
          <w:bCs w:val="1"/>
          <w:i w:val="1"/>
          <w:iCs w:val="1"/>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3.04</w:t>
      </w:r>
      <w:r>
        <w:rPr>
          <w:rFonts w:ascii="Times New Roman" w:cs="Times New Roman" w:eastAsia="Times New Roman" w:hAnsi="Times New Roman"/>
          <w:sz w:val="20"/>
          <w:szCs w:val="20"/>
          <w:color w:val="auto"/>
        </w:rPr>
        <w:t>) and obligations under this Agreement and the related Loan Documents to an Eligible Assignee that shall assume such obligations (which assignee may be another Lender, if a Lender accepts such assignment), provided that:</w:t>
      </w:r>
    </w:p>
    <w:p>
      <w:pPr>
        <w:spacing w:after="0" w:line="183" w:lineRule="exact"/>
        <w:rPr>
          <w:rFonts w:ascii="Times New Roman" w:cs="Times New Roman" w:eastAsia="Times New Roman" w:hAnsi="Times New Roman"/>
          <w:sz w:val="20"/>
          <w:szCs w:val="20"/>
          <w:color w:val="auto"/>
        </w:rPr>
      </w:pPr>
    </w:p>
    <w:p>
      <w:pPr>
        <w:ind w:left="1300" w:firstLine="653"/>
        <w:spacing w:after="0" w:line="269" w:lineRule="auto"/>
        <w:tabs>
          <w:tab w:leader="none" w:pos="2612"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the assignment fee (if any) specified in </w:t>
      </w:r>
      <w:r>
        <w:rPr>
          <w:rFonts w:ascii="Times New Roman" w:cs="Times New Roman" w:eastAsia="Times New Roman" w:hAnsi="Times New Roman"/>
          <w:sz w:val="20"/>
          <w:szCs w:val="20"/>
          <w:b w:val="1"/>
          <w:bCs w:val="1"/>
          <w:i w:val="1"/>
          <w:iCs w:val="1"/>
          <w:color w:val="auto"/>
        </w:rPr>
        <w:t>Section 11.06(b)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41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76" w:lineRule="exact"/>
        <w:rPr>
          <w:rFonts w:ascii="Times New Roman" w:cs="Times New Roman" w:eastAsia="Times New Roman" w:hAnsi="Times New Roman"/>
          <w:sz w:val="20"/>
          <w:szCs w:val="20"/>
          <w:color w:val="auto"/>
        </w:rPr>
      </w:pPr>
    </w:p>
    <w:p>
      <w:pPr>
        <w:jc w:val="both"/>
        <w:ind w:left="1300" w:firstLine="653"/>
        <w:spacing w:after="0" w:line="256" w:lineRule="auto"/>
        <w:tabs>
          <w:tab w:leader="none" w:pos="2506"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72" w:lineRule="exact"/>
        <w:rPr>
          <w:rFonts w:ascii="Times New Roman" w:cs="Times New Roman" w:eastAsia="Times New Roman" w:hAnsi="Times New Roman"/>
          <w:sz w:val="20"/>
          <w:szCs w:val="20"/>
          <w:color w:val="auto"/>
        </w:rPr>
      </w:pPr>
    </w:p>
    <w:p>
      <w:pPr>
        <w:ind w:left="2420" w:hanging="467"/>
        <w:spacing w:after="0"/>
        <w:tabs>
          <w:tab w:leader="none" w:pos="242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ectPr>
          <w:pgSz w:w="11900" w:h="16838" w:orient="portrait"/>
          <w:cols w:equalWidth="0" w:num="1">
            <w:col w:w="11420"/>
          </w:cols>
          <w:pgMar w:left="240" w:top="562" w:right="239" w:bottom="1440" w:gutter="0" w:footer="0" w:header="0"/>
        </w:sectPr>
      </w:pPr>
    </w:p>
    <w:bookmarkStart w:id="191" w:name="page192"/>
    <w:bookmarkEnd w:id="191"/>
    <w:p>
      <w:pPr>
        <w:ind w:left="640" w:firstLine="653"/>
        <w:spacing w:after="0" w:line="269" w:lineRule="auto"/>
        <w:tabs>
          <w:tab w:leader="none" w:pos="1699"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59" w:lineRule="exact"/>
        <w:rPr>
          <w:rFonts w:ascii="Times New Roman" w:cs="Times New Roman" w:eastAsia="Times New Roman" w:hAnsi="Times New Roman"/>
          <w:sz w:val="20"/>
          <w:szCs w:val="20"/>
          <w:color w:val="auto"/>
        </w:rPr>
      </w:pPr>
    </w:p>
    <w:p>
      <w:pPr>
        <w:ind w:right="20" w:firstLine="645"/>
        <w:spacing w:after="0" w:line="269" w:lineRule="auto"/>
        <w:tabs>
          <w:tab w:leader="none" w:pos="105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5" w:lineRule="exact"/>
        <w:rPr>
          <w:rFonts w:ascii="Times New Roman" w:cs="Times New Roman" w:eastAsia="Times New Roman" w:hAnsi="Times New Roman"/>
          <w:sz w:val="20"/>
          <w:szCs w:val="20"/>
          <w:color w:val="auto"/>
        </w:rPr>
      </w:pPr>
    </w:p>
    <w:p>
      <w:pPr>
        <w:jc w:val="both"/>
        <w:ind w:firstLine="645"/>
        <w:spacing w:after="0" w:line="246" w:lineRule="auto"/>
        <w:tabs>
          <w:tab w:leader="none" w:pos="111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agrees that (i) an assignment required pursuant to this </w:t>
      </w:r>
      <w:r>
        <w:rPr>
          <w:rFonts w:ascii="Times New Roman" w:cs="Times New Roman" w:eastAsia="Times New Roman" w:hAnsi="Times New Roman"/>
          <w:sz w:val="20"/>
          <w:szCs w:val="20"/>
          <w:b w:val="1"/>
          <w:bCs w:val="1"/>
          <w:i w:val="1"/>
          <w:iCs w:val="1"/>
          <w:color w:val="auto"/>
        </w:rPr>
        <w:t>Section 11.13</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any such documents shall be without recourse to or warranty by the parties thereto.</w:t>
      </w:r>
    </w:p>
    <w:p>
      <w:pPr>
        <w:spacing w:after="0" w:line="179" w:lineRule="exact"/>
        <w:rPr>
          <w:rFonts w:ascii="Times New Roman" w:cs="Times New Roman" w:eastAsia="Times New Roman" w:hAnsi="Times New Roman"/>
          <w:sz w:val="20"/>
          <w:szCs w:val="20"/>
          <w:color w:val="auto"/>
        </w:rPr>
      </w:pPr>
    </w:p>
    <w:p>
      <w:pPr>
        <w:jc w:val="both"/>
        <w:ind w:firstLine="645"/>
        <w:spacing w:after="0" w:line="246" w:lineRule="auto"/>
        <w:tabs>
          <w:tab w:leader="none" w:pos="1127"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b w:val="1"/>
          <w:bCs w:val="1"/>
          <w:i w:val="1"/>
          <w:iCs w:val="1"/>
          <w:color w:val="auto"/>
        </w:rPr>
        <w:t>Section 11.13</w:t>
      </w:r>
      <w:r>
        <w:rPr>
          <w:rFonts w:ascii="Times New Roman" w:cs="Times New Roman" w:eastAsia="Times New Roman" w:hAnsi="Times New Roman"/>
          <w:sz w:val="20"/>
          <w:szCs w:val="20"/>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20"/>
          <w:szCs w:val="20"/>
          <w:b w:val="1"/>
          <w:bCs w:val="1"/>
          <w:i w:val="1"/>
          <w:iCs w:val="1"/>
          <w:color w:val="auto"/>
        </w:rPr>
        <w:t>Section 9.06</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b w:val="1"/>
          <w:bCs w:val="1"/>
          <w:color w:val="auto"/>
        </w:rPr>
        <w:t>Governing Law; Jurisdiction;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5"/>
        <w:spacing w:after="0" w:line="261" w:lineRule="auto"/>
        <w:tabs>
          <w:tab w:leader="none" w:pos="121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THIS AGREEMENT AND THE OTHER LOAN DOCUMENTS (EXCEPT, AS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TEXAS.</w:t>
      </w:r>
    </w:p>
    <w:p>
      <w:pPr>
        <w:spacing w:after="0" w:line="168" w:lineRule="exact"/>
        <w:rPr>
          <w:rFonts w:ascii="Times New Roman" w:cs="Times New Roman" w:eastAsia="Times New Roman" w:hAnsi="Times New Roman"/>
          <w:sz w:val="19"/>
          <w:szCs w:val="19"/>
          <w:color w:val="auto"/>
        </w:rPr>
      </w:pPr>
    </w:p>
    <w:p>
      <w:pPr>
        <w:jc w:val="both"/>
        <w:ind w:firstLine="645"/>
        <w:spacing w:after="0" w:line="243" w:lineRule="auto"/>
        <w:tabs>
          <w:tab w:leader="none" w:pos="1059"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SUBMISSION TO JURISDICTION</w:t>
      </w:r>
      <w:r>
        <w:rPr>
          <w:rFonts w:ascii="Times New Roman" w:cs="Times New Roman" w:eastAsia="Times New Roman" w:hAnsi="Times New Roman"/>
          <w:sz w:val="20"/>
          <w:szCs w:val="20"/>
          <w:color w:val="auto"/>
        </w:rPr>
        <w:t>. THE BORROWER AND EACH OTHER LOAN PARTY IRREVOCABLY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TEXAS SITTING IN HARRIS COUNTY AND OF THE UNITED STATES DISTRICT COURT OF THE SOUTHERN DISTRICT OF TEXAS, AND ANY APPELLATE COURT FROM ANY THEREOF, AND EACH OF THE PARTIES HERETO IRREVOCABLY AND UNCONDITIONALLY SUBMITS TO THE JURISDICTION OF SUCH COURTS AND AGREES</w:t>
      </w:r>
    </w:p>
    <w:p>
      <w:pPr>
        <w:sectPr>
          <w:pgSz w:w="11900" w:h="16838" w:orient="portrait"/>
          <w:cols w:equalWidth="0" w:num="1">
            <w:col w:w="10760"/>
          </w:cols>
          <w:pgMar w:left="900" w:top="562" w:right="239" w:bottom="1440" w:gutter="0" w:footer="0" w:header="0"/>
        </w:sectPr>
      </w:pPr>
    </w:p>
    <w:bookmarkStart w:id="192" w:name="page193"/>
    <w:bookmarkEnd w:id="192"/>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THAT ALL CLAIMS IN RESPECT OF ANY SUCH ACTION, LITIGATION OR PROCEEDING MAY BE HEARD AND DETERMINED IN SUCH TEXAS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183" w:lineRule="exact"/>
        <w:rPr>
          <w:sz w:val="20"/>
          <w:szCs w:val="20"/>
          <w:color w:val="auto"/>
        </w:rPr>
      </w:pPr>
    </w:p>
    <w:p>
      <w:pPr>
        <w:jc w:val="both"/>
        <w:ind w:left="660" w:firstLine="645"/>
        <w:spacing w:after="0" w:line="245" w:lineRule="auto"/>
        <w:tabs>
          <w:tab w:leader="none" w:pos="2032"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VENUE</w:t>
      </w:r>
      <w:r>
        <w:rPr>
          <w:rFonts w:ascii="Times New Roman" w:cs="Times New Roman" w:eastAsia="Times New Roman" w:hAnsi="Times New Roman"/>
          <w:sz w:val="20"/>
          <w:szCs w:val="20"/>
          <w:color w:val="auto"/>
        </w:rPr>
        <w:t>. THE BORROWER AND EACH OTHER LOAN PARTY IRREVOCABLY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b w:val="1"/>
          <w:bCs w:val="1"/>
          <w:i w:val="1"/>
          <w:iCs w:val="1"/>
          <w:color w:val="auto"/>
        </w:rPr>
        <w:t xml:space="preserve">CLAUSE (b)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i w:val="1"/>
          <w:iCs w:val="1"/>
          <w:color w:val="auto"/>
        </w:rPr>
        <w:t xml:space="preserve"> SECTION 11.14 </w:t>
      </w:r>
      <w:r>
        <w:rPr>
          <w:rFonts w:ascii="Times New Roman" w:cs="Times New Roman" w:eastAsia="Times New Roman" w:hAnsi="Times New Roman"/>
          <w:sz w:val="20"/>
          <w:szCs w:val="20"/>
          <w:color w:val="auto"/>
        </w:rPr>
        <w:t>EACH OF THE PARTIES HERETO HEREBY IRREVOCABLY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UNCONDITIONALLY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20"/>
          <w:szCs w:val="20"/>
          <w:color w:val="auto"/>
        </w:rPr>
      </w:pPr>
    </w:p>
    <w:p>
      <w:pPr>
        <w:jc w:val="both"/>
        <w:ind w:left="660" w:firstLine="645"/>
        <w:spacing w:after="0" w:line="256" w:lineRule="auto"/>
        <w:tabs>
          <w:tab w:leader="none" w:pos="177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SERVICE OF PROCESS</w:t>
      </w:r>
      <w:r>
        <w:rPr>
          <w:rFonts w:ascii="Times New Roman" w:cs="Times New Roman" w:eastAsia="Times New Roman" w:hAnsi="Times New Roman"/>
          <w:sz w:val="20"/>
          <w:szCs w:val="20"/>
          <w:color w:val="auto"/>
        </w:rPr>
        <w:t>. EACH PARTY HERETO IRREVOCABLY CONSENTS TO SERVICE OF PROCESS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MANNER PROVIDED FOR NOTICES IN </w:t>
      </w:r>
      <w:r>
        <w:rPr>
          <w:rFonts w:ascii="Times New Roman" w:cs="Times New Roman" w:eastAsia="Times New Roman" w:hAnsi="Times New Roman"/>
          <w:sz w:val="20"/>
          <w:szCs w:val="20"/>
          <w:b w:val="1"/>
          <w:bCs w:val="1"/>
          <w:i w:val="1"/>
          <w:iCs w:val="1"/>
          <w:color w:val="auto"/>
        </w:rPr>
        <w:t>SECTION 11.02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6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b w:val="1"/>
          <w:bCs w:val="1"/>
          <w:color w:val="auto"/>
        </w:rPr>
        <w:t>Waiver of Jury Trial</w:t>
      </w:r>
      <w:r>
        <w:rPr>
          <w:rFonts w:ascii="Times New Roman" w:cs="Times New Roman" w:eastAsia="Times New Roman" w:hAnsi="Times New Roman"/>
          <w:sz w:val="20"/>
          <w:szCs w:val="20"/>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b w:val="1"/>
          <w:bCs w:val="1"/>
          <w:i w:val="1"/>
          <w:iCs w:val="1"/>
          <w:color w:val="auto"/>
        </w:rPr>
        <w:t>SECTION 11.15</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11.16 </w:t>
      </w:r>
      <w:r>
        <w:rPr>
          <w:rFonts w:ascii="Times New Roman" w:cs="Times New Roman" w:eastAsia="Times New Roman" w:hAnsi="Times New Roman"/>
          <w:sz w:val="20"/>
          <w:szCs w:val="20"/>
          <w:b w:val="1"/>
          <w:bCs w:val="1"/>
          <w:color w:val="auto"/>
        </w:rPr>
        <w:t>Subordination</w:t>
      </w:r>
      <w:r>
        <w:rPr>
          <w:rFonts w:ascii="Times New Roman" w:cs="Times New Roman" w:eastAsia="Times New Roman" w:hAnsi="Times New Roman"/>
          <w:sz w:val="20"/>
          <w:szCs w:val="20"/>
          <w:color w:val="auto"/>
        </w:rPr>
        <w:t>. Each Loan Party (a “</w:t>
      </w:r>
      <w:r>
        <w:rPr>
          <w:rFonts w:ascii="Times New Roman" w:cs="Times New Roman" w:eastAsia="Times New Roman" w:hAnsi="Times New Roman"/>
          <w:sz w:val="20"/>
          <w:szCs w:val="20"/>
          <w:b w:val="1"/>
          <w:bCs w:val="1"/>
          <w:i w:val="1"/>
          <w:iCs w:val="1"/>
          <w:color w:val="auto"/>
        </w:rPr>
        <w:t>Subordinating Loan Party</w:t>
      </w:r>
      <w:r>
        <w:rPr>
          <w:rFonts w:ascii="Times New Roman" w:cs="Times New Roman" w:eastAsia="Times New Roman" w:hAnsi="Times New Roman"/>
          <w:sz w:val="20"/>
          <w:szCs w:val="20"/>
          <w:color w:val="auto"/>
        </w:rPr>
        <w:t>”)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w:t>
      </w:r>
    </w:p>
    <w:p>
      <w:pPr>
        <w:sectPr>
          <w:pgSz w:w="11900" w:h="16838" w:orient="portrait"/>
          <w:cols w:equalWidth="0" w:num="1">
            <w:col w:w="11420"/>
          </w:cols>
          <w:pgMar w:left="240" w:top="563" w:right="239" w:bottom="1440" w:gutter="0" w:footer="0" w:header="0"/>
        </w:sectPr>
      </w:pPr>
    </w:p>
    <w:bookmarkStart w:id="193" w:name="page194"/>
    <w:bookmarkEnd w:id="193"/>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Default has occurred and is continuing, the Loan Parties may make and receive payments with respect to Intercompany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any Loan Party receives any payment of any Intercompany Debt at a time when such payment is prohibited by this </w:t>
      </w:r>
      <w:r>
        <w:rPr>
          <w:rFonts w:ascii="Times New Roman" w:cs="Times New Roman" w:eastAsia="Times New Roman" w:hAnsi="Times New Roman"/>
          <w:sz w:val="20"/>
          <w:szCs w:val="20"/>
          <w:b w:val="1"/>
          <w:bCs w:val="1"/>
          <w:i w:val="1"/>
          <w:iCs w:val="1"/>
          <w:color w:val="auto"/>
        </w:rPr>
        <w:t>Section 11.16</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11.17 </w:t>
      </w:r>
      <w:r>
        <w:rPr>
          <w:rFonts w:ascii="Times New Roman" w:cs="Times New Roman" w:eastAsia="Times New Roman" w:hAnsi="Times New Roman"/>
          <w:sz w:val="20"/>
          <w:szCs w:val="20"/>
          <w:b w:val="1"/>
          <w:bCs w:val="1"/>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Arranger and the Lenders and their respective Affiliates are arm’s-length commercial transactions between the Borrower, each other Loan Party and their respective Affiliates, on the one hand, and the Administrative Agent, the Arranger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 (i) 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the Arranger, nor any Lender nor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Borrower, the other Loan Parties and their respective Affiliates, and neither the Administrative Agent, the Arranger, nor any Lender nor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19"/>
          <w:szCs w:val="19"/>
          <w:b w:val="1"/>
          <w:bCs w:val="1"/>
          <w:color w:val="auto"/>
        </w:rPr>
        <w:t>Electronic Execution; Electronic Records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5"/>
        <w:spacing w:after="0" w:line="243" w:lineRule="auto"/>
        <w:tabs>
          <w:tab w:leader="none" w:pos="1735"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notwithstanding anything contained herein to the contrary, the Administrative Agent is under no obligation to agree to accept electronic signatures in any form or</w:t>
      </w:r>
    </w:p>
    <w:p>
      <w:pPr>
        <w:sectPr>
          <w:pgSz w:w="11900" w:h="16838" w:orient="portrait"/>
          <w:cols w:equalWidth="0" w:num="1">
            <w:col w:w="11420"/>
          </w:cols>
          <w:pgMar w:left="240" w:top="563" w:right="239" w:bottom="1440" w:gutter="0" w:footer="0" w:header="0"/>
        </w:sectPr>
      </w:pPr>
    </w:p>
    <w:bookmarkStart w:id="194" w:name="page195"/>
    <w:bookmarkEnd w:id="194"/>
    <w:p>
      <w:pPr>
        <w:jc w:val="both"/>
        <w:ind w:left="660"/>
        <w:spacing w:after="0" w:line="256" w:lineRule="auto"/>
        <w:rPr>
          <w:sz w:val="20"/>
          <w:szCs w:val="20"/>
          <w:color w:val="auto"/>
        </w:rPr>
      </w:pPr>
      <w:r>
        <w:rPr>
          <w:rFonts w:ascii="Times New Roman" w:cs="Times New Roman" w:eastAsia="Times New Roman" w:hAnsi="Times New Roman"/>
          <w:sz w:val="20"/>
          <w:szCs w:val="20"/>
          <w:color w:val="auto"/>
        </w:rPr>
        <w:t xml:space="preserve">in any format unless expressly agreed to by the Administrative Agent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without limiting the foregoing, upon the request of the Administrative Agent, any electronic signature shall be promptly followed by such manually executed counterpart.</w:t>
      </w:r>
    </w:p>
    <w:p>
      <w:pPr>
        <w:spacing w:after="0" w:line="173" w:lineRule="exact"/>
        <w:rPr>
          <w:sz w:val="20"/>
          <w:szCs w:val="20"/>
          <w:color w:val="auto"/>
        </w:rPr>
      </w:pPr>
    </w:p>
    <w:p>
      <w:pPr>
        <w:jc w:val="both"/>
        <w:ind w:left="660" w:firstLine="645"/>
        <w:spacing w:after="0" w:line="245" w:lineRule="auto"/>
        <w:tabs>
          <w:tab w:leader="none" w:pos="186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acknowledges the receipt of a copy of this Agreement and all other Loan Documents. The Administrative Agent and each Lender may, on behalf of the Borrower, create a microfilm or optical disk or other electronic image of this Agreement and any or all of the other Loan Documents. The Administrative Agent and each Lender may store the electronic image of this Agreement and the other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11.19 </w:t>
      </w:r>
      <w:r>
        <w:rPr>
          <w:rFonts w:ascii="Times New Roman" w:cs="Times New Roman" w:eastAsia="Times New Roman" w:hAnsi="Times New Roman"/>
          <w:sz w:val="20"/>
          <w:szCs w:val="20"/>
          <w:b w:val="1"/>
          <w:bCs w:val="1"/>
          <w:color w:val="auto"/>
        </w:rPr>
        <w:t>USA Patriot Act Notice</w:t>
      </w:r>
      <w:r>
        <w:rPr>
          <w:rFonts w:ascii="Times New Roman" w:cs="Times New Roman" w:eastAsia="Times New Roman" w:hAnsi="Times New Roman"/>
          <w:sz w:val="20"/>
          <w:szCs w:val="20"/>
          <w:color w:val="auto"/>
        </w:rPr>
        <w:t>. Each Lender that is subject to the Patriot Act and the Administrative Agent (for itself and not on behalf of any Lender) hereby notifies the Borrower and the other Loan Parties that pursuant to the requirements of the USA PATRIOT Act (</w:t>
      </w:r>
      <w:r>
        <w:rPr>
          <w:rFonts w:ascii="Times New Roman" w:cs="Times New Roman" w:eastAsia="Times New Roman" w:hAnsi="Times New Roman"/>
          <w:sz w:val="20"/>
          <w:szCs w:val="20"/>
          <w:i w:val="1"/>
          <w:iCs w:val="1"/>
          <w:color w:val="auto"/>
        </w:rPr>
        <w:t>Title III</w:t>
      </w:r>
      <w:r>
        <w:rPr>
          <w:rFonts w:ascii="Times New Roman" w:cs="Times New Roman" w:eastAsia="Times New Roman" w:hAnsi="Times New Roman"/>
          <w:sz w:val="20"/>
          <w:szCs w:val="20"/>
          <w:color w:val="auto"/>
        </w:rPr>
        <w:t xml:space="preserve"> of Pub. L. 107-56 (signed into law October 26, 2001)) (the “</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11.20 </w:t>
      </w:r>
      <w:r>
        <w:rPr>
          <w:rFonts w:ascii="Times New Roman" w:cs="Times New Roman" w:eastAsia="Times New Roman" w:hAnsi="Times New Roman"/>
          <w:sz w:val="20"/>
          <w:szCs w:val="20"/>
          <w:b w:val="1"/>
          <w:bCs w:val="1"/>
          <w:color w:val="auto"/>
        </w:rPr>
        <w:t>Acknowledgement and Consent to Bail-In of EEA Financial Institutions</w:t>
      </w:r>
      <w:r>
        <w:rPr>
          <w:rFonts w:ascii="Times New Roman" w:cs="Times New Roman" w:eastAsia="Times New Roman" w:hAnsi="Times New Roman"/>
          <w:sz w:val="20"/>
          <w:szCs w:val="20"/>
          <w:color w:val="auto"/>
        </w:rPr>
        <w:t>. Solely to the extent any Lender or 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3" w:lineRule="exact"/>
        <w:rPr>
          <w:sz w:val="20"/>
          <w:szCs w:val="20"/>
          <w:color w:val="auto"/>
        </w:rPr>
      </w:pPr>
    </w:p>
    <w:p>
      <w:pPr>
        <w:ind w:left="660" w:firstLine="645"/>
        <w:spacing w:after="0" w:line="269" w:lineRule="auto"/>
        <w:tabs>
          <w:tab w:leader="none" w:pos="170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5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320" w:hanging="367"/>
        <w:spacing w:after="0"/>
        <w:tabs>
          <w:tab w:leader="none" w:pos="232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451"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rFonts w:ascii="Times New Roman" w:cs="Times New Roman" w:eastAsia="Times New Roman" w:hAnsi="Times New Roman"/>
          <w:sz w:val="20"/>
          <w:szCs w:val="20"/>
          <w:color w:val="auto"/>
        </w:rPr>
      </w:pPr>
    </w:p>
    <w:p>
      <w:pPr>
        <w:ind w:left="1300" w:firstLine="653"/>
        <w:spacing w:after="0" w:line="269" w:lineRule="auto"/>
        <w:tabs>
          <w:tab w:leader="none" w:pos="2479"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EEA Resolution Authority.</w:t>
      </w:r>
    </w:p>
    <w:p>
      <w:pPr>
        <w:sectPr>
          <w:pgSz w:w="11900" w:h="16838" w:orient="portrait"/>
          <w:cols w:equalWidth="0" w:num="1">
            <w:col w:w="11420"/>
          </w:cols>
          <w:pgMar w:left="240" w:top="558" w:right="239" w:bottom="1440" w:gutter="0" w:footer="0" w:header="0"/>
        </w:sectPr>
      </w:pPr>
    </w:p>
    <w:bookmarkStart w:id="195" w:name="page196"/>
    <w:bookmarkEnd w:id="195"/>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11.21 </w:t>
      </w:r>
      <w:r>
        <w:rPr>
          <w:rFonts w:ascii="Times New Roman" w:cs="Times New Roman" w:eastAsia="Times New Roman" w:hAnsi="Times New Roman"/>
          <w:sz w:val="20"/>
          <w:szCs w:val="20"/>
          <w:b w:val="1"/>
          <w:bCs w:val="1"/>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b w:val="1"/>
          <w:bCs w:val="1"/>
          <w:i w:val="1"/>
          <w:iCs w:val="1"/>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b w:val="1"/>
          <w:bCs w:val="1"/>
          <w:i w:val="1"/>
          <w:iCs w:val="1"/>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b w:val="1"/>
          <w:bCs w:val="1"/>
          <w:i w:val="1"/>
          <w:iCs w:val="1"/>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b w:val="1"/>
          <w:bCs w:val="1"/>
          <w:i w:val="1"/>
          <w:i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19"/>
          <w:szCs w:val="19"/>
          <w:b w:val="1"/>
          <w:bCs w:val="1"/>
          <w:color w:val="auto"/>
        </w:rPr>
        <w:t xml:space="preserve">Time of the Essence. </w:t>
      </w:r>
      <w:r>
        <w:rPr>
          <w:rFonts w:ascii="Times New Roman" w:cs="Times New Roman" w:eastAsia="Times New Roman" w:hAnsi="Times New Roman"/>
          <w:sz w:val="19"/>
          <w:szCs w:val="19"/>
          <w:color w:val="auto"/>
        </w:rPr>
        <w:t>Time is of the essence of the Loan Documents.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11.23 </w:t>
      </w:r>
      <w:r>
        <w:rPr>
          <w:rFonts w:ascii="Times New Roman" w:cs="Times New Roman" w:eastAsia="Times New Roman" w:hAnsi="Times New Roman"/>
          <w:sz w:val="19"/>
          <w:szCs w:val="19"/>
          <w:b w:val="1"/>
          <w:bCs w:val="1"/>
          <w:color w:val="auto"/>
        </w:rPr>
        <w:t>Judgment Currency</w:t>
      </w:r>
      <w:r>
        <w:rPr>
          <w:rFonts w:ascii="Times New Roman" w:cs="Times New Roman" w:eastAsia="Times New Roman" w:hAnsi="Times New Roman"/>
          <w:sz w:val="19"/>
          <w:szCs w:val="19"/>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9"/>
          <w:szCs w:val="19"/>
          <w:b w:val="1"/>
          <w:bCs w:val="1"/>
          <w:i w:val="1"/>
          <w:iCs w:val="1"/>
          <w:color w:val="auto"/>
        </w:rPr>
        <w:t>Judgment Currency</w:t>
      </w:r>
      <w:r>
        <w:rPr>
          <w:rFonts w:ascii="Times New Roman" w:cs="Times New Roman" w:eastAsia="Times New Roman" w:hAnsi="Times New Roman"/>
          <w:sz w:val="19"/>
          <w:szCs w:val="19"/>
          <w:color w:val="auto"/>
        </w:rPr>
        <w:t>”) other than that in which such sum is denominated in accordance with the applicable provisions of this Agreement (the “</w:t>
      </w:r>
      <w:r>
        <w:rPr>
          <w:rFonts w:ascii="Times New Roman" w:cs="Times New Roman" w:eastAsia="Times New Roman" w:hAnsi="Times New Roman"/>
          <w:sz w:val="19"/>
          <w:szCs w:val="19"/>
          <w:b w:val="1"/>
          <w:bCs w:val="1"/>
          <w:i w:val="1"/>
          <w:iCs w:val="1"/>
          <w:color w:val="auto"/>
        </w:rPr>
        <w:t>Agreement Currency</w:t>
      </w:r>
      <w:r>
        <w:rPr>
          <w:rFonts w:ascii="Times New Roman" w:cs="Times New Roman" w:eastAsia="Times New Roman" w:hAnsi="Times New Roman"/>
          <w:sz w:val="19"/>
          <w:szCs w:val="19"/>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sectPr>
          <w:pgSz w:w="11900" w:h="16838" w:orient="portrait"/>
          <w:cols w:equalWidth="0" w:num="1">
            <w:col w:w="11420"/>
          </w:cols>
          <w:pgMar w:left="240" w:top="559" w:right="239" w:bottom="1440" w:gutter="0" w:footer="0" w:header="0"/>
        </w:sectPr>
      </w:pPr>
    </w:p>
    <w:bookmarkStart w:id="196" w:name="page197"/>
    <w:bookmarkEnd w:id="196"/>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11.24 </w:t>
      </w:r>
      <w:r>
        <w:rPr>
          <w:rFonts w:ascii="Times New Roman" w:cs="Times New Roman" w:eastAsia="Times New Roman" w:hAnsi="Times New Roman"/>
          <w:sz w:val="19"/>
          <w:szCs w:val="19"/>
          <w:b w:val="1"/>
          <w:bCs w:val="1"/>
          <w:color w:val="auto"/>
        </w:rPr>
        <w:t>Amendment and Restatement</w:t>
      </w:r>
      <w:r>
        <w:rPr>
          <w:rFonts w:ascii="Times New Roman" w:cs="Times New Roman" w:eastAsia="Times New Roman" w:hAnsi="Times New Roman"/>
          <w:sz w:val="19"/>
          <w:szCs w:val="19"/>
          <w:color w:val="auto"/>
        </w:rPr>
        <w:t>. This Agreement is an amendment and restatement of (but not a novation of or an accord and satisfaction of) the Existing Credit Agreement. All outstanding Obligations under the Existing Credit Agreement (and which have not been repaid on the Closing Date) shall continue to remain outstanding under this Agreement. From and after the date hereof, all references made to the Existing Credit Agreement in any “Loan Document” (as defined in the Existing Credit Agreement) or in any other instrument or document shall, without more, be deemed to refer to this Agreement. The Borrowers and each Guarantor under this Agreement hereby acknowledges and agrees that the “Liens” (as defined in the Existing Credit Agreement) created and provided for by the “Collateral Documents” (as defined in the Existing Credit Agreement) continue to secure, among other things, the Obligations under the Existing Credit Agreement which shall remain outstanding on the date hereof as well as those hereafter arising under this Agreement and the other Loan Documents; and the rights and remedies of the Administrative Agent under the Collateral Documents under the Existing Credit Agreement and the Liens under the Existing Credit Agreement created and provided for thereunder remain in full force and effect and shall not be affected, impaired or discharged hereby. Nothing herein contained shall in any manner affect or impair the priority of the liens and security interests created and provided for by the Collateral Documents under the Existing Credit Agreement as to the indebtedness which would be secured thereby prior to giving effect to this Agreement. This amendment and restatement of the Existing Credit Agreement shall operate to renew, amend and modify the rights and obligations of the parties under the Existing Credit Agreement as provided herein, but shall not act as a novation thereof.</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11.25 </w:t>
      </w:r>
      <w:r>
        <w:rPr>
          <w:rFonts w:ascii="Times New Roman" w:cs="Times New Roman" w:eastAsia="Times New Roman" w:hAnsi="Times New Roman"/>
          <w:sz w:val="20"/>
          <w:szCs w:val="20"/>
          <w:b w:val="1"/>
          <w:bCs w:val="1"/>
          <w:color w:val="auto"/>
        </w:rPr>
        <w:t>Reallocation of Commitments</w:t>
      </w:r>
      <w:r>
        <w:rPr>
          <w:rFonts w:ascii="Times New Roman" w:cs="Times New Roman" w:eastAsia="Times New Roman" w:hAnsi="Times New Roman"/>
          <w:sz w:val="20"/>
          <w:szCs w:val="20"/>
          <w:color w:val="auto"/>
        </w:rPr>
        <w:t xml:space="preserve">. The Lenders (as defined in the Existing Credit Agreement) have agreed among themselves to reallocate the Aggregate Commitment (under, and as defined in, the Existing Credit Agreement) as contemplated by this Agreement and to adjust their interests in such Aggregate Commitment and the Loans accordingly. On the Closing Date and after giving effect to such reallocation and adjustment of such Aggregate Commitment and such Loans, the Lenders shall hold the Commitments set forth on </w:t>
      </w:r>
      <w:r>
        <w:rPr>
          <w:rFonts w:ascii="Times New Roman" w:cs="Times New Roman" w:eastAsia="Times New Roman" w:hAnsi="Times New Roman"/>
          <w:sz w:val="20"/>
          <w:szCs w:val="20"/>
          <w:b w:val="1"/>
          <w:bCs w:val="1"/>
          <w:i w:val="1"/>
          <w:iCs w:val="1"/>
          <w:color w:val="auto"/>
        </w:rPr>
        <w:t>Schedule 1.01(b)</w:t>
      </w:r>
      <w:r>
        <w:rPr>
          <w:rFonts w:ascii="Times New Roman" w:cs="Times New Roman" w:eastAsia="Times New Roman" w:hAnsi="Times New Roman"/>
          <w:sz w:val="20"/>
          <w:szCs w:val="20"/>
          <w:color w:val="auto"/>
        </w:rPr>
        <w:t>. The outstanding Loans (under, and as defined in, the Existing Credit Agreement) and the funds delivered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Administrative Agent on the Closing Date by the Lenders shall be allocated such that after giving effect to such allocation each of the Lenders shall hold the Commitments set forth on </w:t>
      </w:r>
      <w:r>
        <w:rPr>
          <w:rFonts w:ascii="Times New Roman" w:cs="Times New Roman" w:eastAsia="Times New Roman" w:hAnsi="Times New Roman"/>
          <w:sz w:val="20"/>
          <w:szCs w:val="20"/>
          <w:b w:val="1"/>
          <w:bCs w:val="1"/>
          <w:i w:val="1"/>
          <w:iCs w:val="1"/>
          <w:color w:val="auto"/>
        </w:rPr>
        <w:t>Schedule 1.01(b)</w:t>
      </w:r>
      <w:r>
        <w:rPr>
          <w:rFonts w:ascii="Times New Roman" w:cs="Times New Roman" w:eastAsia="Times New Roman" w:hAnsi="Times New Roman"/>
          <w:sz w:val="20"/>
          <w:szCs w:val="20"/>
          <w:color w:val="auto"/>
        </w:rPr>
        <w:t xml:space="preserve"> and such Lenders shall own the Loans consistent with their percentage of the Commitments set forth on </w:t>
      </w:r>
      <w:r>
        <w:rPr>
          <w:rFonts w:ascii="Times New Roman" w:cs="Times New Roman" w:eastAsia="Times New Roman" w:hAnsi="Times New Roman"/>
          <w:sz w:val="20"/>
          <w:szCs w:val="20"/>
          <w:b w:val="1"/>
          <w:bCs w:val="1"/>
          <w:i w:val="1"/>
          <w:iCs w:val="1"/>
          <w:color w:val="auto"/>
        </w:rPr>
        <w:t>Schedule 1.01(b)</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Borrowers shall pay any funding indemnification amounts required by </w:t>
      </w:r>
      <w:r>
        <w:rPr>
          <w:rFonts w:ascii="Times New Roman" w:cs="Times New Roman" w:eastAsia="Times New Roman" w:hAnsi="Times New Roman"/>
          <w:sz w:val="20"/>
          <w:szCs w:val="20"/>
          <w:i w:val="1"/>
          <w:iCs w:val="1"/>
          <w:color w:val="auto"/>
        </w:rPr>
        <w:t>Section 3.05</w:t>
      </w:r>
      <w:r>
        <w:rPr>
          <w:rFonts w:ascii="Times New Roman" w:cs="Times New Roman" w:eastAsia="Times New Roman" w:hAnsi="Times New Roman"/>
          <w:sz w:val="20"/>
          <w:szCs w:val="20"/>
          <w:color w:val="auto"/>
        </w:rPr>
        <w:t xml:space="preserve"> of the Existing Credit Agreement in the event the payment of any principal of any Eurocurrency Rate Loan (under, and as defined in, the Existing Credit Agreement) or the conversion of any Eurocurrency Rate Loan other than on the last day of an Interest Period applicable thereto is required in connection with the reallocation contemplated by this </w:t>
      </w:r>
      <w:r>
        <w:rPr>
          <w:rFonts w:ascii="Times New Roman" w:cs="Times New Roman" w:eastAsia="Times New Roman" w:hAnsi="Times New Roman"/>
          <w:sz w:val="20"/>
          <w:szCs w:val="20"/>
          <w:b w:val="1"/>
          <w:bCs w:val="1"/>
          <w:i w:val="1"/>
          <w:iCs w:val="1"/>
          <w:color w:val="auto"/>
        </w:rPr>
        <w:t>Section 11.25</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11.26 </w:t>
      </w:r>
      <w:r>
        <w:rPr>
          <w:rFonts w:ascii="Times New Roman" w:cs="Times New Roman" w:eastAsia="Times New Roman" w:hAnsi="Times New Roman"/>
          <w:sz w:val="20"/>
          <w:szCs w:val="20"/>
          <w:b w:val="1"/>
          <w:bCs w:val="1"/>
          <w:color w:val="auto"/>
        </w:rPr>
        <w:t>ENTIRE AGREEMENT. THIS AGREEMENT AND THE OTHER LOAN DOCUMENTS REPRESENT THE FINAL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 AMONG THE PARTIES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Remainder of Page Intentionally Left Blank;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Page(s) Follow</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55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duly executed as of the date first above written.</w:t>
      </w:r>
    </w:p>
    <w:p>
      <w:pPr>
        <w:sectPr>
          <w:pgSz w:w="11900" w:h="16838" w:orient="portrait"/>
          <w:cols w:equalWidth="0" w:num="1">
            <w:col w:w="10240"/>
          </w:cols>
          <w:pgMar w:left="900" w:top="558" w:right="759" w:bottom="1440" w:gutter="0" w:footer="0" w:header="0"/>
        </w:sectPr>
      </w:pPr>
    </w:p>
    <w:p>
      <w:pPr>
        <w:spacing w:after="0" w:line="38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00" w:lineRule="exact"/>
        <w:rPr>
          <w:sz w:val="20"/>
          <w:szCs w:val="20"/>
          <w:color w:val="auto"/>
        </w:rPr>
      </w:pPr>
    </w:p>
    <w:p>
      <w:pPr>
        <w:spacing w:after="0" w:line="25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POWELL INDUSTRIES,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31115</wp:posOffset>
            </wp:positionV>
            <wp:extent cx="22726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Name:</w:t>
      </w:r>
    </w:p>
    <w:p>
      <w:pPr>
        <w:spacing w:after="0" w:line="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200" w:lineRule="exact"/>
        <w:rPr>
          <w:sz w:val="20"/>
          <w:szCs w:val="20"/>
          <w:color w:val="auto"/>
        </w:rPr>
      </w:pPr>
    </w:p>
    <w:p>
      <w:pPr>
        <w:spacing w:after="0" w:line="25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POWELL ELECTRICAL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31115</wp:posOffset>
            </wp:positionV>
            <wp:extent cx="23069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w:t>
      </w:r>
    </w:p>
    <w:p>
      <w:pPr>
        <w:spacing w:after="0" w:line="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b w:val="1"/>
          <w:bCs w:val="1"/>
          <w:color w:val="auto"/>
        </w:rPr>
        <w:t>POWELL INDUSTRIES INTERNATIONAL,</w:t>
      </w:r>
    </w:p>
    <w:p>
      <w:pPr>
        <w:spacing w:after="0" w:line="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31115</wp:posOffset>
            </wp:positionV>
            <wp:extent cx="23069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w:t>
      </w:r>
    </w:p>
    <w:p>
      <w:pPr>
        <w:spacing w:after="0" w:line="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240"/>
          </w:cols>
          <w:pgMar w:left="900" w:top="558"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Signature Page to</w:t>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Amended and Restated Credit Agreement</w:t>
      </w:r>
    </w:p>
    <w:p>
      <w:pPr>
        <w:sectPr>
          <w:pgSz w:w="11900" w:h="16838" w:orient="portrait"/>
          <w:cols w:equalWidth="0" w:num="1">
            <w:col w:w="10240"/>
          </w:cols>
          <w:pgMar w:left="900" w:top="558" w:right="759" w:bottom="1440" w:gutter="0" w:footer="0" w:header="0"/>
          <w:type w:val="continuous"/>
        </w:sectPr>
      </w:pPr>
    </w:p>
    <w:bookmarkStart w:id="198" w:name="page199"/>
    <w:bookmarkEnd w:id="198"/>
    <w:p>
      <w:pPr>
        <w:ind w:left="2720"/>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 as Administrative</w:t>
      </w:r>
    </w:p>
    <w:p>
      <w:pPr>
        <w:spacing w:after="0" w:line="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31115</wp:posOffset>
            </wp:positionV>
            <wp:extent cx="2263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 Lender, L/C</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Issuer and Swingline Lender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31115</wp:posOffset>
            </wp:positionV>
            <wp:extent cx="2263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Amended and Restated Credit Agreement</w:t>
      </w:r>
    </w:p>
    <w:p>
      <w:pPr>
        <w:sectPr>
          <w:pgSz w:w="11900" w:h="16838" w:orient="portrait"/>
          <w:cols w:equalWidth="0" w:num="1">
            <w:col w:w="9019"/>
          </w:cols>
          <w:pgMar w:left="1440" w:top="721" w:right="1440"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SUBSIDIARIES OF POWELL INDUSTRIES, INC.</w:t>
            </w: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615"/>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5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Incorporated</w:t>
            </w:r>
          </w:p>
        </w:tc>
      </w:tr>
      <w:tr>
        <w:trPr>
          <w:trHeight w:val="27"/>
        </w:trPr>
        <w:tc>
          <w:tcPr>
            <w:tcW w:w="26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Inc.</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Electrical Systems, Inc.</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Inc.</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B.V.</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International B.V.</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(UK) Limited</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Asia, Pte, Ltd.</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Canada B.V.</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Canada Inc.</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(Middle East) B.V.</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B.V.</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Equipment (Mexico) SA de CV</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6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Trading (Mexico) SA de CV</w:t>
            </w: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
        </w:trPr>
        <w:tc>
          <w:tcPr>
            <w:tcW w:w="260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ectPr>
          <w:pgSz w:w="11900" w:h="16838" w:orient="portrait"/>
          <w:cols w:equalWidth="0" w:num="1">
            <w:col w:w="10320"/>
          </w:cols>
          <w:pgMar w:left="1340" w:top="549" w:right="2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0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333-196171) of Powell Industries, Inc. of our report dated December 5, 2019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2019</w:t>
      </w:r>
    </w:p>
    <w:p>
      <w:pPr>
        <w:sectPr>
          <w:pgSz w:w="11900" w:h="16838" w:orient="portrait"/>
          <w:cols w:equalWidth="0" w:num="1">
            <w:col w:w="11420"/>
          </w:cols>
          <w:pgMar w:left="240" w:top="550" w:right="2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840" w:hanging="184"/>
        <w:spacing w:after="0"/>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ind w:left="660" w:right="120" w:hanging="4"/>
        <w:spacing w:after="0" w:line="266" w:lineRule="auto"/>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4"/>
        <w:spacing w:after="0" w:line="266" w:lineRule="auto"/>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48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140" w:firstLine="5"/>
        <w:spacing w:after="0" w:line="266" w:lineRule="auto"/>
        <w:tabs>
          <w:tab w:leader="none" w:pos="149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60" w:firstLine="5"/>
        <w:spacing w:after="0" w:line="313" w:lineRule="auto"/>
        <w:tabs>
          <w:tab w:leader="none" w:pos="1485"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300" w:right="80" w:firstLine="5"/>
        <w:spacing w:after="0" w:line="266" w:lineRule="auto"/>
        <w:tabs>
          <w:tab w:leader="none" w:pos="149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00" w:firstLine="5"/>
        <w:spacing w:after="0" w:line="282" w:lineRule="auto"/>
        <w:tabs>
          <w:tab w:leader="none" w:pos="148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80" w:firstLine="5"/>
        <w:spacing w:after="0" w:line="282" w:lineRule="auto"/>
        <w:tabs>
          <w:tab w:leader="none" w:pos="149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Brett A. Cope</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2019</w:t>
      </w:r>
    </w:p>
    <w:p>
      <w:pPr>
        <w:sectPr>
          <w:pgSz w:w="11900" w:h="16838" w:orient="portrait"/>
          <w:cols w:equalWidth="0" w:num="1">
            <w:col w:w="11420"/>
          </w:cols>
          <w:pgMar w:left="240" w:top="549" w:right="2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Michael W. Metcalf</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840" w:hanging="184"/>
        <w:spacing w:after="0"/>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ind w:left="660" w:right="120" w:hanging="4"/>
        <w:spacing w:after="0" w:line="266"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4"/>
        <w:spacing w:after="0" w:line="266"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48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140" w:firstLine="5"/>
        <w:spacing w:after="0" w:line="266" w:lineRule="auto"/>
        <w:tabs>
          <w:tab w:leader="none" w:pos="149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60" w:firstLine="5"/>
        <w:spacing w:after="0" w:line="313" w:lineRule="auto"/>
        <w:tabs>
          <w:tab w:leader="none" w:pos="1485"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300" w:right="80" w:firstLine="5"/>
        <w:spacing w:after="0" w:line="266" w:lineRule="auto"/>
        <w:tabs>
          <w:tab w:leader="none" w:pos="149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00" w:firstLine="5"/>
        <w:spacing w:after="0" w:line="282" w:lineRule="auto"/>
        <w:tabs>
          <w:tab w:leader="none" w:pos="148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80" w:firstLine="5"/>
        <w:spacing w:after="0" w:line="282" w:lineRule="auto"/>
        <w:tabs>
          <w:tab w:leader="none" w:pos="149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2019</w:t>
      </w:r>
    </w:p>
    <w:p>
      <w:pPr>
        <w:sectPr>
          <w:pgSz w:w="11900" w:h="16838" w:orient="portrait"/>
          <w:cols w:equalWidth="0" w:num="1">
            <w:col w:w="11420"/>
          </w:cols>
          <w:pgMar w:left="240" w:top="550" w:right="2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2019,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700" w:hanging="4"/>
        <w:spacing w:after="0" w:line="282" w:lineRule="auto"/>
        <w:tabs>
          <w:tab w:leader="none" w:pos="9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Brett A. Cope</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2019</w:t>
      </w:r>
    </w:p>
    <w:p>
      <w:pPr>
        <w:sectPr>
          <w:pgSz w:w="11900" w:h="16838" w:orient="portrait"/>
          <w:cols w:equalWidth="0" w:num="1">
            <w:col w:w="11420"/>
          </w:cols>
          <w:pgMar w:left="240" w:top="550" w:right="2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2019,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700" w:hanging="4"/>
        <w:spacing w:after="0" w:line="282" w:lineRule="auto"/>
        <w:tabs>
          <w:tab w:leader="none" w:pos="91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2019</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1)"/>
      <w:numFmt w:val="decimal"/>
      <w:start w:val="1"/>
    </w:lvl>
  </w:abstractNum>
  <w:abstractNum w:abstractNumId="3">
    <w:nsid w:val="5C10FE21"/>
    <w:multiLevelType w:val="hybridMultilevel"/>
    <w:lvl w:ilvl="0">
      <w:lvlJc w:val="left"/>
      <w:lvlText w:val="(%1)"/>
      <w:numFmt w:val="decimal"/>
      <w:start w:val="1"/>
    </w:lvl>
  </w:abstractNum>
  <w:abstractNum w:abstractNumId="4">
    <w:nsid w:val="E7FFA2B"/>
    <w:multiLevelType w:val="hybridMultilevel"/>
    <w:lvl w:ilvl="0">
      <w:lvlJc w:val="left"/>
      <w:lvlText w:val="%1."/>
      <w:numFmt w:val="decimal"/>
      <w:start w:val="1"/>
    </w:lvl>
  </w:abstractNum>
  <w:abstractNum w:abstractNumId="5">
    <w:nsid w:val="3C5991AA"/>
    <w:multiLevelType w:val="hybridMultilevel"/>
    <w:lvl w:ilvl="0">
      <w:lvlJc w:val="left"/>
      <w:lvlText w:val="*"/>
      <w:numFmt w:val="bullet"/>
      <w:start w:val="1"/>
    </w:lvl>
  </w:abstractNum>
  <w:abstractNum w:abstractNumId="6">
    <w:nsid w:val="4BD8591A"/>
    <w:multiLevelType w:val="hybridMultilevel"/>
    <w:lvl w:ilvl="0">
      <w:lvlJc w:val="left"/>
      <w:lvlText w:val="**"/>
      <w:numFmt w:val="bullet"/>
      <w:start w:val="1"/>
    </w:lvl>
  </w:abstractNum>
  <w:abstractNum w:abstractNumId="7">
    <w:nsid w:val="78DF6A55"/>
    <w:multiLevelType w:val="hybridMultilevel"/>
    <w:lvl w:ilvl="0">
      <w:lvlJc w:val="left"/>
      <w:lvlText w:val="***"/>
      <w:numFmt w:val="bullet"/>
      <w:start w:val="1"/>
    </w:lvl>
  </w:abstractNum>
  <w:abstractNum w:abstractNumId="8">
    <w:nsid w:val="39B7AAA2"/>
    <w:multiLevelType w:val="hybridMultilevel"/>
    <w:lvl w:ilvl="0">
      <w:lvlJc w:val="left"/>
      <w:lvlText w:val="%1."/>
      <w:numFmt w:val="upperLetter"/>
      <w:start w:val="1"/>
    </w:lvl>
  </w:abstractNum>
  <w:abstractNum w:abstractNumId="9">
    <w:nsid w:val="2B0D8DBE"/>
    <w:multiLevelType w:val="hybridMultilevel"/>
    <w:lvl w:ilvl="0">
      <w:lvlJc w:val="left"/>
      <w:lvlText w:val="(%1)"/>
      <w:numFmt w:val="lowerLetter"/>
      <w:start w:val="1"/>
    </w:lvl>
  </w:abstractNum>
  <w:abstractNum w:abstractNumId="10">
    <w:nsid w:val="6C80EC70"/>
    <w:multiLevelType w:val="hybridMultilevel"/>
    <w:lvl w:ilvl="0">
      <w:lvlJc w:val="left"/>
      <w:lvlText w:val="(%1)"/>
      <w:numFmt w:val="lowerLetter"/>
      <w:start w:val="3"/>
    </w:lvl>
  </w:abstractNum>
  <w:abstractNum w:abstractNumId="11">
    <w:nsid w:val="379E21B5"/>
    <w:multiLevelType w:val="hybridMultilevel"/>
    <w:lvl w:ilvl="0">
      <w:lvlJc w:val="left"/>
      <w:lvlText w:val="(%1)"/>
      <w:numFmt w:val="lowerLetter"/>
      <w:start w:val="2"/>
    </w:lvl>
  </w:abstractNum>
  <w:abstractNum w:abstractNumId="12">
    <w:nsid w:val="69E373"/>
    <w:multiLevelType w:val="hybridMultilevel"/>
    <w:lvl w:ilvl="0">
      <w:lvlJc w:val="left"/>
      <w:lvlText w:val="(%1)"/>
      <w:numFmt w:val="lowerLetter"/>
      <w:start w:val="1"/>
    </w:lvl>
  </w:abstractNum>
  <w:abstractNum w:abstractNumId="13">
    <w:nsid w:val="2C27173B"/>
    <w:multiLevelType w:val="hybridMultilevel"/>
    <w:lvl w:ilvl="0">
      <w:lvlJc w:val="left"/>
      <w:lvlText w:val="(%1)"/>
      <w:numFmt w:val="lowerLetter"/>
      <w:start w:val="2"/>
    </w:lvl>
  </w:abstractNum>
  <w:abstractNum w:abstractNumId="14">
    <w:nsid w:val="4C9B0904"/>
    <w:multiLevelType w:val="hybridMultilevel"/>
    <w:lvl w:ilvl="0">
      <w:lvlJc w:val="left"/>
      <w:lvlText w:val="(%1)"/>
      <w:numFmt w:val="lowerLetter"/>
      <w:start w:val="1"/>
    </w:lvl>
  </w:abstractNum>
  <w:abstractNum w:abstractNumId="15">
    <w:nsid w:val="6AA7B75C"/>
    <w:multiLevelType w:val="hybridMultilevel"/>
    <w:lvl w:ilvl="0">
      <w:lvlJc w:val="left"/>
      <w:lvlText w:val="(%1)"/>
      <w:numFmt w:val="lowerLetter"/>
      <w:start w:val="3"/>
    </w:lvl>
  </w:abstractNum>
  <w:abstractNum w:abstractNumId="16">
    <w:nsid w:val="1DF029D3"/>
    <w:multiLevelType w:val="hybridMultilevel"/>
    <w:lvl w:ilvl="0">
      <w:lvlJc w:val="left"/>
      <w:lvlText w:val="(%1)"/>
      <w:numFmt w:val="lowerLetter"/>
      <w:start w:val="1"/>
    </w:lvl>
  </w:abstractNum>
  <w:abstractNum w:abstractNumId="17">
    <w:nsid w:val="5675FF36"/>
    <w:multiLevelType w:val="hybridMultilevel"/>
    <w:lvl w:ilvl="0">
      <w:lvlJc w:val="left"/>
      <w:lvlText w:val="(%1)"/>
      <w:numFmt w:val="lowerLetter"/>
      <w:start w:val="2"/>
    </w:lvl>
  </w:abstractNum>
  <w:abstractNum w:abstractNumId="18">
    <w:nsid w:val="3DD15094"/>
    <w:multiLevelType w:val="hybridMultilevel"/>
    <w:lvl w:ilvl="0">
      <w:lvlJc w:val="left"/>
      <w:lvlText w:val="(%1)"/>
      <w:numFmt w:val="lowerLetter"/>
      <w:start w:val="7"/>
    </w:lvl>
  </w:abstractNum>
  <w:abstractNum w:abstractNumId="19">
    <w:nsid w:val="3DB012B3"/>
    <w:multiLevelType w:val="hybridMultilevel"/>
    <w:lvl w:ilvl="0">
      <w:lvlJc w:val="left"/>
      <w:lvlText w:val="(%1)"/>
      <w:numFmt w:val="lowerLetter"/>
      <w:start w:val="35"/>
    </w:lvl>
  </w:abstractNum>
  <w:abstractNum w:abstractNumId="20">
    <w:nsid w:val="2708C9AF"/>
    <w:multiLevelType w:val="hybridMultilevel"/>
    <w:lvl w:ilvl="0">
      <w:lvlJc w:val="left"/>
      <w:lvlText w:val="(%1)"/>
      <w:numFmt w:val="lowerLetter"/>
      <w:start w:val="2"/>
    </w:lvl>
  </w:abstractNum>
  <w:abstractNum w:abstractNumId="21">
    <w:nsid w:val="5B25ACE2"/>
    <w:multiLevelType w:val="hybridMultilevel"/>
    <w:lvl w:ilvl="0">
      <w:lvlJc w:val="left"/>
      <w:lvlText w:val="(%1)"/>
      <w:numFmt w:val="lowerLetter"/>
      <w:start w:val="1"/>
    </w:lvl>
    <w:lvl w:ilvl="1">
      <w:lvlJc w:val="left"/>
      <w:lvlText w:val="(%2)"/>
      <w:numFmt w:val="lowerRoman"/>
      <w:start w:val="1"/>
    </w:lvl>
  </w:abstractNum>
  <w:abstractNum w:abstractNumId="22">
    <w:nsid w:val="175DFCF0"/>
    <w:multiLevelType w:val="hybridMultilevel"/>
    <w:lvl w:ilvl="0">
      <w:lvlJc w:val="left"/>
      <w:lvlText w:val="%1"/>
      <w:numFmt w:val="lowerLetter"/>
      <w:start w:val="1"/>
    </w:lvl>
    <w:lvl w:ilvl="1">
      <w:lvlJc w:val="left"/>
      <w:lvlText w:val="(%2)"/>
      <w:numFmt w:val="lowerLetter"/>
      <w:start w:val="61"/>
    </w:lvl>
  </w:abstractNum>
  <w:abstractNum w:abstractNumId="23">
    <w:nsid w:val="4F97E3E4"/>
    <w:multiLevelType w:val="hybridMultilevel"/>
    <w:lvl w:ilvl="0">
      <w:lvlJc w:val="left"/>
      <w:lvlText w:val="(%1)"/>
      <w:numFmt w:val="lowerLetter"/>
      <w:start w:val="2"/>
    </w:lvl>
    <w:lvl w:ilvl="1">
      <w:lvlJc w:val="left"/>
      <w:lvlText w:val="%2"/>
      <w:numFmt w:val="lowerLetter"/>
      <w:start w:val="1"/>
    </w:lvl>
  </w:abstractNum>
  <w:abstractNum w:abstractNumId="24">
    <w:nsid w:val="53B0A9E"/>
    <w:multiLevelType w:val="hybridMultilevel"/>
    <w:lvl w:ilvl="0">
      <w:lvlJc w:val="left"/>
      <w:lvlText w:val="(%1)"/>
      <w:numFmt w:val="lowerLetter"/>
      <w:start w:val="2"/>
    </w:lvl>
  </w:abstractNum>
  <w:abstractNum w:abstractNumId="25">
    <w:nsid w:val="34FD6B4F"/>
    <w:multiLevelType w:val="hybridMultilevel"/>
    <w:lvl w:ilvl="0">
      <w:lvlJc w:val="left"/>
      <w:lvlText w:val="(%1)"/>
      <w:numFmt w:val="lowerLetter"/>
      <w:start w:val="1"/>
    </w:lvl>
  </w:abstractNum>
  <w:abstractNum w:abstractNumId="26">
    <w:nsid w:val="5915FF32"/>
    <w:multiLevelType w:val="hybridMultilevel"/>
    <w:lvl w:ilvl="0">
      <w:lvlJc w:val="left"/>
      <w:lvlText w:val="(%1)"/>
      <w:numFmt w:val="lowerLetter"/>
      <w:start w:val="2"/>
    </w:lvl>
  </w:abstractNum>
  <w:abstractNum w:abstractNumId="27">
    <w:nsid w:val="56438D15"/>
    <w:multiLevelType w:val="hybridMultilevel"/>
    <w:lvl w:ilvl="0">
      <w:lvlJc w:val="left"/>
      <w:lvlText w:val="(%1)"/>
      <w:numFmt w:val="lowerLetter"/>
      <w:start w:val="1"/>
    </w:lvl>
  </w:abstractNum>
  <w:abstractNum w:abstractNumId="28">
    <w:nsid w:val="519E3149"/>
    <w:multiLevelType w:val="hybridMultilevel"/>
    <w:lvl w:ilvl="0">
      <w:lvlJc w:val="left"/>
      <w:lvlText w:val="(%1)"/>
      <w:numFmt w:val="lowerLetter"/>
      <w:start w:val="1"/>
    </w:lvl>
  </w:abstractNum>
  <w:abstractNum w:abstractNumId="29">
    <w:nsid w:val="2C6E4AFD"/>
    <w:multiLevelType w:val="hybridMultilevel"/>
    <w:lvl w:ilvl="0">
      <w:lvlJc w:val="left"/>
      <w:lvlText w:val="(%1)"/>
      <w:numFmt w:val="lowerLetter"/>
      <w:start w:val="6"/>
    </w:lvl>
  </w:abstractNum>
  <w:abstractNum w:abstractNumId="30">
    <w:nsid w:val="17A1B582"/>
    <w:multiLevelType w:val="hybridMultilevel"/>
    <w:lvl w:ilvl="0">
      <w:lvlJc w:val="left"/>
      <w:lvlText w:val="(%1)"/>
      <w:numFmt w:val="lowerLetter"/>
      <w:start w:val="3"/>
    </w:lvl>
  </w:abstractNum>
  <w:abstractNum w:abstractNumId="31">
    <w:nsid w:val="4DF72E4E"/>
    <w:multiLevelType w:val="hybridMultilevel"/>
    <w:lvl w:ilvl="0">
      <w:lvlJc w:val="left"/>
      <w:lvlText w:val="(%1)"/>
      <w:numFmt w:val="lowerLetter"/>
      <w:start w:val="1"/>
    </w:lvl>
  </w:abstractNum>
  <w:abstractNum w:abstractNumId="32">
    <w:nsid w:val="5046B5A9"/>
    <w:multiLevelType w:val="hybridMultilevel"/>
    <w:lvl w:ilvl="0">
      <w:lvlJc w:val="left"/>
      <w:lvlText w:val="(%1)"/>
      <w:numFmt w:val="lowerLetter"/>
      <w:start w:val="3"/>
    </w:lvl>
  </w:abstractNum>
  <w:abstractNum w:abstractNumId="33">
    <w:nsid w:val="5D888A08"/>
    <w:multiLevelType w:val="hybridMultilevel"/>
    <w:lvl w:ilvl="0">
      <w:lvlJc w:val="left"/>
      <w:lvlText w:val="(%1)"/>
      <w:numFmt w:val="lowerLetter"/>
      <w:start w:val="1"/>
    </w:lvl>
  </w:abstractNum>
  <w:abstractNum w:abstractNumId="34">
    <w:nsid w:val="2A082C70"/>
    <w:multiLevelType w:val="hybridMultilevel"/>
    <w:lvl w:ilvl="0">
      <w:lvlJc w:val="left"/>
      <w:lvlText w:val="(%1)"/>
      <w:numFmt w:val="lowerLetter"/>
      <w:start w:val="2"/>
    </w:lvl>
  </w:abstractNum>
  <w:abstractNum w:abstractNumId="35">
    <w:nsid w:val="5EC6AFD4"/>
    <w:multiLevelType w:val="hybridMultilevel"/>
    <w:lvl w:ilvl="0">
      <w:lvlJc w:val="left"/>
      <w:lvlText w:val="(%1)"/>
      <w:numFmt w:val="lowerLetter"/>
      <w:start w:val="1"/>
    </w:lvl>
  </w:abstractNum>
  <w:abstractNum w:abstractNumId="36">
    <w:nsid w:val="19E21BB2"/>
    <w:multiLevelType w:val="hybridMultilevel"/>
    <w:lvl w:ilvl="0">
      <w:lvlJc w:val="left"/>
      <w:lvlText w:val="%1"/>
      <w:numFmt w:val="lowerLetter"/>
      <w:start w:val="1"/>
    </w:lvl>
    <w:lvl w:ilvl="1">
      <w:lvlJc w:val="left"/>
      <w:lvlText w:val="(%2)"/>
      <w:numFmt w:val="lowerLetter"/>
      <w:start w:val="2"/>
    </w:lvl>
  </w:abstractNum>
  <w:abstractNum w:abstractNumId="37">
    <w:nsid w:val="75E0858A"/>
    <w:multiLevelType w:val="hybridMultilevel"/>
    <w:lvl w:ilvl="0">
      <w:lvlJc w:val="left"/>
      <w:lvlText w:val="(%1)"/>
      <w:numFmt w:val="lowerLetter"/>
      <w:start w:val="35"/>
    </w:lvl>
    <w:lvl w:ilvl="1">
      <w:lvlJc w:val="left"/>
      <w:lvlText w:val="(%2)"/>
      <w:numFmt w:val="lowerLetter"/>
      <w:start w:val="3"/>
    </w:lvl>
  </w:abstractNum>
  <w:abstractNum w:abstractNumId="38">
    <w:nsid w:val="57A61A29"/>
    <w:multiLevelType w:val="hybridMultilevel"/>
    <w:lvl w:ilvl="0">
      <w:lvlJc w:val="left"/>
      <w:lvlText w:val="(%1)"/>
      <w:numFmt w:val="lowerLetter"/>
      <w:start w:val="1"/>
    </w:lvl>
  </w:abstractNum>
  <w:abstractNum w:abstractNumId="39">
    <w:nsid w:val="5399C654"/>
    <w:multiLevelType w:val="hybridMultilevel"/>
    <w:lvl w:ilvl="0">
      <w:lvlJc w:val="left"/>
      <w:lvlText w:val="(%1)"/>
      <w:numFmt w:val="lowerLetter"/>
      <w:start w:val="2"/>
    </w:lvl>
  </w:abstractNum>
  <w:abstractNum w:abstractNumId="40">
    <w:nsid w:val="20EE1348"/>
    <w:multiLevelType w:val="hybridMultilevel"/>
    <w:lvl w:ilvl="0">
      <w:lvlJc w:val="left"/>
      <w:lvlText w:val="(%1)"/>
      <w:numFmt w:val="lowerLetter"/>
      <w:start w:val="1"/>
    </w:lvl>
  </w:abstractNum>
  <w:abstractNum w:abstractNumId="41">
    <w:nsid w:val="4427069A"/>
    <w:multiLevelType w:val="hybridMultilevel"/>
    <w:lvl w:ilvl="0">
      <w:lvlJc w:val="left"/>
      <w:lvlText w:val="(%1)"/>
      <w:numFmt w:val="lowerLetter"/>
      <w:start w:val="1"/>
    </w:lvl>
  </w:abstractNum>
  <w:abstractNum w:abstractNumId="42">
    <w:nsid w:val="B37E80A"/>
    <w:multiLevelType w:val="hybridMultilevel"/>
    <w:lvl w:ilvl="0">
      <w:lvlJc w:val="left"/>
      <w:lvlText w:val="%1."/>
      <w:numFmt w:val="upperLetter"/>
      <w:start w:val="35"/>
    </w:lvl>
  </w:abstractNum>
  <w:abstractNum w:abstractNumId="43">
    <w:nsid w:val="2157F6BC"/>
    <w:multiLevelType w:val="hybridMultilevel"/>
    <w:lvl w:ilvl="0">
      <w:lvlJc w:val="left"/>
      <w:lvlText w:val="%1"/>
      <w:numFmt w:val="lowerLetter"/>
      <w:start w:val="1"/>
    </w:lvl>
    <w:lvl w:ilvl="1">
      <w:lvlJc w:val="left"/>
      <w:lvlText w:val="(%2)"/>
      <w:numFmt w:val="lowerLetter"/>
      <w:start w:val="1"/>
    </w:lvl>
  </w:abstractNum>
  <w:abstractNum w:abstractNumId="44">
    <w:nsid w:val="704E1DD5"/>
    <w:multiLevelType w:val="hybridMultilevel"/>
    <w:lvl w:ilvl="0">
      <w:lvlJc w:val="left"/>
      <w:lvlText w:val="(%1)"/>
      <w:numFmt w:val="lowerLetter"/>
      <w:start w:val="9"/>
    </w:lvl>
    <w:lvl w:ilvl="1">
      <w:lvlJc w:val="left"/>
      <w:lvlText w:val="%2"/>
      <w:numFmt w:val="lowerLetter"/>
      <w:start w:val="1"/>
    </w:lvl>
  </w:abstractNum>
  <w:abstractNum w:abstractNumId="45">
    <w:nsid w:val="57D2F10E"/>
    <w:multiLevelType w:val="hybridMultilevel"/>
    <w:lvl w:ilvl="0">
      <w:lvlJc w:val="left"/>
      <w:lvlText w:val="(%1)"/>
      <w:numFmt w:val="lowerLetter"/>
      <w:start w:val="2"/>
    </w:lvl>
  </w:abstractNum>
  <w:abstractNum w:abstractNumId="46">
    <w:nsid w:val="BFFAE18"/>
    <w:multiLevelType w:val="hybridMultilevel"/>
    <w:lvl w:ilvl="0">
      <w:lvlJc w:val="left"/>
      <w:lvlText w:val="(%1)"/>
      <w:numFmt w:val="lowerLetter"/>
      <w:start w:val="4"/>
    </w:lvl>
  </w:abstractNum>
  <w:abstractNum w:abstractNumId="47">
    <w:nsid w:val="E3E47A8"/>
    <w:multiLevelType w:val="hybridMultilevel"/>
    <w:lvl w:ilvl="0">
      <w:lvlJc w:val="left"/>
      <w:lvlText w:val="(%1)"/>
      <w:numFmt w:val="lowerLetter"/>
      <w:start w:val="1"/>
    </w:lvl>
    <w:lvl w:ilvl="1">
      <w:lvlJc w:val="left"/>
      <w:lvlText w:val="(%2)"/>
      <w:numFmt w:val="lowerLetter"/>
      <w:start w:val="9"/>
    </w:lvl>
  </w:abstractNum>
  <w:abstractNum w:abstractNumId="48">
    <w:nsid w:val="2E48F044"/>
    <w:multiLevelType w:val="hybridMultilevel"/>
    <w:lvl w:ilvl="0">
      <w:lvlJc w:val="left"/>
      <w:lvlText w:val="%1"/>
      <w:numFmt w:val="upperLetter"/>
      <w:start w:val="1"/>
    </w:lvl>
    <w:lvl w:ilvl="1">
      <w:lvlJc w:val="left"/>
      <w:lvlText w:val="(%2)"/>
      <w:numFmt w:val="lowerRoman"/>
      <w:start w:val="2"/>
    </w:lvl>
  </w:abstractNum>
  <w:abstractNum w:abstractNumId="49">
    <w:nsid w:val="49D0FEAC"/>
    <w:multiLevelType w:val="hybridMultilevel"/>
    <w:lvl w:ilvl="0">
      <w:lvlJc w:val="left"/>
      <w:lvlText w:val="(%1)"/>
      <w:numFmt w:val="upperLetter"/>
      <w:start w:val="2"/>
    </w:lvl>
    <w:lvl w:ilvl="1">
      <w:lvlJc w:val="left"/>
      <w:lvlText w:val="%2"/>
      <w:numFmt w:val="lowerRoman"/>
      <w:start w:val="1"/>
    </w:lvl>
  </w:abstractNum>
  <w:abstractNum w:abstractNumId="50">
    <w:nsid w:val="4BEE5A5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1">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52">
    <w:nsid w:val="24F6AB8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3">
    <w:nsid w:val="634C574C"/>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54">
    <w:nsid w:val="24E99DD7"/>
    <w:multiLevelType w:val="hybridMultilevel"/>
    <w:lvl w:ilvl="0">
      <w:lvlJc w:val="left"/>
      <w:lvlText w:val="%1"/>
      <w:numFmt w:val="lowerLetter"/>
      <w:start w:val="1"/>
    </w:lvl>
    <w:lvl w:ilvl="1">
      <w:lvlJc w:val="left"/>
      <w:lvlText w:val="(%2)"/>
      <w:numFmt w:val="lowerRoman"/>
      <w:start w:val="2"/>
    </w:lvl>
  </w:abstractNum>
  <w:abstractNum w:abstractNumId="55">
    <w:nsid w:val="2A31B62D"/>
    <w:multiLevelType w:val="hybridMultilevel"/>
    <w:lvl w:ilvl="0">
      <w:lvlJc w:val="left"/>
      <w:lvlText w:val="(%1)"/>
      <w:numFmt w:val="lowerLetter"/>
      <w:start w:val="6"/>
    </w:lvl>
    <w:lvl w:ilvl="1">
      <w:lvlJc w:val="left"/>
      <w:lvlText w:val="%2"/>
      <w:numFmt w:val="lowerRoman"/>
      <w:start w:val="1"/>
    </w:lvl>
  </w:abstractNum>
  <w:abstractNum w:abstractNumId="56">
    <w:nsid w:val="1849C29B"/>
    <w:multiLevelType w:val="hybridMultilevel"/>
    <w:lvl w:ilvl="0">
      <w:lvlJc w:val="left"/>
      <w:lvlText w:val="(%1)"/>
      <w:numFmt w:val="lowerLetter"/>
      <w:start w:val="7"/>
    </w:lvl>
    <w:lvl w:ilvl="1">
      <w:lvlJc w:val="left"/>
      <w:lvlText w:val="(%2)"/>
      <w:numFmt w:val="lowerRoman"/>
      <w:start w:val="1"/>
    </w:lvl>
  </w:abstractNum>
  <w:abstractNum w:abstractNumId="57">
    <w:nsid w:val="7DFF9D09"/>
    <w:multiLevelType w:val="hybridMultilevel"/>
    <w:lvl w:ilvl="0">
      <w:lvlJc w:val="left"/>
      <w:lvlText w:val="%1"/>
      <w:numFmt w:val="lowerLetter"/>
      <w:start w:val="1"/>
    </w:lvl>
    <w:lvl w:ilvl="1">
      <w:lvlJc w:val="left"/>
      <w:lvlText w:val="(%2)"/>
      <w:numFmt w:val="lowerRoman"/>
      <w:start w:val="7"/>
    </w:lvl>
  </w:abstractNum>
  <w:abstractNum w:abstractNumId="58">
    <w:nsid w:val="754342"/>
    <w:multiLevelType w:val="hybridMultilevel"/>
    <w:lvl w:ilvl="0">
      <w:lvlJc w:val="left"/>
      <w:lvlText w:val="(%1)"/>
      <w:numFmt w:val="lowerLetter"/>
      <w:start w:val="8"/>
    </w:lvl>
    <w:lvl w:ilvl="1">
      <w:lvlJc w:val="left"/>
      <w:lvlText w:val="(%2)"/>
      <w:numFmt w:val="lowerRoman"/>
      <w:start w:val="1"/>
    </w:lvl>
  </w:abstractNum>
  <w:abstractNum w:abstractNumId="59">
    <w:nsid w:val="69E7F3E5"/>
    <w:multiLevelType w:val="hybridMultilevel"/>
    <w:lvl w:ilvl="0">
      <w:lvlJc w:val="left"/>
      <w:lvlText w:val="(%1)"/>
      <w:numFmt w:val="lowerRoman"/>
      <w:start w:val="3"/>
    </w:lvl>
  </w:abstractNum>
  <w:abstractNum w:abstractNumId="60">
    <w:nsid w:val="2A6DE806"/>
    <w:multiLevelType w:val="hybridMultilevel"/>
    <w:lvl w:ilvl="0">
      <w:lvlJc w:val="left"/>
      <w:lvlText w:val="(%1)"/>
      <w:numFmt w:val="lowerLetter"/>
      <w:start w:val="10"/>
    </w:lvl>
  </w:abstractNum>
  <w:abstractNum w:abstractNumId="61">
    <w:nsid w:val="1816F8C4"/>
    <w:multiLevelType w:val="hybridMultilevel"/>
    <w:lvl w:ilvl="0">
      <w:lvlJc w:val="left"/>
      <w:lvlText w:val="(%1)"/>
      <w:numFmt w:val="lowerLetter"/>
      <w:start w:val="13"/>
    </w:lvl>
  </w:abstractNum>
  <w:abstractNum w:abstractNumId="62">
    <w:nsid w:val="37DF2233"/>
    <w:multiLevelType w:val="hybridMultilevel"/>
    <w:lvl w:ilvl="0">
      <w:lvlJc w:val="left"/>
      <w:lvlText w:val="(%1)"/>
      <w:numFmt w:val="lowerLetter"/>
      <w:start w:val="17"/>
    </w:lvl>
    <w:lvl w:ilvl="1">
      <w:lvlJc w:val="left"/>
      <w:lvlText w:val="(%2)"/>
      <w:numFmt w:val="lowerRoman"/>
      <w:start w:val="1"/>
    </w:lvl>
  </w:abstractNum>
  <w:abstractNum w:abstractNumId="63">
    <w:nsid w:val="7AB49DAF"/>
    <w:multiLevelType w:val="hybridMultilevel"/>
    <w:lvl w:ilvl="0">
      <w:lvlJc w:val="left"/>
      <w:lvlText w:val="(%1)"/>
      <w:numFmt w:val="lowerLetter"/>
      <w:start w:val="19"/>
    </w:lvl>
  </w:abstractNum>
  <w:abstractNum w:abstractNumId="64">
    <w:nsid w:val="759F82CD"/>
    <w:multiLevelType w:val="hybridMultilevel"/>
    <w:lvl w:ilvl="0">
      <w:lvlJc w:val="left"/>
      <w:lvlText w:val="(%1)"/>
      <w:numFmt w:val="lowerLetter"/>
      <w:start w:val="1"/>
    </w:lvl>
    <w:lvl w:ilvl="1">
      <w:lvlJc w:val="left"/>
      <w:lvlText w:val="(%2)"/>
      <w:numFmt w:val="lowerLetter"/>
      <w:start w:val="9"/>
    </w:lvl>
  </w:abstractNum>
  <w:abstractNum w:abstractNumId="65">
    <w:nsid w:val="61E74EA3"/>
    <w:multiLevelType w:val="hybridMultilevel"/>
    <w:lvl w:ilvl="0">
      <w:lvlJc w:val="left"/>
      <w:lvlText w:val="(%1)"/>
      <w:numFmt w:val="lowerLetter"/>
      <w:start w:val="3"/>
    </w:lvl>
    <w:lvl w:ilvl="1">
      <w:lvlJc w:val="left"/>
      <w:lvlText w:val="(%2)"/>
      <w:numFmt w:val="lowerRoman"/>
      <w:start w:val="1"/>
    </w:lvl>
  </w:abstractNum>
  <w:abstractNum w:abstractNumId="66">
    <w:nsid w:val="597B4D84"/>
    <w:multiLevelType w:val="hybridMultilevel"/>
    <w:lvl w:ilvl="0">
      <w:lvlJc w:val="left"/>
      <w:lvlText w:val="%1"/>
      <w:numFmt w:val="lowerLetter"/>
      <w:start w:val="1"/>
    </w:lvl>
    <w:lvl w:ilvl="1">
      <w:lvlJc w:val="left"/>
      <w:lvlText w:val="(%2)"/>
      <w:numFmt w:val="lowerRoman"/>
      <w:start w:val="4"/>
    </w:lvl>
  </w:abstractNum>
  <w:abstractNum w:abstractNumId="67">
    <w:nsid w:val="F819E7F"/>
    <w:multiLevelType w:val="hybridMultilevel"/>
    <w:lvl w:ilvl="0">
      <w:lvlJc w:val="left"/>
      <w:lvlText w:val="(%1)"/>
      <w:numFmt w:val="lowerLetter"/>
      <w:start w:val="4"/>
    </w:lvl>
    <w:lvl w:ilvl="1">
      <w:lvlJc w:val="left"/>
      <w:lvlText w:val="(%2)"/>
      <w:numFmt w:val="lowerRoman"/>
      <w:start w:val="1"/>
    </w:lvl>
  </w:abstractNum>
  <w:abstractNum w:abstractNumId="68">
    <w:nsid w:val="57C7D42D"/>
    <w:multiLevelType w:val="hybridMultilevel"/>
    <w:lvl w:ilvl="0">
      <w:lvlJc w:val="left"/>
      <w:lvlText w:val="(%1)"/>
      <w:numFmt w:val="lowerLetter"/>
      <w:start w:val="1"/>
    </w:lvl>
    <w:lvl w:ilvl="1">
      <w:lvlJc w:val="left"/>
      <w:lvlText w:val="(%2)"/>
      <w:numFmt w:val="lowerLetter"/>
      <w:start w:val="9"/>
    </w:lvl>
  </w:abstractNum>
  <w:abstractNum w:abstractNumId="69">
    <w:nsid w:val="312167AD"/>
    <w:multiLevelType w:val="hybridMultilevel"/>
    <w:lvl w:ilvl="0">
      <w:lvlJc w:val="left"/>
      <w:lvlText w:val="%1"/>
      <w:numFmt w:val="upperLetter"/>
      <w:start w:val="1"/>
    </w:lvl>
    <w:lvl w:ilvl="1">
      <w:lvlJc w:val="left"/>
      <w:lvlText w:val="(%2)"/>
      <w:numFmt w:val="lowerRoman"/>
      <w:start w:val="2"/>
    </w:lvl>
  </w:abstractNum>
  <w:abstractNum w:abstractNumId="70">
    <w:nsid w:val="631B64D4"/>
    <w:multiLevelType w:val="hybridMultilevel"/>
    <w:lvl w:ilvl="0">
      <w:lvlJc w:val="left"/>
      <w:lvlText w:val="(%1)"/>
      <w:numFmt w:val="upperLetter"/>
      <w:start w:val="1"/>
    </w:lvl>
    <w:lvl w:ilvl="1">
      <w:lvlJc w:val="left"/>
      <w:lvlText w:val="%2"/>
      <w:numFmt w:val="lowerRoman"/>
      <w:start w:val="1"/>
    </w:lvl>
  </w:abstractNum>
  <w:abstractNum w:abstractNumId="71">
    <w:nsid w:val="78B5E776"/>
    <w:multiLevelType w:val="hybridMultilevel"/>
    <w:lvl w:ilvl="0">
      <w:lvlJc w:val="left"/>
      <w:lvlText w:val="(%1)"/>
      <w:numFmt w:val="lowerLetter"/>
      <w:start w:val="2"/>
    </w:lvl>
    <w:lvl w:ilvl="1">
      <w:lvlJc w:val="left"/>
      <w:lvlText w:val="(%2)"/>
      <w:numFmt w:val="lowerRoman"/>
      <w:start w:val="1"/>
    </w:lvl>
  </w:abstractNum>
  <w:abstractNum w:abstractNumId="72">
    <w:nsid w:val="75486E47"/>
    <w:multiLevelType w:val="hybridMultilevel"/>
    <w:lvl w:ilvl="0">
      <w:lvlJc w:val="left"/>
      <w:lvlText w:val="(%1)"/>
      <w:numFmt w:val="lowerRoman"/>
      <w:start w:val="3"/>
    </w:lvl>
  </w:abstractNum>
  <w:abstractNum w:abstractNumId="73">
    <w:nsid w:val="6E534CDE"/>
    <w:multiLevelType w:val="hybridMultilevel"/>
    <w:lvl w:ilvl="0">
      <w:lvlJc w:val="left"/>
      <w:lvlText w:val="%1"/>
      <w:numFmt w:val="upperLetter"/>
      <w:start w:val="1"/>
    </w:lvl>
    <w:lvl w:ilvl="1">
      <w:lvlJc w:val="left"/>
      <w:lvlText w:val="(%2)"/>
      <w:numFmt w:val="lowerLetter"/>
      <w:start w:val="1"/>
    </w:lvl>
  </w:abstractNum>
  <w:abstractNum w:abstractNumId="74">
    <w:nsid w:val="1A0DDE32"/>
    <w:multiLevelType w:val="hybridMultilevel"/>
    <w:lvl w:ilvl="0">
      <w:lvlJc w:val="left"/>
      <w:lvlText w:val="(%1)"/>
      <w:numFmt w:val="upperLetter"/>
      <w:start w:val="1"/>
    </w:lvl>
    <w:lvl w:ilvl="1">
      <w:lvlJc w:val="left"/>
      <w:lvlText w:val="(%2)"/>
      <w:numFmt w:val="lowerLetter"/>
      <w:start w:val="2"/>
    </w:lvl>
  </w:abstractNum>
  <w:abstractNum w:abstractNumId="75">
    <w:nsid w:val="65968C1C"/>
    <w:multiLevelType w:val="hybridMultilevel"/>
    <w:lvl w:ilvl="0">
      <w:lvlJc w:val="left"/>
      <w:lvlText w:val="(%1)"/>
      <w:numFmt w:val="lowerLetter"/>
      <w:start w:val="1"/>
    </w:lvl>
  </w:abstractNum>
  <w:abstractNum w:abstractNumId="76">
    <w:nsid w:val="46263DEC"/>
    <w:multiLevelType w:val="hybridMultilevel"/>
    <w:lvl w:ilvl="0">
      <w:lvlJc w:val="left"/>
      <w:lvlText w:val="(%1)"/>
      <w:numFmt w:val="lowerLetter"/>
      <w:start w:val="1"/>
    </w:lvl>
  </w:abstractNum>
  <w:abstractNum w:abstractNumId="77">
    <w:nsid w:val="260D8C4A"/>
    <w:multiLevelType w:val="hybridMultilevel"/>
    <w:lvl w:ilvl="0">
      <w:lvlJc w:val="left"/>
      <w:lvlText w:val="(%1)"/>
      <w:numFmt w:val="lowerLetter"/>
      <w:start w:val="2"/>
    </w:lvl>
    <w:lvl w:ilvl="1">
      <w:lvlJc w:val="left"/>
      <w:lvlText w:val="(%2)"/>
      <w:numFmt w:val="lowerRoman"/>
      <w:start w:val="1"/>
    </w:lvl>
  </w:abstractNum>
  <w:abstractNum w:abstractNumId="78">
    <w:nsid w:val="73D4D3C4"/>
    <w:multiLevelType w:val="hybridMultilevel"/>
    <w:lvl w:ilvl="0">
      <w:lvlJc w:val="left"/>
      <w:lvlText w:val="(%1)"/>
      <w:numFmt w:val="lowerLetter"/>
      <w:start w:val="1"/>
    </w:lvl>
  </w:abstractNum>
  <w:abstractNum w:abstractNumId="79">
    <w:nsid w:val="746F2E30"/>
    <w:multiLevelType w:val="hybridMultilevel"/>
    <w:lvl w:ilvl="0">
      <w:lvlJc w:val="left"/>
      <w:lvlText w:val="(%1)"/>
      <w:numFmt w:val="lowerLetter"/>
      <w:start w:val="2"/>
    </w:lvl>
    <w:lvl w:ilvl="1">
      <w:lvlJc w:val="left"/>
      <w:lvlText w:val="(%2)"/>
      <w:numFmt w:val="lowerRoman"/>
      <w:start w:val="1"/>
    </w:lvl>
  </w:abstractNum>
  <w:abstractNum w:abstractNumId="80">
    <w:nsid w:val="6FDE8AF6"/>
    <w:multiLevelType w:val="hybridMultilevel"/>
    <w:lvl w:ilvl="0">
      <w:lvlJc w:val="left"/>
      <w:lvlText w:val="(%1)"/>
      <w:numFmt w:val="lowerLetter"/>
      <w:start w:val="1"/>
    </w:lvl>
  </w:abstractNum>
  <w:abstractNum w:abstractNumId="81">
    <w:nsid w:val="3FC32E20"/>
    <w:multiLevelType w:val="hybridMultilevel"/>
    <w:lvl w:ilvl="0">
      <w:lvlJc w:val="left"/>
      <w:lvlText w:val="(%1)"/>
      <w:numFmt w:val="lowerLetter"/>
      <w:start w:val="1"/>
    </w:lvl>
  </w:abstractNum>
  <w:abstractNum w:abstractNumId="82">
    <w:nsid w:val="49C0E823"/>
    <w:multiLevelType w:val="hybridMultilevel"/>
    <w:lvl w:ilvl="0">
      <w:lvlJc w:val="left"/>
      <w:lvlText w:val="(%1)"/>
      <w:numFmt w:val="lowerLetter"/>
      <w:start w:val="2"/>
    </w:lvl>
  </w:abstractNum>
  <w:abstractNum w:abstractNumId="83">
    <w:nsid w:val="14D53685"/>
    <w:multiLevelType w:val="hybridMultilevel"/>
    <w:lvl w:ilvl="0">
      <w:lvlJc w:val="left"/>
      <w:lvlText w:val="(%1)"/>
      <w:numFmt w:val="lowerLetter"/>
      <w:start w:val="1"/>
    </w:lvl>
  </w:abstractNum>
  <w:abstractNum w:abstractNumId="84">
    <w:nsid w:val="230F856C"/>
    <w:multiLevelType w:val="hybridMultilevel"/>
    <w:lvl w:ilvl="0">
      <w:lvlJc w:val="left"/>
      <w:lvlText w:val="(%1)"/>
      <w:numFmt w:val="lowerLetter"/>
      <w:start w:val="2"/>
    </w:lvl>
    <w:lvl w:ilvl="1">
      <w:lvlJc w:val="left"/>
      <w:lvlText w:val="(%2)"/>
      <w:numFmt w:val="lowerLetter"/>
      <w:start w:val="9"/>
    </w:lvl>
  </w:abstractNum>
  <w:abstractNum w:abstractNumId="85">
    <w:nsid w:val="6EAA85FB"/>
    <w:multiLevelType w:val="hybridMultilevel"/>
    <w:lvl w:ilvl="0">
      <w:lvlJc w:val="left"/>
      <w:lvlText w:val="(%1)"/>
      <w:numFmt w:val="lowerLetter"/>
      <w:start w:val="3"/>
    </w:lvl>
  </w:abstractNum>
  <w:abstractNum w:abstractNumId="86">
    <w:nsid w:val="3F06ECB2"/>
    <w:multiLevelType w:val="hybridMultilevel"/>
    <w:lvl w:ilvl="0">
      <w:lvlJc w:val="left"/>
      <w:lvlText w:val="(%1)"/>
      <w:numFmt w:val="lowerLetter"/>
      <w:start w:val="4"/>
    </w:lvl>
  </w:abstractNum>
  <w:abstractNum w:abstractNumId="87">
    <w:nsid w:val="3B594807"/>
    <w:multiLevelType w:val="hybridMultilevel"/>
    <w:lvl w:ilvl="0">
      <w:lvlJc w:val="left"/>
      <w:lvlText w:val="(%1)"/>
      <w:numFmt w:val="lowerRoman"/>
      <w:start w:val="1"/>
    </w:lvl>
  </w:abstractNum>
  <w:abstractNum w:abstractNumId="88">
    <w:nsid w:val="6CAA2304"/>
    <w:multiLevelType w:val="hybridMultilevel"/>
    <w:lvl w:ilvl="0">
      <w:lvlJc w:val="left"/>
      <w:lvlText w:val="(%1)"/>
      <w:numFmt w:val="lowerLetter"/>
      <w:start w:val="1"/>
    </w:lvl>
  </w:abstractNum>
  <w:abstractNum w:abstractNumId="89">
    <w:nsid w:val="3F7C2FF4"/>
    <w:multiLevelType w:val="hybridMultilevel"/>
    <w:lvl w:ilvl="0">
      <w:lvlJc w:val="left"/>
      <w:lvlText w:val="(%1)"/>
      <w:numFmt w:val="lowerLetter"/>
      <w:start w:val="3"/>
    </w:lvl>
  </w:abstractNum>
  <w:abstractNum w:abstractNumId="90">
    <w:nsid w:val="25413BEC"/>
    <w:multiLevelType w:val="hybridMultilevel"/>
    <w:lvl w:ilvl="0">
      <w:lvlJc w:val="left"/>
      <w:lvlText w:val="(%1)"/>
      <w:numFmt w:val="lowerLetter"/>
      <w:start w:val="1"/>
    </w:lvl>
    <w:lvl w:ilvl="1">
      <w:lvlJc w:val="left"/>
      <w:lvlText w:val="(%2)"/>
      <w:numFmt w:val="lowerRoman"/>
      <w:start w:val="1"/>
    </w:lvl>
  </w:abstractNum>
  <w:abstractNum w:abstractNumId="91">
    <w:nsid w:val="17180B0B"/>
    <w:multiLevelType w:val="hybridMultilevel"/>
    <w:lvl w:ilvl="0">
      <w:lvlJc w:val="left"/>
      <w:lvlText w:val="(%1)"/>
      <w:numFmt w:val="lowerRoman"/>
      <w:start w:val="3"/>
    </w:lvl>
    <w:lvl w:ilvl="1">
      <w:lvlJc w:val="left"/>
      <w:lvlText w:val="(%2)"/>
      <w:numFmt w:val="upperLetter"/>
      <w:start w:val="1"/>
    </w:lvl>
  </w:abstractNum>
  <w:abstractNum w:abstractNumId="92">
    <w:nsid w:val="579328B9"/>
    <w:multiLevelType w:val="hybridMultilevel"/>
    <w:lvl w:ilvl="0">
      <w:lvlJc w:val="left"/>
      <w:lvlText w:val="%1"/>
      <w:numFmt w:val="upperLetter"/>
      <w:start w:val="1"/>
    </w:lvl>
    <w:lvl w:ilvl="1">
      <w:lvlJc w:val="left"/>
      <w:lvlText w:val="(%2)"/>
      <w:numFmt w:val="lowerRoman"/>
      <w:start w:val="4"/>
    </w:lvl>
  </w:abstractNum>
  <w:abstractNum w:abstractNumId="93">
    <w:nsid w:val="5D205E20"/>
    <w:multiLevelType w:val="hybridMultilevel"/>
    <w:lvl w:ilvl="0">
      <w:lvlJc w:val="left"/>
      <w:lvlText w:val="(%1)"/>
      <w:numFmt w:val="upperLetter"/>
      <w:start w:val="2"/>
    </w:lvl>
    <w:lvl w:ilvl="1">
      <w:lvlJc w:val="left"/>
      <w:lvlText w:val="%2"/>
      <w:numFmt w:val="lowerRoman"/>
      <w:start w:val="1"/>
    </w:lvl>
  </w:abstractNum>
  <w:abstractNum w:abstractNumId="94">
    <w:nsid w:val="11CCA8BA"/>
    <w:multiLevelType w:val="hybridMultilevel"/>
    <w:lvl w:ilvl="0">
      <w:lvlJc w:val="left"/>
      <w:lvlText w:val="(%1)"/>
      <w:numFmt w:val="lowerLetter"/>
      <w:start w:val="2"/>
    </w:lvl>
  </w:abstractNum>
  <w:abstractNum w:abstractNumId="95">
    <w:nsid w:val="4D32AB86"/>
    <w:multiLevelType w:val="hybridMultilevel"/>
    <w:lvl w:ilvl="0">
      <w:lvlJc w:val="left"/>
      <w:lvlText w:val="(%1)"/>
      <w:numFmt w:val="lowerLetter"/>
      <w:start w:val="1"/>
    </w:lvl>
  </w:abstractNum>
  <w:abstractNum w:abstractNumId="96">
    <w:nsid w:val="3F07ACC3"/>
    <w:multiLevelType w:val="hybridMultilevel"/>
    <w:lvl w:ilvl="0">
      <w:lvlJc w:val="left"/>
      <w:lvlText w:val="%1"/>
      <w:numFmt w:val="upperLetter"/>
      <w:start w:val="1"/>
    </w:lvl>
    <w:lvl w:ilvl="1">
      <w:lvlJc w:val="left"/>
      <w:lvlText w:val="(%2)"/>
      <w:numFmt w:val="lowerLetter"/>
      <w:start w:val="2"/>
    </w:lvl>
  </w:abstractNum>
  <w:abstractNum w:abstractNumId="97">
    <w:nsid w:val="6B47F63E"/>
    <w:multiLevelType w:val="hybridMultilevel"/>
    <w:lvl w:ilvl="0">
      <w:lvlJc w:val="left"/>
      <w:lvlText w:val="%1."/>
      <w:numFmt w:val="upperLetter"/>
      <w:start w:val="61"/>
    </w:lvl>
    <w:lvl w:ilvl="1">
      <w:lvlJc w:val="left"/>
      <w:lvlText w:val="%2"/>
      <w:numFmt w:val="lowerLetter"/>
      <w:start w:val="1"/>
    </w:lvl>
  </w:abstractNum>
  <w:abstractNum w:abstractNumId="98">
    <w:nsid w:val="5CB44A05"/>
    <w:multiLevelType w:val="hybridMultilevel"/>
    <w:lvl w:ilvl="0">
      <w:lvlJc w:val="left"/>
      <w:lvlText w:val="(%1)"/>
      <w:numFmt w:val="lowerLetter"/>
      <w:start w:val="1"/>
    </w:lvl>
  </w:abstractNum>
  <w:abstractNum w:abstractNumId="99">
    <w:nsid w:val="16CF80F1"/>
    <w:multiLevelType w:val="hybridMultilevel"/>
    <w:lvl w:ilvl="0">
      <w:lvlJc w:val="left"/>
      <w:lvlText w:val="(%1)"/>
      <w:numFmt w:val="lowerLetter"/>
      <w:start w:val="2"/>
    </w:lvl>
    <w:lvl w:ilvl="1">
      <w:lvlJc w:val="left"/>
      <w:lvlText w:val="(%2)"/>
      <w:numFmt w:val="lowerRoman"/>
      <w:start w:val="1"/>
    </w:lvl>
  </w:abstractNum>
  <w:abstractNum w:abstractNumId="100">
    <w:nsid w:val="1C695DE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1">
    <w:nsid w:val="3FCFAED9"/>
    <w:multiLevelType w:val="hybridMultilevel"/>
    <w:lvl w:ilvl="0">
      <w:lvlJc w:val="left"/>
      <w:lvlText w:val="%1"/>
      <w:numFmt w:val="lowerLetter"/>
      <w:start w:val="1"/>
    </w:lvl>
    <w:lvl w:ilvl="1">
      <w:lvlJc w:val="left"/>
      <w:lvlText w:val="(%2)"/>
      <w:numFmt w:val="decimal"/>
      <w:start w:val="2"/>
    </w:lvl>
  </w:abstractNum>
  <w:abstractNum w:abstractNumId="102">
    <w:nsid w:val="F856867"/>
    <w:multiLevelType w:val="hybridMultilevel"/>
    <w:lvl w:ilvl="0">
      <w:lvlJc w:val="left"/>
      <w:lvlText w:val="(%1)"/>
      <w:numFmt w:val="lowerLetter"/>
      <w:start w:val="25"/>
    </w:lvl>
    <w:lvl w:ilvl="1">
      <w:lvlJc w:val="left"/>
      <w:lvlText w:val="(%2)"/>
      <w:numFmt w:val="decimal"/>
      <w:start w:val="4"/>
    </w:lvl>
  </w:abstractNum>
  <w:abstractNum w:abstractNumId="103">
    <w:nsid w:val="11B1CC33"/>
    <w:multiLevelType w:val="hybridMultilevel"/>
    <w:lvl w:ilvl="0">
      <w:lvlJc w:val="left"/>
      <w:lvlText w:val="(%1)"/>
      <w:numFmt w:val="upperLetter"/>
      <w:start w:val="3"/>
    </w:lvl>
  </w:abstractNum>
  <w:abstractNum w:abstractNumId="104">
    <w:nsid w:val="2E22FBB7"/>
    <w:multiLevelType w:val="hybridMultilevel"/>
    <w:lvl w:ilvl="0">
      <w:lvlJc w:val="left"/>
      <w:lvlText w:val="%1"/>
      <w:numFmt w:val="lowerLetter"/>
      <w:start w:val="1"/>
    </w:lvl>
    <w:lvl w:ilvl="1">
      <w:lvlJc w:val="left"/>
      <w:lvlText w:val="(%2)"/>
      <w:numFmt w:val="lowerLetter"/>
      <w:start w:val="61"/>
    </w:lvl>
  </w:abstractNum>
  <w:abstractNum w:abstractNumId="105">
    <w:nsid w:val="29934699"/>
    <w:multiLevelType w:val="hybridMultilevel"/>
    <w:lvl w:ilvl="0">
      <w:lvlJc w:val="left"/>
      <w:lvlText w:val="(%1)"/>
      <w:numFmt w:val="lowerLetter"/>
      <w:start w:val="7"/>
    </w:lvl>
    <w:lvl w:ilvl="1">
      <w:lvlJc w:val="left"/>
      <w:lvlText w:val="%2"/>
      <w:numFmt w:val="lowerLetter"/>
      <w:start w:val="1"/>
    </w:lvl>
  </w:abstractNum>
  <w:abstractNum w:abstractNumId="106">
    <w:nsid w:val="77485850"/>
    <w:multiLevelType w:val="hybridMultilevel"/>
    <w:lvl w:ilvl="0">
      <w:lvlJc w:val="left"/>
      <w:lvlText w:val="%1"/>
      <w:numFmt w:val="lowerLetter"/>
      <w:start w:val="1"/>
    </w:lvl>
    <w:lvl w:ilvl="1">
      <w:lvlJc w:val="left"/>
      <w:lvlText w:val="(%2)"/>
      <w:numFmt w:val="lowerLetter"/>
      <w:start w:val="1"/>
    </w:lvl>
  </w:abstractNum>
  <w:abstractNum w:abstractNumId="107">
    <w:nsid w:val="744939A3"/>
    <w:multiLevelType w:val="hybridMultilevel"/>
    <w:lvl w:ilvl="0">
      <w:lvlJc w:val="left"/>
      <w:lvlText w:val="(%1)"/>
      <w:numFmt w:val="lowerLetter"/>
      <w:start w:val="25"/>
    </w:lvl>
    <w:lvl w:ilvl="1">
      <w:lvlJc w:val="left"/>
      <w:lvlText w:val="%2"/>
      <w:numFmt w:val="lowerLetter"/>
      <w:start w:val="1"/>
    </w:lvl>
  </w:abstractNum>
  <w:abstractNum w:abstractNumId="108">
    <w:nsid w:val="4FA0D2E3"/>
    <w:multiLevelType w:val="hybridMultilevel"/>
    <w:lvl w:ilvl="0">
      <w:lvlJc w:val="left"/>
      <w:lvlText w:val="(%1)"/>
      <w:numFmt w:val="lowerLetter"/>
      <w:start w:val="2"/>
    </w:lvl>
    <w:lvl w:ilvl="1">
      <w:lvlJc w:val="left"/>
      <w:lvlText w:val="(%2)"/>
      <w:numFmt w:val="lowerRoman"/>
      <w:start w:val="1"/>
    </w:lvl>
  </w:abstractNum>
  <w:abstractNum w:abstractNumId="109">
    <w:nsid w:val="6B1D2C14"/>
    <w:multiLevelType w:val="hybridMultilevel"/>
    <w:lvl w:ilvl="0">
      <w:lvlJc w:val="left"/>
      <w:lvlText w:val="(%1)"/>
      <w:numFmt w:val="lowerLetter"/>
      <w:start w:val="4"/>
    </w:lvl>
  </w:abstractNum>
  <w:abstractNum w:abstractNumId="110">
    <w:nsid w:val="68B867D3"/>
    <w:multiLevelType w:val="hybridMultilevel"/>
    <w:lvl w:ilvl="0">
      <w:lvlJc w:val="left"/>
      <w:lvlText w:val="(%1)"/>
      <w:numFmt w:val="lowerLetter"/>
      <w:start w:val="1"/>
    </w:lvl>
    <w:lvl w:ilvl="1">
      <w:lvlJc w:val="left"/>
      <w:lvlText w:val="(%2)"/>
      <w:numFmt w:val="lowerRoman"/>
      <w:start w:val="1"/>
    </w:lvl>
  </w:abstractNum>
  <w:abstractNum w:abstractNumId="111">
    <w:nsid w:val="3F7F5DD9"/>
    <w:multiLevelType w:val="hybridMultilevel"/>
    <w:lvl w:ilvl="0">
      <w:lvlJc w:val="left"/>
      <w:lvlText w:val="(%1)"/>
      <w:numFmt w:val="lowerRoman"/>
      <w:start w:val="3"/>
    </w:lvl>
  </w:abstractNum>
  <w:abstractNum w:abstractNumId="112">
    <w:nsid w:val="2AE05A34"/>
    <w:multiLevelType w:val="hybridMultilevel"/>
    <w:lvl w:ilvl="0">
      <w:lvlJc w:val="left"/>
      <w:lvlText w:val="(%1)"/>
      <w:numFmt w:val="lowerLetter"/>
      <w:start w:val="2"/>
    </w:lvl>
  </w:abstractNum>
  <w:abstractNum w:abstractNumId="113">
    <w:nsid w:val="32794FF7"/>
    <w:multiLevelType w:val="hybridMultilevel"/>
    <w:lvl w:ilvl="0">
      <w:lvlJc w:val="left"/>
      <w:lvlText w:val="(%1)"/>
      <w:numFmt w:val="lowerLetter"/>
      <w:start w:val="6"/>
    </w:lvl>
  </w:abstractNum>
  <w:abstractNum w:abstractNumId="114">
    <w:nsid w:val="5454945E"/>
    <w:multiLevelType w:val="hybridMultilevel"/>
    <w:lvl w:ilvl="0">
      <w:lvlJc w:val="left"/>
      <w:lvlText w:val="(%1)"/>
      <w:numFmt w:val="lowerLetter"/>
      <w:start w:val="1"/>
    </w:lvl>
  </w:abstractNum>
  <w:abstractNum w:abstractNumId="115">
    <w:nsid w:val="4DEFDFA0"/>
    <w:multiLevelType w:val="hybridMultilevel"/>
    <w:lvl w:ilvl="0">
      <w:lvlJc w:val="left"/>
      <w:lvlText w:val="(%1)"/>
      <w:numFmt w:val="lowerLetter"/>
      <w:start w:val="1"/>
    </w:lvl>
  </w:abstractNum>
  <w:abstractNum w:abstractNumId="116">
    <w:nsid w:val="2123D5F2"/>
    <w:multiLevelType w:val="hybridMultilevel"/>
    <w:lvl w:ilvl="0">
      <w:lvlJc w:val="left"/>
      <w:lvlText w:val="(%1)"/>
      <w:numFmt w:val="lowerLetter"/>
      <w:start w:val="1"/>
    </w:lvl>
  </w:abstractNum>
  <w:abstractNum w:abstractNumId="117">
    <w:nsid w:val="135B8110"/>
    <w:multiLevelType w:val="hybridMultilevel"/>
    <w:lvl w:ilvl="0">
      <w:lvlJc w:val="left"/>
      <w:lvlText w:val="(%1)"/>
      <w:numFmt w:val="lowerLetter"/>
      <w:start w:val="4"/>
    </w:lvl>
    <w:lvl w:ilvl="1">
      <w:lvlJc w:val="left"/>
      <w:lvlText w:val="(%2)"/>
      <w:numFmt w:val="lowerRoman"/>
      <w:start w:val="1"/>
    </w:lvl>
  </w:abstractNum>
  <w:abstractNum w:abstractNumId="118">
    <w:nsid w:val="94927A8"/>
    <w:multiLevelType w:val="hybridMultilevel"/>
    <w:lvl w:ilvl="0">
      <w:lvlJc w:val="left"/>
      <w:lvlText w:val="(%1)"/>
      <w:numFmt w:val="lowerLetter"/>
      <w:start w:val="11"/>
    </w:lvl>
  </w:abstractNum>
  <w:abstractNum w:abstractNumId="119">
    <w:nsid w:val="DCDF8F6"/>
    <w:multiLevelType w:val="hybridMultilevel"/>
    <w:lvl w:ilvl="0">
      <w:lvlJc w:val="left"/>
      <w:lvlText w:val="(%1)"/>
      <w:numFmt w:val="lowerLetter"/>
      <w:start w:val="1"/>
    </w:lvl>
  </w:abstractNum>
  <w:abstractNum w:abstractNumId="120">
    <w:nsid w:val="52D7B105"/>
    <w:multiLevelType w:val="hybridMultilevel"/>
    <w:lvl w:ilvl="0">
      <w:lvlJc w:val="left"/>
      <w:lvlText w:val="(%1)"/>
      <w:numFmt w:val="lowerLetter"/>
      <w:start w:val="2"/>
    </w:lvl>
  </w:abstractNum>
  <w:abstractNum w:abstractNumId="121">
    <w:nsid w:val="2E8A6394"/>
    <w:multiLevelType w:val="hybridMultilevel"/>
    <w:lvl w:ilvl="0">
      <w:lvlJc w:val="left"/>
      <w:lvlText w:val="%1."/>
      <w:numFmt w:val="upperLetter"/>
      <w:start w:val="22"/>
    </w:lvl>
  </w:abstractNum>
  <w:abstractNum w:abstractNumId="122">
    <w:nsid w:val="24E60401"/>
    <w:multiLevelType w:val="hybridMultilevel"/>
    <w:lvl w:ilvl="0">
      <w:lvlJc w:val="left"/>
      <w:lvlText w:val="(%1)"/>
      <w:numFmt w:val="lowerLetter"/>
      <w:start w:val="1"/>
    </w:lvl>
  </w:abstractNum>
  <w:abstractNum w:abstractNumId="123">
    <w:nsid w:val="2A6AD9BE"/>
    <w:multiLevelType w:val="hybridMultilevel"/>
    <w:lvl w:ilvl="0">
      <w:lvlJc w:val="left"/>
      <w:lvlText w:val="(%1)"/>
      <w:numFmt w:val="lowerLetter"/>
      <w:start w:val="1"/>
    </w:lvl>
  </w:abstractNum>
  <w:abstractNum w:abstractNumId="124">
    <w:nsid w:val="BAAC1B4"/>
    <w:multiLevelType w:val="hybridMultilevel"/>
    <w:lvl w:ilvl="0">
      <w:lvlJc w:val="left"/>
      <w:lvlText w:val="%1"/>
      <w:numFmt w:val="lowerLetter"/>
      <w:start w:val="1"/>
    </w:lvl>
    <w:lvl w:ilvl="1">
      <w:lvlJc w:val="left"/>
      <w:lvlText w:val="(%2)"/>
      <w:numFmt w:val="lowerLetter"/>
      <w:start w:val="1"/>
    </w:lvl>
  </w:abstractNum>
  <w:abstractNum w:abstractNumId="125">
    <w:nsid w:val="36B2ACBC"/>
    <w:multiLevelType w:val="hybridMultilevel"/>
    <w:lvl w:ilvl="0">
      <w:lvlJc w:val="left"/>
      <w:lvlText w:val="(%1)"/>
      <w:numFmt w:val="lowerLetter"/>
      <w:start w:val="35"/>
    </w:lvl>
    <w:lvl w:ilvl="1">
      <w:lvlJc w:val="left"/>
      <w:lvlText w:val="(%2)"/>
      <w:numFmt w:val="lowerLetter"/>
      <w:start w:val="5"/>
    </w:lvl>
  </w:abstractNum>
  <w:abstractNum w:abstractNumId="126">
    <w:nsid w:val="779D8544"/>
    <w:multiLevelType w:val="hybridMultilevel"/>
    <w:lvl w:ilvl="0">
      <w:lvlJc w:val="left"/>
      <w:lvlText w:val="(%1)"/>
      <w:numFmt w:val="lowerLetter"/>
      <w:start w:val="1"/>
    </w:lvl>
  </w:abstractNum>
  <w:abstractNum w:abstractNumId="127">
    <w:nsid w:val="4AB26E78"/>
    <w:multiLevelType w:val="hybridMultilevel"/>
    <w:lvl w:ilvl="0">
      <w:lvlJc w:val="left"/>
      <w:lvlText w:val="(%1)"/>
      <w:numFmt w:val="lowerLetter"/>
      <w:start w:val="2"/>
    </w:lvl>
  </w:abstractNum>
  <w:abstractNum w:abstractNumId="128">
    <w:nsid w:val="21FAA2FA"/>
    <w:multiLevelType w:val="hybridMultilevel"/>
    <w:lvl w:ilvl="0">
      <w:lvlJc w:val="left"/>
      <w:lvlText w:val="(%1)"/>
      <w:numFmt w:val="lowerLetter"/>
      <w:start w:val="1"/>
    </w:lvl>
  </w:abstractNum>
  <w:abstractNum w:abstractNumId="129">
    <w:nsid w:val="5451CF49"/>
    <w:multiLevelType w:val="hybridMultilevel"/>
    <w:lvl w:ilvl="0">
      <w:lvlJc w:val="left"/>
      <w:lvlText w:val="(%1)"/>
      <w:numFmt w:val="lowerLetter"/>
      <w:start w:val="2"/>
    </w:lvl>
  </w:abstractNum>
  <w:abstractNum w:abstractNumId="130">
    <w:nsid w:val="6181EF69"/>
    <w:multiLevelType w:val="hybridMultilevel"/>
    <w:lvl w:ilvl="0">
      <w:lvlJc w:val="left"/>
      <w:lvlText w:val="%1"/>
      <w:numFmt w:val="lowerRoman"/>
      <w:start w:val="1"/>
    </w:lvl>
    <w:lvl w:ilvl="1">
      <w:lvlJc w:val="left"/>
      <w:lvlText w:val="(%2)"/>
      <w:numFmt w:val="lowerLetter"/>
      <w:start w:val="1"/>
    </w:lvl>
  </w:abstractNum>
  <w:abstractNum w:abstractNumId="131">
    <w:nsid w:val="3E6400E6"/>
    <w:multiLevelType w:val="hybridMultilevel"/>
    <w:lvl w:ilvl="0">
      <w:lvlJc w:val="left"/>
      <w:lvlText w:val="(%1)"/>
      <w:numFmt w:val="lowerRoman"/>
      <w:start w:val="8"/>
    </w:lvl>
    <w:lvl w:ilvl="1">
      <w:lvlJc w:val="left"/>
      <w:lvlText w:val="%2"/>
      <w:numFmt w:val="lowerLetter"/>
      <w:start w:val="1"/>
    </w:lvl>
  </w:abstractNum>
  <w:abstractNum w:abstractNumId="132">
    <w:nsid w:val="14217E23"/>
    <w:multiLevelType w:val="hybridMultilevel"/>
    <w:lvl w:ilvl="0">
      <w:lvlJc w:val="left"/>
      <w:lvlText w:val="%1"/>
      <w:numFmt w:val="lowerLetter"/>
      <w:start w:val="1"/>
    </w:lvl>
    <w:lvl w:ilvl="1">
      <w:lvlJc w:val="left"/>
      <w:lvlText w:val="(%2)"/>
      <w:numFmt w:val="lowerLetter"/>
      <w:start w:val="1"/>
    </w:lvl>
  </w:abstractNum>
  <w:abstractNum w:abstractNumId="133">
    <w:nsid w:val="710757D0"/>
    <w:multiLevelType w:val="hybridMultilevel"/>
    <w:lvl w:ilvl="0">
      <w:lvlJc w:val="left"/>
      <w:lvlText w:val="(%1)"/>
      <w:numFmt w:val="lowerLetter"/>
      <w:start w:val="35"/>
    </w:lvl>
    <w:lvl w:ilvl="1">
      <w:lvlJc w:val="left"/>
      <w:lvlText w:val="%2"/>
      <w:numFmt w:val="lowerLetter"/>
      <w:start w:val="1"/>
    </w:lvl>
  </w:abstractNum>
  <w:abstractNum w:abstractNumId="134">
    <w:nsid w:val="5015CD1A"/>
    <w:multiLevelType w:val="hybridMultilevel"/>
    <w:lvl w:ilvl="0">
      <w:lvlJc w:val="left"/>
      <w:lvlText w:val="(%1)"/>
      <w:numFmt w:val="lowerLetter"/>
      <w:start w:val="1"/>
    </w:lvl>
  </w:abstractNum>
  <w:abstractNum w:abstractNumId="135">
    <w:nsid w:val="424479DA"/>
    <w:multiLevelType w:val="hybridMultilevel"/>
    <w:lvl w:ilvl="0">
      <w:lvlJc w:val="left"/>
      <w:lvlText w:val="(%1)"/>
      <w:numFmt w:val="lowerLetter"/>
      <w:start w:val="3"/>
    </w:lvl>
  </w:abstractNum>
  <w:abstractNum w:abstractNumId="136">
    <w:nsid w:val="1A9A9E69"/>
    <w:multiLevelType w:val="hybridMultilevel"/>
    <w:lvl w:ilvl="0">
      <w:lvlJc w:val="left"/>
      <w:lvlText w:val="(%1)"/>
      <w:numFmt w:val="lowerLetter"/>
      <w:start w:val="1"/>
    </w:lvl>
  </w:abstractNum>
  <w:abstractNum w:abstractNumId="137">
    <w:nsid w:val="475E256A"/>
    <w:multiLevelType w:val="hybridMultilevel"/>
    <w:lvl w:ilvl="0">
      <w:lvlJc w:val="left"/>
      <w:lvlText w:val="(%1)"/>
      <w:numFmt w:val="lowerLetter"/>
      <w:start w:val="5"/>
    </w:lvl>
  </w:abstractNum>
  <w:abstractNum w:abstractNumId="138">
    <w:nsid w:val="368DB37E"/>
    <w:multiLevelType w:val="hybridMultilevel"/>
    <w:lvl w:ilvl="0">
      <w:lvlJc w:val="left"/>
      <w:lvlText w:val="(%1)"/>
      <w:numFmt w:val="lowerLetter"/>
      <w:start w:val="14"/>
    </w:lvl>
  </w:abstractNum>
  <w:abstractNum w:abstractNumId="139">
    <w:nsid w:val="6A3B714C"/>
    <w:multiLevelType w:val="hybridMultilevel"/>
    <w:lvl w:ilvl="0">
      <w:lvlJc w:val="left"/>
      <w:lvlText w:val="(%1)"/>
      <w:numFmt w:val="lowerLetter"/>
      <w:start w:val="1"/>
    </w:lvl>
  </w:abstractNum>
  <w:abstractNum w:abstractNumId="140">
    <w:nsid w:val="327B517E"/>
    <w:multiLevelType w:val="hybridMultilevel"/>
    <w:lvl w:ilvl="0">
      <w:lvlJc w:val="left"/>
      <w:lvlText w:val="(%1)"/>
      <w:numFmt w:val="lowerLetter"/>
      <w:start w:val="3"/>
    </w:lvl>
  </w:abstractNum>
  <w:abstractNum w:abstractNumId="141">
    <w:nsid w:val="1F461B51"/>
    <w:multiLevelType w:val="hybridMultilevel"/>
    <w:lvl w:ilvl="0">
      <w:lvlJc w:val="left"/>
      <w:lvlText w:val="(%1)"/>
      <w:numFmt w:val="lowerLetter"/>
      <w:start w:val="1"/>
    </w:lvl>
  </w:abstractNum>
  <w:abstractNum w:abstractNumId="142">
    <w:nsid w:val="29BACF25"/>
    <w:multiLevelType w:val="hybridMultilevel"/>
    <w:lvl w:ilvl="0">
      <w:lvlJc w:val="left"/>
      <w:lvlText w:val="(%1)"/>
      <w:numFmt w:val="lowerLetter"/>
      <w:start w:val="1"/>
    </w:lvl>
  </w:abstractNum>
  <w:abstractNum w:abstractNumId="143">
    <w:nsid w:val="5D5BABB3"/>
    <w:multiLevelType w:val="hybridMultilevel"/>
    <w:lvl w:ilvl="0">
      <w:lvlJc w:val="left"/>
      <w:lvlText w:val="(%1)"/>
      <w:numFmt w:val="lowerLetter"/>
      <w:start w:val="3"/>
    </w:lvl>
  </w:abstractNum>
  <w:abstractNum w:abstractNumId="144">
    <w:nsid w:val="51BF6B48"/>
    <w:multiLevelType w:val="hybridMultilevel"/>
    <w:lvl w:ilvl="0">
      <w:lvlJc w:val="left"/>
      <w:lvlText w:val="(%1)"/>
      <w:numFmt w:val="lowerLetter"/>
      <w:start w:val="1"/>
    </w:lvl>
  </w:abstractNum>
  <w:abstractNum w:abstractNumId="145">
    <w:nsid w:val="7E0F6384"/>
    <w:multiLevelType w:val="hybridMultilevel"/>
    <w:lvl w:ilvl="0">
      <w:lvlJc w:val="left"/>
      <w:lvlText w:val="(%1)"/>
      <w:numFmt w:val="lowerLetter"/>
      <w:start w:val="1"/>
    </w:lvl>
  </w:abstractNum>
  <w:abstractNum w:abstractNumId="146">
    <w:nsid w:val="2B4B8B53"/>
    <w:multiLevelType w:val="hybridMultilevel"/>
    <w:lvl w:ilvl="0">
      <w:lvlJc w:val="left"/>
      <w:lvlText w:val="%1"/>
      <w:numFmt w:val="lowerLetter"/>
      <w:start w:val="1"/>
    </w:lvl>
    <w:lvl w:ilvl="1">
      <w:lvlJc w:val="left"/>
      <w:lvlText w:val="(%2)"/>
      <w:numFmt w:val="lowerLetter"/>
      <w:start w:val="1"/>
    </w:lvl>
  </w:abstractNum>
  <w:abstractNum w:abstractNumId="147">
    <w:nsid w:val="72E3413A"/>
    <w:multiLevelType w:val="hybridMultilevel"/>
    <w:lvl w:ilvl="0">
      <w:lvlJc w:val="left"/>
      <w:lvlText w:val="(%1)"/>
      <w:numFmt w:val="lowerLetter"/>
      <w:start w:val="9"/>
    </w:lvl>
    <w:lvl w:ilvl="1">
      <w:lvlJc w:val="left"/>
      <w:lvlText w:val="(%2)"/>
      <w:numFmt w:val="lowerLetter"/>
      <w:start w:val="3"/>
    </w:lvl>
  </w:abstractNum>
  <w:abstractNum w:abstractNumId="148">
    <w:nsid w:val="116AE494"/>
    <w:multiLevelType w:val="hybridMultilevel"/>
    <w:lvl w:ilvl="0">
      <w:lvlJc w:val="left"/>
      <w:lvlText w:val="(%1)"/>
      <w:numFmt w:val="lowerLetter"/>
      <w:start w:val="10"/>
    </w:lvl>
  </w:abstractNum>
  <w:abstractNum w:abstractNumId="149">
    <w:nsid w:val="3494B2FB"/>
    <w:multiLevelType w:val="hybridMultilevel"/>
    <w:lvl w:ilvl="0">
      <w:lvlJc w:val="left"/>
      <w:lvlText w:val="(%1)"/>
      <w:numFmt w:val="lowerLetter"/>
      <w:start w:val="1"/>
    </w:lvl>
  </w:abstractNum>
  <w:abstractNum w:abstractNumId="150">
    <w:nsid w:val="B13A31"/>
    <w:multiLevelType w:val="hybridMultilevel"/>
    <w:lvl w:ilvl="0">
      <w:lvlJc w:val="left"/>
      <w:lvlText w:val="(%1)"/>
      <w:numFmt w:val="lowerLetter"/>
      <w:start w:val="5"/>
    </w:lvl>
  </w:abstractNum>
  <w:abstractNum w:abstractNumId="151">
    <w:nsid w:val="64429599"/>
    <w:multiLevelType w:val="hybridMultilevel"/>
    <w:lvl w:ilvl="0">
      <w:lvlJc w:val="left"/>
      <w:lvlText w:val="(%1)"/>
      <w:numFmt w:val="lowerLetter"/>
      <w:start w:val="1"/>
    </w:lvl>
  </w:abstractNum>
  <w:abstractNum w:abstractNumId="152">
    <w:nsid w:val="631F1690"/>
    <w:multiLevelType w:val="hybridMultilevel"/>
    <w:lvl w:ilvl="0">
      <w:lvlJc w:val="left"/>
      <w:lvlText w:val="(%1)"/>
      <w:numFmt w:val="lowerLetter"/>
      <w:start w:val="5"/>
    </w:lvl>
  </w:abstractNum>
  <w:abstractNum w:abstractNumId="153">
    <w:nsid w:val="25973E32"/>
    <w:multiLevelType w:val="hybridMultilevel"/>
    <w:lvl w:ilvl="0">
      <w:lvlJc w:val="left"/>
      <w:lvlText w:val="(%1)"/>
      <w:numFmt w:val="lowerLetter"/>
      <w:start w:val="1"/>
    </w:lvl>
  </w:abstractNum>
  <w:abstractNum w:abstractNumId="154">
    <w:nsid w:val="EAD6F57"/>
    <w:multiLevelType w:val="hybridMultilevel"/>
    <w:lvl w:ilvl="0">
      <w:lvlJc w:val="left"/>
      <w:lvlText w:val="(%1)"/>
      <w:numFmt w:val="lowerLetter"/>
      <w:start w:val="1"/>
    </w:lvl>
  </w:abstractNum>
  <w:abstractNum w:abstractNumId="155">
    <w:nsid w:val="6EC9D844"/>
    <w:multiLevelType w:val="hybridMultilevel"/>
    <w:lvl w:ilvl="0">
      <w:lvlJc w:val="left"/>
      <w:lvlText w:val="(%1)"/>
      <w:numFmt w:val="lowerLetter"/>
      <w:start w:val="1"/>
    </w:lvl>
  </w:abstractNum>
  <w:abstractNum w:abstractNumId="156">
    <w:nsid w:val="5C49EAEE"/>
    <w:multiLevelType w:val="hybridMultilevel"/>
    <w:lvl w:ilvl="0">
      <w:lvlJc w:val="left"/>
      <w:lvlText w:val="(%1)"/>
      <w:numFmt w:val="lowerLetter"/>
      <w:start w:val="2"/>
    </w:lvl>
  </w:abstractNum>
  <w:abstractNum w:abstractNumId="157">
    <w:nsid w:val="64AF49B"/>
    <w:multiLevelType w:val="hybridMultilevel"/>
    <w:lvl w:ilvl="0">
      <w:lvlJc w:val="left"/>
      <w:lvlText w:val="(%1)"/>
      <w:numFmt w:val="lowerLetter"/>
      <w:start w:val="1"/>
    </w:lvl>
  </w:abstractNum>
  <w:abstractNum w:abstractNumId="158">
    <w:nsid w:val="397C46BC"/>
    <w:multiLevelType w:val="hybridMultilevel"/>
    <w:lvl w:ilvl="0">
      <w:lvlJc w:val="left"/>
      <w:lvlText w:val="(%1)"/>
      <w:numFmt w:val="lowerLetter"/>
      <w:start w:val="1"/>
    </w:lvl>
  </w:abstractNum>
  <w:abstractNum w:abstractNumId="159">
    <w:nsid w:val="7E448DE9"/>
    <w:multiLevelType w:val="hybridMultilevel"/>
    <w:lvl w:ilvl="0">
      <w:lvlJc w:val="left"/>
      <w:lvlText w:val="(%1)"/>
      <w:numFmt w:val="lowerLetter"/>
      <w:start w:val="1"/>
    </w:lvl>
  </w:abstractNum>
  <w:abstractNum w:abstractNumId="160">
    <w:nsid w:val="5A9CC3E5"/>
    <w:multiLevelType w:val="hybridMultilevel"/>
    <w:lvl w:ilvl="0">
      <w:lvlJc w:val="left"/>
      <w:lvlText w:val="(%1)"/>
      <w:numFmt w:val="lowerLetter"/>
      <w:start w:val="2"/>
    </w:lvl>
  </w:abstractNum>
  <w:abstractNum w:abstractNumId="161">
    <w:nsid w:val="1AFE3625"/>
    <w:multiLevelType w:val="hybridMultilevel"/>
    <w:lvl w:ilvl="0">
      <w:lvlJc w:val="left"/>
      <w:lvlText w:val="(%1)"/>
      <w:numFmt w:val="lowerLetter"/>
      <w:start w:val="7"/>
    </w:lvl>
  </w:abstractNum>
  <w:abstractNum w:abstractNumId="162">
    <w:nsid w:val="3CA88ECF"/>
    <w:multiLevelType w:val="hybridMultilevel"/>
    <w:lvl w:ilvl="0">
      <w:lvlJc w:val="left"/>
      <w:lvlText w:val="(%1)"/>
      <w:numFmt w:val="lowerLetter"/>
      <w:start w:val="1"/>
    </w:lvl>
  </w:abstractNum>
  <w:abstractNum w:abstractNumId="163">
    <w:nsid w:val="6EBE4208"/>
    <w:multiLevelType w:val="hybridMultilevel"/>
    <w:lvl w:ilvl="0">
      <w:lvlJc w:val="left"/>
      <w:lvlText w:val="(%1)"/>
      <w:numFmt w:val="lowerLetter"/>
      <w:start w:val="1"/>
    </w:lvl>
  </w:abstractNum>
  <w:abstractNum w:abstractNumId="164">
    <w:nsid w:val="C058DF5"/>
    <w:multiLevelType w:val="hybridMultilevel"/>
    <w:lvl w:ilvl="0">
      <w:lvlJc w:val="left"/>
      <w:lvlText w:val="(%1)"/>
      <w:numFmt w:val="lowerLetter"/>
      <w:start w:val="2"/>
    </w:lvl>
  </w:abstractNum>
  <w:abstractNum w:abstractNumId="165">
    <w:nsid w:val="CBE5BE9"/>
    <w:multiLevelType w:val="hybridMultilevel"/>
    <w:lvl w:ilvl="0">
      <w:lvlJc w:val="left"/>
      <w:lvlText w:val="(%1)"/>
      <w:numFmt w:val="lowerLetter"/>
      <w:start w:val="1"/>
    </w:lvl>
  </w:abstractNum>
  <w:abstractNum w:abstractNumId="166">
    <w:nsid w:val="3102BBE2"/>
    <w:multiLevelType w:val="hybridMultilevel"/>
    <w:lvl w:ilvl="0">
      <w:lvlJc w:val="left"/>
      <w:lvlText w:val="(%1)"/>
      <w:numFmt w:val="lowerLetter"/>
      <w:start w:val="2"/>
    </w:lvl>
  </w:abstractNum>
  <w:abstractNum w:abstractNumId="167">
    <w:nsid w:val="26A02C5E"/>
    <w:multiLevelType w:val="hybridMultilevel"/>
    <w:lvl w:ilvl="0">
      <w:lvlJc w:val="left"/>
      <w:lvlText w:val="(%1)"/>
      <w:numFmt w:val="lowerLetter"/>
      <w:start w:val="1"/>
    </w:lvl>
    <w:lvl w:ilvl="1">
      <w:lvlJc w:val="left"/>
      <w:lvlText w:val="(%2)"/>
      <w:numFmt w:val="lowerRoman"/>
      <w:start w:val="1"/>
    </w:lvl>
  </w:abstractNum>
  <w:abstractNum w:abstractNumId="168">
    <w:nsid w:val="541C8153"/>
    <w:multiLevelType w:val="hybridMultilevel"/>
    <w:lvl w:ilvl="0">
      <w:lvlJc w:val="left"/>
      <w:lvlText w:val="%1"/>
      <w:numFmt w:val="lowerLetter"/>
      <w:start w:val="1"/>
    </w:lvl>
    <w:lvl w:ilvl="1">
      <w:lvlJc w:val="left"/>
      <w:lvlText w:val="(%2)"/>
      <w:numFmt w:val="lowerLetter"/>
      <w:start w:val="61"/>
    </w:lvl>
  </w:abstractNum>
  <w:abstractNum w:abstractNumId="169">
    <w:nsid w:val="67906F60"/>
    <w:multiLevelType w:val="hybridMultilevel"/>
    <w:lvl w:ilvl="0">
      <w:lvlJc w:val="left"/>
      <w:lvlText w:val="(%1)"/>
      <w:numFmt w:val="lowerLetter"/>
      <w:start w:val="2"/>
    </w:lvl>
    <w:lvl w:ilvl="1">
      <w:lvlJc w:val="left"/>
      <w:lvlText w:val="%2"/>
      <w:numFmt w:val="lowerLetter"/>
      <w:start w:val="1"/>
    </w:lvl>
  </w:abstractNum>
  <w:abstractNum w:abstractNumId="170">
    <w:nsid w:val="10DB9DAA"/>
    <w:multiLevelType w:val="hybridMultilevel"/>
    <w:lvl w:ilvl="0">
      <w:lvlJc w:val="left"/>
      <w:lvlText w:val="(%1)"/>
      <w:numFmt w:val="lowerLetter"/>
      <w:start w:val="1"/>
    </w:lvl>
  </w:abstractNum>
  <w:abstractNum w:abstractNumId="171">
    <w:nsid w:val="697D2D2"/>
    <w:multiLevelType w:val="hybridMultilevel"/>
    <w:lvl w:ilvl="0">
      <w:lvlJc w:val="left"/>
      <w:lvlText w:val="(%1)"/>
      <w:numFmt w:val="lowerLetter"/>
      <w:start w:val="4"/>
    </w:lvl>
  </w:abstractNum>
  <w:abstractNum w:abstractNumId="172">
    <w:nsid w:val="6D68AB2"/>
    <w:multiLevelType w:val="hybridMultilevel"/>
    <w:lvl w:ilvl="0">
      <w:lvlJc w:val="left"/>
      <w:lvlText w:val="(%1)"/>
      <w:numFmt w:val="lowerLetter"/>
      <w:start w:val="1"/>
    </w:lvl>
    <w:lvl w:ilvl="1">
      <w:lvlJc w:val="left"/>
      <w:lvlText w:val="(%2)"/>
      <w:numFmt w:val="lowerRoman"/>
      <w:start w:val="1"/>
    </w:lvl>
  </w:abstractNum>
  <w:abstractNum w:abstractNumId="173">
    <w:nsid w:val="3A966CD0"/>
    <w:multiLevelType w:val="hybridMultilevel"/>
    <w:lvl w:ilvl="0">
      <w:lvlJc w:val="left"/>
      <w:lvlText w:val="(%1)"/>
      <w:numFmt w:val="lowerLetter"/>
      <w:start w:val="2"/>
    </w:lvl>
  </w:abstractNum>
  <w:abstractNum w:abstractNumId="174">
    <w:nsid w:val="63F37E85"/>
    <w:multiLevelType w:val="hybridMultilevel"/>
    <w:lvl w:ilvl="0">
      <w:lvlJc w:val="left"/>
      <w:lvlText w:val="(%1)"/>
      <w:numFmt w:val="lowerLetter"/>
      <w:start w:val="3"/>
    </w:lvl>
  </w:abstractNum>
  <w:abstractNum w:abstractNumId="175">
    <w:nsid w:val="5895F5FA"/>
    <w:multiLevelType w:val="hybridMultilevel"/>
    <w:lvl w:ilvl="0">
      <w:lvlJc w:val="left"/>
      <w:lvlText w:val="(%1)"/>
      <w:numFmt w:val="lowerLetter"/>
      <w:start w:val="1"/>
    </w:lvl>
    <w:lvl w:ilvl="1">
      <w:lvlJc w:val="left"/>
      <w:lvlText w:val="(%2)"/>
      <w:numFmt w:val="lowerRoman"/>
      <w:start w:val="1"/>
    </w:lvl>
  </w:abstractNum>
  <w:abstractNum w:abstractNumId="176">
    <w:nsid w:val="38A5D054"/>
    <w:multiLevelType w:val="hybridMultilevel"/>
    <w:lvl w:ilvl="0">
      <w:lvlJc w:val="left"/>
      <w:lvlText w:val="(%1)"/>
      <w:numFmt w:val="lowerLetter"/>
      <w:start w:val="9"/>
    </w:lvl>
    <w:lvl w:ilvl="1">
      <w:lvlJc w:val="left"/>
      <w:lvlText w:val="(%2)"/>
      <w:numFmt w:val="lowerRoman"/>
      <w:start w:val="2"/>
    </w:lvl>
  </w:abstractNum>
  <w:abstractNum w:abstractNumId="177">
    <w:nsid w:val="F3F09D8"/>
    <w:multiLevelType w:val="hybridMultilevel"/>
    <w:lvl w:ilvl="0">
      <w:lvlJc w:val="left"/>
      <w:lvlText w:val="%1"/>
      <w:numFmt w:val="lowerLetter"/>
      <w:start w:val="1"/>
    </w:lvl>
    <w:lvl w:ilvl="1">
      <w:lvlJc w:val="left"/>
      <w:lvlText w:val="(%2)"/>
      <w:numFmt w:val="lowerLetter"/>
      <w:start w:val="61"/>
    </w:lvl>
  </w:abstractNum>
  <w:abstractNum w:abstractNumId="178">
    <w:nsid w:val="4B793735"/>
    <w:multiLevelType w:val="hybridMultilevel"/>
    <w:lvl w:ilvl="0">
      <w:lvlJc w:val="left"/>
      <w:lvlText w:val="(%1)"/>
      <w:numFmt w:val="lowerLetter"/>
      <w:start w:val="2"/>
    </w:lvl>
    <w:lvl w:ilvl="1">
      <w:lvlJc w:val="left"/>
      <w:lvlText w:val="%2"/>
      <w:numFmt w:val="lowerLetter"/>
      <w:start w:val="1"/>
    </w:lvl>
  </w:abstractNum>
  <w:abstractNum w:abstractNumId="179">
    <w:nsid w:val="4A10B4E8"/>
    <w:multiLevelType w:val="hybridMultilevel"/>
    <w:lvl w:ilvl="0">
      <w:lvlJc w:val="left"/>
      <w:lvlText w:val="(%1)"/>
      <w:numFmt w:val="lowerLetter"/>
      <w:start w:val="1"/>
    </w:lvl>
  </w:abstractNum>
  <w:abstractNum w:abstractNumId="180">
    <w:nsid w:val="43D3BC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1">
    <w:nsid w:val="4C2A716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82">
    <w:nsid w:val="2E534A8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83">
    <w:nsid w:val="26F2D364"/>
    <w:multiLevelType w:val="hybridMultilevel"/>
    <w:lvl w:ilvl="0">
      <w:lvlJc w:val="left"/>
      <w:lvlText w:val="%1."/>
      <w:numFmt w:val="upperLetter"/>
      <w:start w:val="24"/>
    </w:lvl>
  </w:abstractNum>
  <w:abstractNum w:abstractNumId="184">
    <w:nsid w:val="71C1AF98"/>
    <w:multiLevelType w:val="hybridMultilevel"/>
    <w:lvl w:ilvl="0">
      <w:lvlJc w:val="left"/>
      <w:lvlText w:val="(%1)"/>
      <w:numFmt w:val="lowerLetter"/>
      <w:start w:val="1"/>
    </w:lvl>
  </w:abstractNum>
  <w:abstractNum w:abstractNumId="185">
    <w:nsid w:val="3D00B9D9"/>
    <w:multiLevelType w:val="hybridMultilevel"/>
    <w:lvl w:ilvl="0">
      <w:lvlJc w:val="left"/>
      <w:lvlText w:val="(%1)"/>
      <w:numFmt w:val="lowerLetter"/>
      <w:start w:val="1"/>
    </w:lvl>
    <w:lvl w:ilvl="1">
      <w:lvlJc w:val="left"/>
      <w:lvlText w:val="(%2)"/>
      <w:numFmt w:val="lowerRoman"/>
      <w:start w:val="1"/>
    </w:lvl>
  </w:abstractNum>
  <w:abstractNum w:abstractNumId="186">
    <w:nsid w:val="15BCABA8"/>
    <w:multiLevelType w:val="hybridMultilevel"/>
    <w:lvl w:ilvl="0">
      <w:lvlJc w:val="left"/>
      <w:lvlText w:val="(%1)"/>
      <w:numFmt w:val="lowerRoman"/>
      <w:start w:val="5"/>
    </w:lvl>
  </w:abstractNum>
  <w:abstractNum w:abstractNumId="187">
    <w:nsid w:val="4E0B9A87"/>
    <w:multiLevelType w:val="hybridMultilevel"/>
    <w:lvl w:ilvl="0">
      <w:lvlJc w:val="left"/>
      <w:lvlText w:val="(%1)"/>
      <w:numFmt w:val="lowerLetter"/>
      <w:start w:val="2"/>
    </w:lvl>
  </w:abstractNum>
  <w:abstractNum w:abstractNumId="188">
    <w:nsid w:val="434BAE75"/>
    <w:multiLevelType w:val="hybridMultilevel"/>
    <w:lvl w:ilvl="0">
      <w:lvlJc w:val="left"/>
      <w:lvlText w:val="(%1)"/>
      <w:numFmt w:val="lowerLetter"/>
      <w:start w:val="3"/>
    </w:lvl>
  </w:abstractNum>
  <w:abstractNum w:abstractNumId="189">
    <w:nsid w:val="4F38F265"/>
    <w:multiLevelType w:val="hybridMultilevel"/>
    <w:lvl w:ilvl="0">
      <w:lvlJc w:val="left"/>
      <w:lvlText w:val="(%1)"/>
      <w:numFmt w:val="lowerLetter"/>
      <w:start w:val="1"/>
    </w:lvl>
  </w:abstractNum>
  <w:abstractNum w:abstractNumId="190">
    <w:nsid w:val="4C502870"/>
    <w:multiLevelType w:val="hybridMultilevel"/>
    <w:lvl w:ilvl="0">
      <w:lvlJc w:val="left"/>
      <w:lvlText w:val="(%1)"/>
      <w:numFmt w:val="lowerRoman"/>
      <w:start w:val="1"/>
    </w:lvl>
  </w:abstractNum>
  <w:abstractNum w:abstractNumId="191">
    <w:nsid w:val="1DE8725A"/>
    <w:multiLevelType w:val="hybridMultilevel"/>
    <w:lvl w:ilvl="0">
      <w:lvlJc w:val="left"/>
      <w:lvlText w:val="(%1)"/>
      <w:numFmt w:val="lowerLetter"/>
      <w:start w:val="2"/>
    </w:lvl>
    <w:lvl w:ilvl="1">
      <w:lvlJc w:val="left"/>
      <w:lvlText w:val="(%2)"/>
      <w:numFmt w:val="lowerRoman"/>
      <w:start w:val="1"/>
    </w:lvl>
  </w:abstractNum>
  <w:abstractNum w:abstractNumId="192">
    <w:nsid w:val="6A37288A"/>
    <w:multiLevelType w:val="hybridMultilevel"/>
    <w:lvl w:ilvl="0">
      <w:lvlJc w:val="left"/>
      <w:lvlText w:val="(%1)"/>
      <w:numFmt w:val="lowerLetter"/>
      <w:start w:val="3"/>
    </w:lvl>
  </w:abstractNum>
  <w:abstractNum w:abstractNumId="193">
    <w:nsid w:val="8F8B73F"/>
    <w:multiLevelType w:val="hybridMultilevel"/>
    <w:lvl w:ilvl="0">
      <w:lvlJc w:val="left"/>
      <w:lvlText w:val="(%1)"/>
      <w:numFmt w:val="lowerLetter"/>
      <w:start w:val="1"/>
    </w:lvl>
  </w:abstractNum>
  <w:abstractNum w:abstractNumId="194">
    <w:nsid w:val="CA6B462"/>
    <w:multiLevelType w:val="hybridMultilevel"/>
    <w:lvl w:ilvl="0">
      <w:lvlJc w:val="left"/>
      <w:lvlText w:val="(%1)"/>
      <w:numFmt w:val="lowerLetter"/>
      <w:start w:val="1"/>
    </w:lvl>
  </w:abstractNum>
  <w:abstractNum w:abstractNumId="195">
    <w:nsid w:val="763CB680"/>
    <w:multiLevelType w:val="hybridMultilevel"/>
    <w:lvl w:ilvl="0">
      <w:lvlJc w:val="left"/>
      <w:lvlText w:val="%1"/>
      <w:numFmt w:val="lowerLetter"/>
      <w:start w:val="1"/>
    </w:lvl>
    <w:lvl w:ilvl="1">
      <w:lvlJc w:val="left"/>
      <w:lvlText w:val="(%2)"/>
      <w:numFmt w:val="lowerLetter"/>
      <w:start w:val="2"/>
    </w:lvl>
  </w:abstractNum>
  <w:abstractNum w:abstractNumId="196">
    <w:nsid w:val="15B71329"/>
    <w:multiLevelType w:val="hybridMultilevel"/>
    <w:lvl w:ilvl="0">
      <w:lvlJc w:val="left"/>
      <w:lvlText w:val="(%1)"/>
      <w:numFmt w:val="lowerLetter"/>
      <w:start w:val="35"/>
    </w:lvl>
    <w:lvl w:ilvl="1">
      <w:lvlJc w:val="left"/>
      <w:lvlText w:val="(%2)"/>
      <w:numFmt w:val="lowerLetter"/>
      <w:start w:val="3"/>
    </w:lvl>
  </w:abstractNum>
  <w:abstractNum w:abstractNumId="197">
    <w:nsid w:val="3DA97044"/>
    <w:multiLevelType w:val="hybridMultilevel"/>
    <w:lvl w:ilvl="0">
      <w:lvlJc w:val="left"/>
      <w:lvlText w:val="(%1)"/>
      <w:numFmt w:val="lowerLetter"/>
      <w:start w:val="4"/>
    </w:lvl>
  </w:abstractNum>
  <w:abstractNum w:abstractNumId="198">
    <w:nsid w:val="1CDCE2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9">
    <w:nsid w:val="69D3947C"/>
    <w:multiLevelType w:val="hybridMultilevel"/>
    <w:lvl w:ilvl="0">
      <w:lvlJc w:val="left"/>
      <w:lvlText w:val="(%1)"/>
      <w:numFmt w:val="lowerRoman"/>
      <w:start w:val="3"/>
    </w:lvl>
    <w:lvl w:ilvl="1">
      <w:lvlJc w:val="left"/>
      <w:lvlText w:val="(%2)"/>
      <w:numFmt w:val="upperLetter"/>
      <w:start w:val="1"/>
    </w:lvl>
  </w:abstractNum>
  <w:abstractNum w:abstractNumId="200">
    <w:nsid w:val="2539DFA5"/>
    <w:multiLevelType w:val="hybridMultilevel"/>
    <w:lvl w:ilvl="0">
      <w:lvlJc w:val="left"/>
      <w:lvlText w:val="%1"/>
      <w:numFmt w:val="lowerLetter"/>
      <w:start w:val="1"/>
    </w:lvl>
    <w:lvl w:ilvl="1">
      <w:lvlJc w:val="left"/>
      <w:lvlText w:val="(%2)"/>
      <w:numFmt w:val="lowerRoman"/>
      <w:start w:val="7"/>
    </w:lvl>
  </w:abstractNum>
  <w:abstractNum w:abstractNumId="201">
    <w:nsid w:val="2DB88089"/>
    <w:multiLevelType w:val="hybridMultilevel"/>
    <w:lvl w:ilvl="0">
      <w:lvlJc w:val="left"/>
      <w:lvlText w:val="(%1)"/>
      <w:numFmt w:val="lowerLetter"/>
      <w:start w:val="3"/>
    </w:lvl>
    <w:lvl w:ilvl="1">
      <w:lvlJc w:val="left"/>
      <w:lvlText w:val="(%2)"/>
      <w:numFmt w:val="lowerRoman"/>
      <w:start w:val="1"/>
    </w:lvl>
  </w:abstractNum>
  <w:abstractNum w:abstractNumId="202">
    <w:nsid w:val="706B674E"/>
    <w:multiLevelType w:val="hybridMultilevel"/>
    <w:lvl w:ilvl="0">
      <w:lvlJc w:val="left"/>
      <w:lvlText w:val="%1"/>
      <w:numFmt w:val="lowerLetter"/>
      <w:start w:val="1"/>
    </w:lvl>
    <w:lvl w:ilvl="1">
      <w:lvlJc w:val="left"/>
      <w:lvlText w:val="(%2)"/>
      <w:numFmt w:val="lowerLetter"/>
      <w:start w:val="35"/>
    </w:lvl>
  </w:abstractNum>
  <w:abstractNum w:abstractNumId="203">
    <w:nsid w:val="2C106A57"/>
    <w:multiLevelType w:val="hybridMultilevel"/>
    <w:lvl w:ilvl="0">
      <w:lvlJc w:val="left"/>
      <w:lvlText w:val="(%1)"/>
      <w:numFmt w:val="lowerLetter"/>
      <w:start w:val="5"/>
    </w:lvl>
    <w:lvl w:ilvl="1">
      <w:lvlJc w:val="left"/>
      <w:lvlText w:val="%2"/>
      <w:numFmt w:val="lowerLetter"/>
      <w:start w:val="1"/>
    </w:lvl>
  </w:abstractNum>
  <w:abstractNum w:abstractNumId="204">
    <w:nsid w:val="684EED59"/>
    <w:multiLevelType w:val="hybridMultilevel"/>
    <w:lvl w:ilvl="0">
      <w:lvlJc w:val="left"/>
      <w:lvlText w:val="%1"/>
      <w:numFmt w:val="lowerLetter"/>
      <w:start w:val="1"/>
    </w:lvl>
    <w:lvl w:ilvl="1">
      <w:lvlJc w:val="left"/>
      <w:lvlText w:val="(%2)"/>
      <w:numFmt w:val="lowerLetter"/>
      <w:start w:val="6"/>
    </w:lvl>
  </w:abstractNum>
  <w:abstractNum w:abstractNumId="205">
    <w:nsid w:val="545EE5D3"/>
    <w:multiLevelType w:val="hybridMultilevel"/>
    <w:lvl w:ilvl="0">
      <w:lvlJc w:val="left"/>
      <w:lvlText w:val="(%1)"/>
      <w:numFmt w:val="lowerLetter"/>
      <w:start w:val="35"/>
    </w:lvl>
    <w:lvl w:ilvl="1">
      <w:lvlJc w:val="left"/>
      <w:lvlText w:val="%2"/>
      <w:numFmt w:val="lowerLetter"/>
      <w:start w:val="1"/>
    </w:lvl>
  </w:abstractNum>
  <w:abstractNum w:abstractNumId="206">
    <w:nsid w:val="4A66051"/>
    <w:multiLevelType w:val="hybridMultilevel"/>
    <w:lvl w:ilvl="0">
      <w:lvlJc w:val="left"/>
      <w:lvlText w:val="%1"/>
      <w:numFmt w:val="upperLetter"/>
      <w:start w:val="1"/>
    </w:lvl>
    <w:lvl w:ilvl="1">
      <w:lvlJc w:val="left"/>
      <w:lvlText w:val="(%2)"/>
      <w:numFmt w:val="lowerLetter"/>
      <w:start w:val="1"/>
    </w:lvl>
  </w:abstractNum>
  <w:abstractNum w:abstractNumId="207">
    <w:nsid w:val="20F4BDAD"/>
    <w:multiLevelType w:val="hybridMultilevel"/>
    <w:lvl w:ilvl="0">
      <w:lvlJc w:val="left"/>
      <w:lvlText w:val="(%1)"/>
      <w:numFmt w:val="upperLetter"/>
      <w:start w:val="1"/>
    </w:lvl>
    <w:lvl w:ilvl="1">
      <w:lvlJc w:val="left"/>
      <w:lvlText w:val="%2"/>
      <w:numFmt w:val="lowerLetter"/>
      <w:start w:val="1"/>
    </w:lvl>
  </w:abstractNum>
  <w:abstractNum w:abstractNumId="208">
    <w:nsid w:val="639DEFAC"/>
    <w:multiLevelType w:val="hybridMultilevel"/>
    <w:lvl w:ilvl="0">
      <w:lvlJc w:val="left"/>
      <w:lvlText w:val="(%1)"/>
      <w:numFmt w:val="lowerLetter"/>
      <w:start w:val="2"/>
    </w:lvl>
  </w:abstractNum>
  <w:abstractNum w:abstractNumId="209">
    <w:nsid w:val="501F9786"/>
    <w:multiLevelType w:val="hybridMultilevel"/>
    <w:lvl w:ilvl="0">
      <w:lvlJc w:val="left"/>
      <w:lvlText w:val="(%1)"/>
      <w:numFmt w:val="lowerLetter"/>
      <w:start w:val="2"/>
    </w:lvl>
  </w:abstractNum>
  <w:abstractNum w:abstractNumId="210">
    <w:nsid w:val="6B057295"/>
    <w:multiLevelType w:val="hybridMultilevel"/>
    <w:lvl w:ilvl="0">
      <w:lvlJc w:val="left"/>
      <w:lvlText w:val="(%1)"/>
      <w:numFmt w:val="lowerLetter"/>
      <w:start w:val="1"/>
    </w:lvl>
  </w:abstractNum>
  <w:abstractNum w:abstractNumId="211">
    <w:nsid w:val="2771AC80"/>
    <w:multiLevelType w:val="hybridMultilevel"/>
    <w:lvl w:ilvl="0">
      <w:lvlJc w:val="left"/>
      <w:lvlText w:val="(%1)"/>
      <w:numFmt w:val="lowerLetter"/>
      <w:start w:val="1"/>
    </w:lvl>
    <w:lvl w:ilvl="1">
      <w:lvlJc w:val="left"/>
      <w:lvlText w:val="(%2)"/>
      <w:numFmt w:val="lowerRoman"/>
      <w:start w:val="1"/>
    </w:lvl>
  </w:abstractNum>
  <w:abstractNum w:abstractNumId="212">
    <w:nsid w:val="1C4A08EC"/>
    <w:multiLevelType w:val="hybridMultilevel"/>
    <w:lvl w:ilvl="0">
      <w:lvlJc w:val="left"/>
      <w:lvlText w:val="%1"/>
      <w:numFmt w:val="lowerLetter"/>
      <w:start w:val="1"/>
    </w:lvl>
    <w:lvl w:ilvl="1">
      <w:lvlJc w:val="left"/>
      <w:lvlText w:val="(%2)"/>
      <w:numFmt w:val="lowerLetter"/>
      <w:start w:val="22"/>
    </w:lvl>
  </w:abstractNum>
  <w:abstractNum w:abstractNumId="213">
    <w:nsid w:val="1958BD17"/>
    <w:multiLevelType w:val="hybridMultilevel"/>
    <w:lvl w:ilvl="0">
      <w:lvlJc w:val="left"/>
      <w:lvlText w:val="(%1)"/>
      <w:numFmt w:val="lowerLetter"/>
      <w:start w:val="2"/>
    </w:lvl>
    <w:lvl w:ilvl="1">
      <w:lvlJc w:val="left"/>
      <w:lvlText w:val="%2"/>
      <w:numFmt w:val="lowerLetter"/>
      <w:start w:val="1"/>
    </w:lvl>
  </w:abstractNum>
  <w:abstractNum w:abstractNumId="214">
    <w:nsid w:val="4E647FE4"/>
    <w:multiLevelType w:val="hybridMultilevel"/>
    <w:lvl w:ilvl="0">
      <w:lvlJc w:val="left"/>
      <w:lvlText w:val="(%1)"/>
      <w:numFmt w:val="lowerLetter"/>
      <w:start w:val="1"/>
    </w:lvl>
  </w:abstractNum>
  <w:abstractNum w:abstractNumId="215">
    <w:nsid w:val="E0BB885"/>
    <w:multiLevelType w:val="hybridMultilevel"/>
    <w:lvl w:ilvl="0">
      <w:lvlJc w:val="left"/>
      <w:lvlText w:val="(%1)"/>
      <w:numFmt w:val="lowerLetter"/>
      <w:start w:val="3"/>
    </w:lvl>
  </w:abstractNum>
  <w:abstractNum w:abstractNumId="216">
    <w:nsid w:val="565976F1"/>
    <w:multiLevelType w:val="hybridMultilevel"/>
    <w:lvl w:ilvl="0">
      <w:lvlJc w:val="left"/>
      <w:lvlText w:val="(%1)"/>
      <w:numFmt w:val="lowerLetter"/>
      <w:start w:val="1"/>
    </w:lvl>
  </w:abstractNum>
  <w:abstractNum w:abstractNumId="217">
    <w:nsid w:val="64212B8C"/>
    <w:multiLevelType w:val="hybridMultilevel"/>
    <w:lvl w:ilvl="0">
      <w:lvlJc w:val="left"/>
      <w:lvlText w:val="(%1)"/>
      <w:numFmt w:val="lowerLetter"/>
      <w:start w:val="2"/>
    </w:lvl>
  </w:abstractNum>
  <w:abstractNum w:abstractNumId="218">
    <w:nsid w:val="5C17530C"/>
    <w:multiLevelType w:val="hybridMultilevel"/>
    <w:lvl w:ilvl="0">
      <w:lvlJc w:val="left"/>
      <w:lvlText w:val="(%1)"/>
      <w:numFmt w:val="lowerLetter"/>
      <w:start w:val="1"/>
    </w:lvl>
    <w:lvl w:ilvl="1">
      <w:lvlJc w:val="left"/>
      <w:lvlText w:val="(%2)"/>
      <w:numFmt w:val="lowerRoman"/>
      <w:start w:val="1"/>
    </w:lvl>
  </w:abstractNum>
  <w:abstractNum w:abstractNumId="219">
    <w:nsid w:val="19A52566"/>
    <w:multiLevelType w:val="hybridMultilevel"/>
    <w:lvl w:ilvl="0">
      <w:lvlJc w:val="left"/>
      <w:lvlText w:val="%1."/>
      <w:numFmt w:val="decimal"/>
      <w:start w:val="1"/>
    </w:lvl>
    <w:lvl w:ilvl="1">
      <w:lvlJc w:val="left"/>
      <w:lvlText w:val="%2)"/>
      <w:numFmt w:val="lowerLetter"/>
      <w:start w:val="1"/>
    </w:lvl>
  </w:abstractNum>
  <w:abstractNum w:abstractNumId="220">
    <w:nsid w:val="335A1DF1"/>
    <w:multiLevelType w:val="hybridMultilevel"/>
    <w:lvl w:ilvl="0">
      <w:lvlJc w:val="left"/>
      <w:lvlText w:val="%1."/>
      <w:numFmt w:val="decimal"/>
      <w:start w:val="1"/>
    </w:lvl>
    <w:lvl w:ilvl="1">
      <w:lvlJc w:val="left"/>
      <w:lvlText w:val="%2)"/>
      <w:numFmt w:val="lowerLetter"/>
      <w:start w:val="1"/>
    </w:lvl>
  </w:abstractNum>
  <w:abstractNum w:abstractNumId="221">
    <w:nsid w:val="28677B7C"/>
    <w:multiLevelType w:val="hybridMultilevel"/>
    <w:lvl w:ilvl="0">
      <w:lvlJc w:val="left"/>
      <w:lvlText w:val="(%1)"/>
      <w:numFmt w:val="decimal"/>
      <w:start w:val="1"/>
    </w:lvl>
  </w:abstractNum>
  <w:abstractNum w:abstractNumId="222">
    <w:nsid w:val="378D97C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62"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24" Type="http://schemas.openxmlformats.org/officeDocument/2006/relationships/hyperlink" Target="http://www.sec.gov/Archives/edgar/data/80420/000119312512421889/d424375dex31.htm" TargetMode="External"/><Relationship Id="rId25" Type="http://schemas.openxmlformats.org/officeDocument/2006/relationships/hyperlink" Target="http://www.sec.gov/Archives/edgar/data/80420/000095012903000042/h02247exv10w7.txt" TargetMode="External"/><Relationship Id="rId26" Type="http://schemas.openxmlformats.org/officeDocument/2006/relationships/hyperlink" Target="http://www.sec.gov/Archives/edgar/data/80420/000095012903000042/h02247exv10w9.txt" TargetMode="External"/><Relationship Id="rId27" Type="http://schemas.openxmlformats.org/officeDocument/2006/relationships/hyperlink" Target="http://www.sec.gov/Archives/edgar/data/80420/000095012906000313/h31947exv10w16.htm" TargetMode="External"/><Relationship Id="rId28" Type="http://schemas.openxmlformats.org/officeDocument/2006/relationships/hyperlink" Target="http://www.sec.gov/Archives/edgar/data/80420/000095013406015374/h38545exv10w2.htm" TargetMode="External"/><Relationship Id="rId29" Type="http://schemas.openxmlformats.org/officeDocument/2006/relationships/hyperlink" Target="http://www.sec.gov/Archives/edgar/data/80420/000119312512222108/d337560dex102.htm" TargetMode="External"/><Relationship Id="rId30" Type="http://schemas.openxmlformats.org/officeDocument/2006/relationships/hyperlink" Target="http://www.sec.gov/Archives/edgar/data/80420/000119312512222108/d337560dex104.htm" TargetMode="External"/><Relationship Id="rId31" Type="http://schemas.openxmlformats.org/officeDocument/2006/relationships/hyperlink" Target="http://www.sec.gov/Archives/edgar/data/80420/000119312514014351/d661947dex101.htm" TargetMode="External"/><Relationship Id="rId32" Type="http://schemas.openxmlformats.org/officeDocument/2006/relationships/hyperlink" Target="http://www.sec.gov/Archives/edgar/data/80420/000156459014000140/powl-ex10_20131231466.htm" TargetMode="External"/><Relationship Id="rId33" Type="http://schemas.openxmlformats.org/officeDocument/2006/relationships/hyperlink" Target="http://www.sec.gov/Archives/edgar/data/80420/000156459014001858/powl-ex10_20140331386.htm" TargetMode="External"/><Relationship Id="rId34" Type="http://schemas.openxmlformats.org/officeDocument/2006/relationships/hyperlink" Target="http://www.sec.gov/Archives/edgar/data/80420/000156459014001858/powl-ex10_20140331532.htm" TargetMode="External"/><Relationship Id="rId35" Type="http://schemas.openxmlformats.org/officeDocument/2006/relationships/hyperlink" Target="http://www.sec.gov/Archives/edgar/data/80420/000156459014001858/powl-ex10_20140331533.htm" TargetMode="External"/><Relationship Id="rId36" Type="http://schemas.openxmlformats.org/officeDocument/2006/relationships/hyperlink" Target="http://www.sec.gov/Archives/edgar/data/80420/000156459014001858/powl-ex10_20140331387.htm" TargetMode="External"/><Relationship Id="rId37" Type="http://schemas.openxmlformats.org/officeDocument/2006/relationships/hyperlink" Target="http://www.sec.gov/Archives/edgar/data/80420/000156459014001858/powl-ex10_20140331534.htm" TargetMode="External"/><Relationship Id="rId38" Type="http://schemas.openxmlformats.org/officeDocument/2006/relationships/hyperlink" Target="http://www.sec.gov/Archives/edgar/data/80420/000156459014001858/powl-ex10_20140331535.htm" TargetMode="External"/><Relationship Id="rId39" Type="http://schemas.openxmlformats.org/officeDocument/2006/relationships/hyperlink" Target="http://www.sec.gov/Archives/edgar/data/80420/000156459014001858/powl-ex10_20140331388.htm" TargetMode="External"/><Relationship Id="rId40" Type="http://schemas.openxmlformats.org/officeDocument/2006/relationships/hyperlink" Target="http://www.sec.gov/Archives/edgar/data/80420/000156459014001858/powl-ex10_20140331536.htm" TargetMode="External"/><Relationship Id="rId41" Type="http://schemas.openxmlformats.org/officeDocument/2006/relationships/hyperlink" Target="http://www.sec.gov/Archives/edgar/data/80420/000156459014006033/powl-ex1048_2014093076.htm" TargetMode="External"/><Relationship Id="rId42" Type="http://schemas.openxmlformats.org/officeDocument/2006/relationships/hyperlink" Target="http://www.sec.gov/Archives/edgar/data/80420/000156459015003392/powl-ex101_20150331597.htm" TargetMode="External"/><Relationship Id="rId43" Type="http://schemas.openxmlformats.org/officeDocument/2006/relationships/hyperlink" Target="http://www.sec.gov/Archives/edgar/data/80420/000119312516726999/d262942dex101.htm" TargetMode="External"/><Relationship Id="rId44" Type="http://schemas.openxmlformats.org/officeDocument/2006/relationships/hyperlink" Target="http://www.sec.gov/Archives/edgar/data/80420/000008042018000027/ex101-metcalfmichaelwxcfoe.htm" TargetMode="External"/><Relationship Id="rId45" Type="http://schemas.openxmlformats.org/officeDocument/2006/relationships/hyperlink" Target="http://www.sec.gov/Archives/edgar/data/80420/000008042018000038/ex101-dmadisonconsultingag.htm" TargetMode="External"/><Relationship Id="rId46" Type="http://schemas.openxmlformats.org/officeDocument/2006/relationships/hyperlink" Target="http://www.sec.gov/Archives/edgar/data/80420/000008042019000017/ex101-donmadison1st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2019-12-28T01:08:55Z</dcterms:created>
  <dcterms:modified xsi:type="dcterms:W3CDTF">2019-12-28T01:08:55Z</dcterms:modified>
</cp:coreProperties>
</file>