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(Do not check if a smaller reporting company)</w:t>
      </w:r>
    </w:p>
    <w:p>
      <w:pPr>
        <w:spacing w:after="0" w:line="198"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April 28, 2017, there were 11,428,638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705"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70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0"/>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0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30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Part II — Other Information</w:t>
              </w:r>
            </w:hyperlink>
          </w:p>
        </w:tc>
        <w:tc>
          <w:tcPr>
            <w:tcW w:w="84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68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1A. Risk Factors</w:t>
              </w:r>
            </w:hyperlink>
          </w:p>
        </w:tc>
        <w:tc>
          <w:tcPr>
            <w:tcW w:w="89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10040" w:type="dxa"/>
            <w:vAlign w:val="bottom"/>
            <w:gridSpan w:val="16"/>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942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2016</w:t>
            </w: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less allowance for doubtful accounts of $310 and $811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101,048</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66,106</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26,521</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1,713</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4,569</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2,457</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266,001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304,140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144,977</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2,059</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419,959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462,516</w:t>
            </w:r>
          </w:p>
        </w:tc>
      </w:tr>
      <w:tr>
        <w:trPr>
          <w:trHeight w:val="73"/>
        </w:trPr>
        <w:tc>
          <w:tcPr>
            <w:tcW w:w="79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34,985</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22,550</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43,974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4,639</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8,212</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Deferred credit ─ short term (Note D)</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2,029</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118,248</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credit ─ long term (Note D)</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127,199</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F)</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2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par value $.01; 30,000,000 shares authorized; 12,234,656 and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12,199,511 shares issued,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53,425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52,003</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331,959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Treasury stock, 806,018 shares at cost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(24,999)</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(23,768)</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327,952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335,317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00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002"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8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152,266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302,243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88,858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122,172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184,200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248,999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30,094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19,024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Restructuring and separation costs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6,294</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67"/>
        </w:trPr>
        <w:tc>
          <w:tcPr>
            <w:tcW w:w="45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(loss) per share: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67"/>
        </w:trPr>
        <w:tc>
          <w:tcPr>
            <w:tcW w:w="45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11,422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580" w:right="35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5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4,552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2,014</w:t>
            </w:r>
          </w:p>
        </w:tc>
      </w:tr>
      <w:tr>
        <w:trPr>
          <w:trHeight w:val="27"/>
        </w:trPr>
        <w:tc>
          <w:tcPr>
            <w:tcW w:w="4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10,119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expense (recovery)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43,569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93,468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57,358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corporation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 The year-end balance sheet data was derived from audited financial statements, but does not include all disclosures required by U.S. GAAP.</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2016, which was filed with the Securities and Exchange Commission (SEC) on December 7,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2017 and Fiscal 2016 used throughout this report shall mean our fiscal years ended September 30, 2017 and 2016,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self-insurance, warranty accruals, liquidated damages and income taxes. The amounts recorded for insurance claims, warranties, legal, liquidated damages, income taxes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may change as new events occur, additional information becomes available or operating environments change. Actual results may differ from our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assets recognized from costs incurred to obtain or fulfill a contract. This standard is effective for fiscal years, and interim periods within those years, beginning after December 15, 2017, which would be our fiscal year ending September 30, 2019. We continue to work with various other companies in our industry as well as outside accounting advisors to evaluate this standard and understand the impact that the adoption of this new standard will have on our consolidated financial statements and related disclosures. We believe that we will continue to recognize revenue over time utilizing the cost-to-cost method to measure our progress for the vast majority of our contracts. We have not yet selected a transition method nor have we determined the effect of the standard on our ongoing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This amendment is effective for annual reporting periods beginning after December 15, 2016, which would be our fiscal year ending September 30, 2018. We have no plans for early adoption. The adoption of this guidance is not expected to have a material impact on our consolidated financial position or results of operations.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standard is effective for fiscal years beginning after December 15, 2018, including interim periods within those fiscal years. This would be our fiscal year ending September 30, 2020. We are currently evaluating the impact of our pending adoption of the new standard, but do not expect it to have a material impact on our consolidated financial position or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5,567</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5,108</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11,445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11,369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11,382</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0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89"/>
              </w:rPr>
              <w:t>Weighted average diluted shares with assumed conversions</w:t>
            </w:r>
          </w:p>
        </w:tc>
        <w:tc>
          <w:tcPr>
            <w:tcW w:w="10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11,445</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11,422</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11,415</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income (loss)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0.45</w:t>
            </w:r>
          </w:p>
        </w:tc>
      </w:tr>
      <w:tr>
        <w:trPr>
          <w:trHeight w:val="251"/>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and six months ended March 31, 2017, we incurred net losses and therefore all potential common shares were deemed to be anti-dilutive.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34"/>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80" w:type="dxa"/>
            <w:vAlign w:val="bottom"/>
            <w:tcBorders>
              <w:bottom w:val="single" w:sz="8" w:color="CFF0FC"/>
            </w:tcBorders>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1,010</w:t>
            </w: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10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Inventories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45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1080" w:type="dxa"/>
            <w:vAlign w:val="bottom"/>
            <w:tcBorders>
              <w:top w:val="single" w:sz="8" w:color="CFF0FC"/>
              <w:bottom w:val="single" w:sz="8" w:color="CFF0FC"/>
            </w:tcBorders>
            <w:shd w:val="clear" w:color="auto" w:fill="CFF0FC"/>
          </w:tcPr>
          <w:p>
            <w:pPr>
              <w:spacing w:after="0"/>
              <w:rPr>
                <w:sz w:val="21"/>
                <w:szCs w:val="21"/>
                <w:color w:val="auto"/>
              </w:rPr>
            </w:pPr>
          </w:p>
        </w:tc>
        <w:tc>
          <w:tcPr>
            <w:tcW w:w="5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19,760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10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20,362</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45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CFF0FC"/>
              <w:bottom w:val="single" w:sz="8" w:color="CFF0FC"/>
            </w:tcBorders>
            <w:shd w:val="clear" w:color="auto" w:fill="CFF0FC"/>
          </w:tcPr>
          <w:p>
            <w:pPr>
              <w:spacing w:after="0"/>
              <w:rPr>
                <w:sz w:val="21"/>
                <w:szCs w:val="21"/>
                <w:color w:val="auto"/>
              </w:rPr>
            </w:pPr>
          </w:p>
        </w:tc>
        <w:tc>
          <w:tcPr>
            <w:tcW w:w="6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770,679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1,088,921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245,832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350,125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1,016,511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1,439,046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(992,432)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(1,416,914)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24,079</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Included in the accompanying balance sheets under the following captions: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FF0FC"/>
            </w:tcBorders>
            <w:gridSpan w:val="5"/>
            <w:shd w:val="clear" w:color="auto" w:fill="CFF0FC"/>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 – underbilled</w:t>
            </w:r>
          </w:p>
        </w:tc>
        <w:tc>
          <w:tcPr>
            <w:tcW w:w="6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56,618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Billings in excess of costs and estimated earnings on uncompleted contracts – overbilled</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24,079</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spacing w:after="0"/>
              <w:rPr>
                <w:sz w:val="20"/>
                <w:szCs w:val="20"/>
                <w:color w:val="auto"/>
              </w:rPr>
            </w:pPr>
            <w:r>
              <w:rPr>
                <w:rFonts w:ascii="Arial" w:cs="Arial" w:eastAsia="Arial" w:hAnsi="Arial"/>
                <w:sz w:val="18"/>
                <w:szCs w:val="18"/>
                <w:color w:val="auto"/>
                <w:w w:val="98"/>
              </w:rPr>
              <w:t>Activity in our product warranty accrual consisted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32"/>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Borders>
              <w:bottom w:val="single" w:sz="8" w:color="CFF0FC"/>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5,105</w:t>
            </w:r>
          </w:p>
        </w:tc>
        <w:tc>
          <w:tcPr>
            <w:tcW w:w="3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4,639</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(1,175)</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4,787</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 GOODWILL AND INTANGIBLE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intangible assets consist of goodwill, which is not being amortized, and purchased technology, which is amortized over its estimated useful life. Intangible assets balances, subject to amortization, at March 31, 2017 and September 30, 2016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9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$0.2 million for the six months ended March 31, 2017 and 2016.</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their requirements for ANSI medium-voltage switchgear and circuit breakers and other related equipment and components (the Products). In connection with the acquisition,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 million upon execution of the amended supply agreement and agreed to pay an additional $7 million over three years, beginning March 2015. As of March 31, 2017, the remaining balance of $2.3 million due was classified as other current assets and was received in April 2017. We wrote off the intangible asset related to the original supply agreement and recorded a deferred credit in the amount of $8.1 million at December 31, 2013, the amount by which the proceeds from GE exceeded the unamortized balance of our intangible asset. We are amortizing this deferred credit over the four-year life of the agreement and have recognized gains in other income of $1.0 million for the six months ended March 31, 2017 and 2016.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September 30, 2016</w:t>
            </w: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280" w:type="dxa"/>
            <w:vAlign w:val="bottom"/>
            <w:tcBorders>
              <w:top w:val="single" w:sz="8" w:color="auto"/>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76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and capital lease obligations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2,000</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$75.0 million revolving credit facility (U.S. Revolver) to provide working capital support and letters of credit. The interest rate for amounts outstanding under the U.S. Revolver is a floating rate based upon the higher of the Federal Funds Rate plus 0.5%, the bank’s prime rate, or the Eurocurrency rate plus 1.00%. Once the applicable rate is determined, a margin ranging up to 1.75%, as determined by our consolidated leverage ratio, is added to the applicable rate. The U.S. Revolver provides for the issuance of letters of credit which reduce the amounts that may be borrowed under this revolver. We had $21.4 million of outstanding letters of credit under the U.S. Revolver at March 31, 2017.</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borrowings outstanding under the U.S. Revolver as of March 31, 2017. Amounts available under the U.S. Revolver were $53.6 million at March 31, 2017. The U.S. Revolver expires on December 31, 2018.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Revolver contains certain restrictive and maintenance-type covenants, such as restrictions on the amount of capital expenditures allowed.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As of March 31, 2017, we were in compliance with all of the financial covenants of the U.S. Revolver.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Revolver</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 $7.5 million credit agreement with a major international bank in Canada (the Canadian Revolver) to provide working capital support and letters of credit for our operations in Canada. The interest rate for amounts outstanding under the Canadian Revolver is a floating interest rate based upon either the Canadian Prime Rate, or the lender’s Bankers’ Acceptance Rate. Once the applicable rate is determined, a margin of 0.50% to 1.75%, as determined by our consolidated leverage ratio, is added to the applicable rate. The Canadian Revolver provides for the issuance of letters of credit which reduce the amounts that may be borrowed under this revolver. There were no outstanding letters of credit under the Canadian Revolver at March 31, 2017.</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borrowings outstanding under the Canadian Revolver as of March 31, 2017 and amounts available under the Canadian Revolver were $7.5 million at March 31, 2017. The Canadian Revolver expires on March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financial covenants are consistent with those described in our U.S. Revolver. The Canadian Revolver contains a “material adverse effect” clause. A “material adverse effect” is defined as a material change in the operations of Powell or Powell Canada Inc. in relation to our financial condition, property, business operations, expected net cash flows, liabilities or capitalization.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Canadian Revolver is secured by the assets of our Canadian operations and provides for customary events of default and carries cross-default provisions with our existing debt agreements. If an event of default (as defined in the Canadian Revolver) occurs and is continuing, per the terms and subject to the conditions set forth in the Canadian Revolver, amounts outstanding under the Canadian Revolver may be accelerated and may become immediately due and payable. As of March 31, 2017, we were in compliance with all of the financial covenants of the Canadian Revolver.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March 31, 2017.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1.04% as of March 31,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E herein for discussion of our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bank letter of credit guarantees or surety bonds. These guarantees and surety bonds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secured and unsecured letters of credit of $21.4 million as of March 31, 2017. We also had surety bonds totaling $216.0 million that were outstanding, with additional bonding capacity of $534.0 million available, at March 31, 2017.</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$6.2 million facility agreement (Facility Agreement) between Powell (UK) Limited and a large international bank. This Facility Agreement provides Powell (UK) Limited the ability to enter into bank guarantees as well as forward exchange contracts and currency options. At March 31, 2017, we had outstanding guarantees totaling $4.7 million under this Facility Agreement and amounts available under this Facility Agreement were $1.5 million. This facility expires in May 2017.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As of March 31, 2017, we were in compliance with all of the financial covenants of the Facility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March 31, 2017, our exposure to possible liquidated damages was $2.7 million, of which approximately $1.7 million is probable. Based on our actual or projected failure to meet these various contractual commitments, $1.6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 to our Annual Report on Form 10-K for the fiscal year ended September 30, 2016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closing price of our common stock as reported on the NASDAQ Global Market on the grant dates. These grants vest over a three-year period from their date of issuance. Sixty percent of the grant is time-based and vests over a three-year period on each anniversary of the grant date, based on continued employment. The remaining forty percent of the grant will be earned based on the three-year earnings performance of the Company following the grant date. At March 31, 2017, there were 193,537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six months ended March 31, 2017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159,988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43.12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61,100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39.65</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39.08</w:t>
            </w:r>
          </w:p>
        </w:tc>
      </w:tr>
      <w:tr>
        <w:trPr>
          <w:trHeight w:val="257"/>
        </w:trPr>
        <w:tc>
          <w:tcPr>
            <w:tcW w:w="8500" w:type="dxa"/>
            <w:vAlign w:val="bottom"/>
          </w:tcPr>
          <w:p>
            <w:pPr>
              <w:ind w:left="40"/>
              <w:spacing w:after="0"/>
              <w:rPr>
                <w:sz w:val="20"/>
                <w:szCs w:val="20"/>
                <w:color w:val="auto"/>
              </w:rPr>
            </w:pPr>
            <w:r>
              <w:rPr>
                <w:rFonts w:ascii="Arial" w:cs="Arial" w:eastAsia="Arial" w:hAnsi="Arial"/>
                <w:sz w:val="18"/>
                <w:szCs w:val="18"/>
                <w:color w:val="auto"/>
              </w:rPr>
              <w:t>Outstanding at March 31, 2017</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193,537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42.60</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March 31, 2017 and 2016, we recorded compensation expense of $1.3 million and $2.7 million, respectively, related to the RSUs. The higher compensation expense recorded in the six months ended March 31, 2016 was primarily due to the departure of our former Chief Executive Officer in December 2015, which included the accelerated vesting of 60,909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with the February 2017 grant, fifty-percent of the restricted stock granted to each of our non-employee directors vests immediately, while the remaining fifty-percent will vest on the anniversary of the grant date. Compensation expense will be recognized immediately for the first fifty-percent of the restricted stock granted, while compensation expense for the remaining fifty-percent will be recognized over the remaining vesting period based on the price per share on the grant date. In February 2017, 17,000 shares of restricted stock were issued to our non-employee directors at a price of $34.24 per share under the 2014 Director Plan.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March 31, 2017 and 2016, we recorded compensation expense of $0.5 million and $0.4 million, respectively, related to restricted stock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March 31, 2017 (in thousands):</w:t>
      </w:r>
    </w:p>
    <w:p>
      <w:pPr>
        <w:spacing w:after="0" w:line="200" w:lineRule="exact"/>
        <w:rPr>
          <w:sz w:val="20"/>
          <w:szCs w:val="20"/>
          <w:color w:val="auto"/>
        </w:rPr>
      </w:pP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Fair Value Measurements at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78,265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78,265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2016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
        </w:trPr>
        <w:tc>
          <w:tcPr>
            <w:tcW w:w="47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fair values of the underlying securities of these funds are based on quoted market prices and are categorized as Level 1 in the fair value measurement hierarchy. The company-owned life insurance policies are valued at cash surrender value and are therefore categorized as Level 2 in the fair value measurement hierarchy.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Development Revenue Bonds</w:t>
      </w:r>
      <w:r>
        <w:rPr>
          <w:rFonts w:ascii="Arial" w:cs="Arial" w:eastAsia="Arial" w:hAnsi="Arial"/>
          <w:sz w:val="18"/>
          <w:szCs w:val="18"/>
          <w:color w:val="auto"/>
        </w:rPr>
        <w:t>– The fair value of our long-term debt depends primarily on the coupon rate of our industrial development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bonds. The carrying value of our long-term debt at March 31, 2017, approximates fair value based on the current coupon rate of the bonds, which is reset weekly. It is classified as a Level 2 input in the fair value measurement hierarchy as there is an active market for the trading of these industrial development revenue bonds.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three months ended March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3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6,294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4,788</w:t>
            </w:r>
          </w:p>
        </w:tc>
      </w:tr>
      <w:tr>
        <w:trPr>
          <w:trHeight w:val="270"/>
        </w:trPr>
        <w:tc>
          <w:tcPr>
            <w:tcW w:w="4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(320)</w:t>
            </w:r>
          </w:p>
        </w:tc>
      </w:tr>
      <w:tr>
        <w:trPr>
          <w:trHeight w:val="230"/>
        </w:trPr>
        <w:tc>
          <w:tcPr>
            <w:tcW w:w="4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5,567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5,108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income tax benefit of $1.3 million in the second quarter of Fiscal 2017, compared to an income tax provision of $0.7 million in the second quarter of Fiscal 2016. The effective tax rate for the second quarter of Fiscal 2017 was 62% compared to an effective tax rate of 12% in the second quarter of Fiscal 2016. The effective tax rates for the second quarter of Fiscal 2017 and 2016 were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benefit of $2.8 million for the six months ended March 31, 2017, compared to an income tax benefit of $0.3 million for the six months ended March 31, 2016. The effective tax rate was 71% for the six months ended March 31, 2017 compared to a 7% benefit for the six months ended March 31, 2016. The effective tax rates for the six months ended March 31, 2017 and 2016 were favorably impacted by the lower tax rate in the United Kingdom, the relative amounts of income/loss recognized in various jurisdictions, as well as the utilization of net operating loss carryforwards in Canada that are fully reserved with a valuation allowance. A discrete item related to the closing of an IRS audit recorded in the first quarter of Fiscal 2017 also favorably impacted the effective tax rate due to the release of a $0.3 million FIN 48 reserve relating to the Research and Development Tax Credit (R&amp;D Tax Credit). Additionally, the effective tax rate for the six months ended March 31, 2016 was favorably impacted by a $0.8 million discrete item recorded in the first quarter of Fiscal 2016 related to the retroactive reinstatement of the R&amp;D Tax Credit.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 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Fiscal 2017, we incurred $0.8 million of restructuring costs as we continue to reduce our overall cost structure to better align our costs with future production requirements. In the second quarter of Fiscal 2016, we incurred $3.3 million of separation costs due to the restructuring of our senior management team and workforce reductions.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March 31, 2016, we incurred $7.1 million of restructuring costs due to the workforce reductions mentioned above, as well as the departure of our former Chief Executive Officer in December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cyclical nature of the oil and gas industry, our business may be adversely impacted by extended periods of low oil or gas prices or unsuccessful exploration efforts which may decrease our customers' spending and therefore our results in the future.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materially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 including regulations related to conflict minerals.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quarter to quarter.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involve a number of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2016.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2016 which was filed with the Securities and Exchange Commission (SEC) on December 7, 2016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 Due to the significant decline in oil and gas prices from late 2014 levels, many of our customers have reduced their capital budgets and cut costs, and in certain instances have delayed or cancelled projects that we were pursuing. As a result, our project backlog has declined, and may continue to decline, which may further negatively impact our operations for the foreseeable future. In response to our reduced project backlog and the challenging market outlook in our core oil, gas and petrochemical markets, we took steps in Fiscal 2016, and have taken additional actions in Fiscal 2017, to reduce our overall cost structure and better align our costs with future production requirements.</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strategy in Canada has been to replicate our project-based integration model that we use in our U.S. operations, which allows for the design, fabrication, integration and testing of our products at a single location. This strategic initiative presented challenges for our Canadian operations in prior years, resulting in inefficiencies that led to higher operating costs, gross margin deterioration and operating losses. We took various actions in Canada to mitigate these challenges and continue to see improvements in operational performance. However, our Canadian project backlog has declined due to the adverse market conditions discussed above and we expect these adverse market conditions to negatively impact our Canadian operations for the foreseeable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2017 Compared to the Quarter Ended March 31, 2016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decreased by 31%, or $47.6 million, to $104.7 million in the second quarter of Fiscal 2017, compared to the second quarter of Fiscal 2016, primarily due to the continued decrease in our project backlog as we complete existing projects and continue to see lower demand from our customers in our core oil, gas and petrochemical markets. Domestic revenues decreased by 29%, or $31.2 million, to $75.5 million in the second quarter of Fiscal 2017, compared to the second quarter of Fiscal 2016, and international revenues decreased by 36%, or $16.3 million, to $29.1 million in the second quarter of Fiscal 2017, compared to the second quarter of Fiscal 2016. This reduction in revenue year over year was driven by the decline in our project backlog mentioned above. Revenues from commercial and industrial customers decreased by 40%, or $45.7 million, to $69.9 million in the second quarter of Fiscal 2017, compared to the second quarter of Fiscal 2016. Revenues from public and private utilities decreased by 40%, or $10.4 million, to $16.0 million in the second quarter of Fiscal 2017, compared to the second quarter of Fiscal 2016. Revenues from municipal and transit projects increased by 84%, or $8.6 million, to $18.8 million in the second quarter of Fiscal 2017, compared to the second quarter of Fiscal 2016 due to the timing of transit projects and our ability to ramp up across various facilities to meet our customer schedules.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second quarter of Fiscal 2017 decreased by 47%, or $14.3 million, to $15.8 million, compared to the second quarter of Fiscal 2016, primarily due to the decrease in revenues. Gross profit as a percentage of revenues decreased to 15% in the second quarter of Fiscal 2017, compared to 20% in the second quarter of Fiscal 2016. Our Canadian operations continued to see positive improvement in gross profit, which was offset primarily by the decline in gross profit in various domestic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Margins continued to be negatively impacted by our reduced volume as a result of weak oil and gas market conditions, competitive pricing pressures and increased volume from our transit projects, which typically have lower margins.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decreased by 16%, or $3.0 million, to $16.0 million during the second quarter of Fiscal 2017, compared to the second quarter of Fiscal 2016, primarily due to the cost reduction efforts we took in Fiscal 2016 in response to our reduced project backlog and adverse market outlook. Selling, general and administrative expenses, as a percentage of revenues, increased to 15% during the second quarter of Fiscal 2017, compared to 12% during the second quarter of Fiscal 2016, primarily due to the reduction in revenue quarter over quarter.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Fiscal 2017, we incurred $0.8 million in restructuring and separation costs as we continue to reduce our overall cost structure to better align our costs with future production requirements. In the second quarter of Fiscal 2016, we incurred approximately $3.3 million of separation costs due to the restructuring of our senior management team and a reduction in our work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income tax benefit of $1.3 million in the second quarter of Fiscal 2017, compared to an income tax provision of $0.7 million in the second quarter of Fiscal 2016. The effective tax rate for the second quarter of Fiscal 2017 was 62% compared to an effective tax rate of 12% in the second quarter of Fiscal 2016. The effective tax rates for the second quarter of Fiscal 2017 and 2016 were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second quarter of Fiscal 2017, we recorded a loss of $0.8 million, or $0.07 per diluted share compared to income of $5.6 million, or $0.49 per diluted share, in the second quarter of Fiscal 2016. Our decrease in selling, general and administrative expenses and restructuring and separation costs in the second quarter of Fiscal 2017 partially offset the reduction in revenue and gross profit compared to the second quarter of Fiscal 2016, as our project backlog has declined due to depressed market conditions, primarily in our core oil, gas and petrochemical markets.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March 31, 2017 was $227.9 million, which declined from $291.4 million at September 30, 2016. New orders declined during the second quarter of Fiscal 2017 to $62.0 million, compared to $116.9 million in the second quarter of Fiscal 2016, primarily due to lower demand from our customers in our core oil, gas and petrochemical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2017 Compared to the Six Months Ended March 31, 2016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Revenues decreased by 29% or $87.2 million, to $215.0 million for the six months ended March 31, 2017, compared to the six months ended March 31, 2016, primarily due to the continued decrease in our project backlog as we complete existing projects and continue to see lower demand from our customers in our core oil, gas and petrochemical markets. Domestic revenues decreased by 24%, or $51.1 million, to $161.2 million for the six months ended March 31, 2017, compared to the six months ended March 31, 2016, and international revenues decreased by 40% or $36.2 million, to $53.9 million for the six months ended March 31, 2017, compared to the six months ended March 31, 2016. This reduction in revenue year over year was driven by the decline in our project backlog mentioned above. Revenues from commercial and industrial customers decreased by 37%, or $85.5 million, to $142.6 million for the six months ended March 31, 2017, compared to the six months ended March 31, 2016. Revenues from public and private utilities decreased by 41%, or $22.6 million, to $32.5 million for the six months ended March 31, 2017, compared to the six months ended March 31, 2016. Revenues from municipal and transit projects increased by 111%, or $21.0 million, to $39.9 million for the six months ended March 31, 2017, compared to the six months ended March 31, 2016 due to the timing of transit projects and our ability to ramp up across various facilities to meet our customer schedules.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Gross profit for the six months ended March 31, 2017 decreased by 42%, or $22.4 million, to $30.8 million, compared to the six months ended March 31, 2016, primarily due to the decrease in revenues. Gross profit as a percentage of revenues decreased to 14% for the six months ended March 31, 2017, compared to 18% for the six months ended March 31, 2016. Our Canadian operations experienced an increase in gross profit, which was offset primarily by the decline in gross profit from our domestic operations. Margins were negatively impacted primarily by our reduced volume as a result of weak oil and gas market conditions, competitive pricing pressure and increased volume from our transit projects, which typically have lower margins.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decreased by 18%, or $6.7 million, to $31.7 million for the six months ended March 31, 2017, compared to the six months ended March 31, 2016, primarily due to the cost reduction efforts we took in Fiscal 2016 in response to our reduced project backlog and adverse market outlook. Selling, general and administrative expenses, as a percentage of revenues, increased to 15% for the six months ended March 31, 2017, compared to13% for the six months ended March 31, 2016, primarily due to the reduction in revenue discussed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March 31, 2017, we incurred $0.8 million in restructuring and separation costs as we continue to reduce our overall cost structure to better align our costs with future production requirements. For the six months ended March 31, 2016, we incurred $7.1 million of separation costs due to workforce reductions, as well as the departure of our former Chief Executive Officer in December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benefit of $2.8 million for the six months ended March 31, 2017, compared to an income tax benefit of $0.3 million for the six months ended March 31, 2016. The effective tax rate for the six months ended March 31, 2017 was 71% compared to a 7% benefit for six months ended March 31, 2016. The effective tax rates for the six months ended March 31, 2017 and 2016 were favorably impacted by the lower tax rate in the United Kingdom, the relative amounts of income/loss recognized in various jurisdictions, as well as the utilization of net operating loss carryforwards in Canada that are fully reserved with a valuation allowance. A discrete item related to the closing of an IRS audit recorded in the first quarter of Fiscal 2017 also favorably impacted the effective tax rate due to the release of a $0.3 million FIN 48 reserve relating to the Research and Development Tax Credit (R&amp;D Tax Credit). Additionally, the effective tax rate for the six months ended March 31, 2016 was favorably impacted by a $0.8 million discrete item recorded in the first quarter of Fiscal 2016 related to the retroactive reinstatement of the R&amp;D Tax Credit.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March 31, 2017, we recorded a loss of $1.1 million, or $0.10 per diluted share compared to income of $5.1 million, or $0.45 per diluted share, for the six months ended March 31, 2016. Our decrease in selling, general and administrative costs in the six months ended March 31, 2017, partially offset the reduction in revenue and gross profit compared to the six months ended March 31, 2016 as our project backlog has declined due to depressed market conditions, primarily in our core oil, gas and petrochemical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March 31, 2017 was $227.9 million, which declined from $291.4 million at September 30, 2016. New orders declined during the six months ended March 31, 2017 to $152.8 million, compared to $218.6 million for the six months ended March 31, 2016, primarily due to lower demand from our customers in our core oil, gas and petrochemical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short-term investments increased to $108.3 million at March 31, 2017, compared to $97.7 million at September 30, 2016. As of March 31, 2017, current assets exceeded current liabilities by 3.2 times and our debt to total capitalization was 0.61%.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$75.0 million revolving credit facility in the U.S. As of March 31, 2017, there were no amounts borrowed under this line of credit. We also have a $7.5 million revolving credit facility in Canada, and as of March 31, 2017 there were no amounts borrowed under this line of credit. Total letters of credit outstanding under our U.S. credit facility, which reduce our availability, were $21.4 million at March 31, 2017 and $26.8 million at September 30, 2016. There were no letters of credit outstanding under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Canadian revolving credit facility at March 31, 2017 or September 30, 2016. Amounts available at March 31, 2017 under the U.S. and Canadian revolving credit facilities were $53.6 million and $7.5 million, respectively. Total long-term debt, including current maturities, totaled $2.0 million at March 31, 2017, compared to $2.4 million at September 30, 2016. For further information regarding our debt, see Notes E and F of Notes to Condensed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$34 million of our cash and short-term investments at March 31, 2017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existing credit facilities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decreased to $19.7 million for the six months ended March 31, 2017, compared to cash provided by operating activities of $25.2 million during the same period in Fiscal 2016. This decrease in operating cash flow in the six months ended March 31, 2017 was primarily from increased incentive compensation payments in the first quarter of Fiscal 2017 and the reduction in earnings year over year, offset by reductions in accounts receivable due to lower project activity. Cash flow from operations is primarily influenced by the timing of milestone payments from our customers and the payment terms with our suppliers.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during the six months ended March 31, 2017 totaled $16.6 million compared to $1.1 million during the same period in Fiscal 2016. For the six months ended March 31, 2017, we invested $14.9 million in short-term investments and spent approximately $1.7 million on purchases of plant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$6.7 million for the six months ended March 31, 2017 and $10.9 million during the same period in Fiscal 2016. This reduction was primarily due to the completion of our share repurchase program in December 2015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2014, our Board of Directors authorized a share repurchase program which allowed us to repurchase up to $25 million of our outstanding stock. The purchases were made from time to time in the open market through Rule 10b5-1 trading plans in accordance with applicable laws, rules and regulations. The repurchase of shares was funded from cash on hand and cash provided by operating activities. The Repurchase Program expired on December 31, 2015. As of December 31, 2015, we had purchased 806,018 shares at an aggregate cost of $25 million under the Repurchase Program. The average purchase price per share since inception of the program was $31.02.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to our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Unfavorable oil and gas commodity price levels have caused, and may continue to cause, our customers to change their strategies or delay or cancel planned projects. The reduction in available projects across the markets we serve has increased market price pressures during this downward market cycle. This reduction in new business opportunities and increased market price pressures have impacted, and will continue to negatively impact, our backlog, revenues and operating results. It is difficult to predict the duration of the current depressed market cycle.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operating results have been, and may continue to be, negatively impacted by factors such as the timing of new order awards, customer approval of final engineering and design specifications and delays in customer construction schedules, all of which have and may continue to have, a negative impact on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If our core oil, gas and petrochemical markets remain depressed, or decline further, our project backlog could continue to decline and negatively impact our operations. In response to our reduced project backlog and depressed market outlook, we took steps in Fiscal 2016, and have taken additional actions in Fiscal 2017, to reduce our overall cost structure and better align our costs with future production requirements. We continue to assess our cost structure, operating performance and service offerings as the oil, gas and petrochemical markets remain challenging and uncertain. However, these actions will not be sufficient to avoid operating losses in the near-term and we expect to report a net loss in Fiscal 2017.</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facilities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six months ended March 31, 2017, our realized foreign exchange gains were $0.4 million and are included in selling, general and administrative expenses in the Condensed Consolidated Statements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$25.5 million as of March 31, 2017, an increase of $1.7 million compared to September 30, 2016.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one of our credit facilities,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40" w:hanging="818"/>
        <w:spacing w:after="0" w:line="293" w:lineRule="auto"/>
        <w:tabs>
          <w:tab w:leader="none" w:pos="140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420" w:right="20" w:hanging="818"/>
        <w:spacing w:after="0" w:line="277" w:lineRule="auto"/>
        <w:tabs>
          <w:tab w:leader="none" w:pos="140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24"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420" w:right="40" w:hanging="998"/>
        <w:spacing w:after="0" w:line="277" w:lineRule="auto"/>
        <w:tabs>
          <w:tab w:leader="none" w:pos="140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420" w:right="20" w:hanging="998"/>
        <w:spacing w:after="0" w:line="277" w:lineRule="auto"/>
        <w:tabs>
          <w:tab w:leader="none" w:pos="140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POWELL INDUSTRIES, INC.</w:t>
            </w:r>
          </w:p>
        </w:tc>
      </w:tr>
      <w:tr>
        <w:trPr>
          <w:trHeight w:val="270"/>
        </w:trPr>
        <w:tc>
          <w:tcPr>
            <w:tcW w:w="3360" w:type="dxa"/>
            <w:vAlign w:val="bottom"/>
          </w:tcPr>
          <w:p>
            <w:pPr>
              <w:spacing w:after="0"/>
              <w:rPr>
                <w:sz w:val="23"/>
                <w:szCs w:val="23"/>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540"/>
        </w:trPr>
        <w:tc>
          <w:tcPr>
            <w:tcW w:w="3360" w:type="dxa"/>
            <w:vAlign w:val="bottom"/>
          </w:tcPr>
          <w:p>
            <w:pPr>
              <w:spacing w:after="0"/>
              <w:rPr>
                <w:sz w:val="20"/>
                <w:szCs w:val="20"/>
                <w:color w:val="auto"/>
              </w:rPr>
            </w:pPr>
            <w:r>
              <w:rPr>
                <w:rFonts w:ascii="Arial" w:cs="Arial" w:eastAsia="Arial" w:hAnsi="Arial"/>
                <w:sz w:val="18"/>
                <w:szCs w:val="18"/>
                <w:color w:val="auto"/>
              </w:rPr>
              <w:t>Date: May 3, 2017</w:t>
            </w: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360" w:type="dxa"/>
            <w:vAlign w:val="bottom"/>
          </w:tcPr>
          <w:p>
            <w:pPr>
              <w:spacing w:after="0"/>
              <w:rPr>
                <w:sz w:val="24"/>
                <w:szCs w:val="24"/>
                <w:color w:val="auto"/>
              </w:rPr>
            </w:pP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tabs>
          <w:tab w:leader="none" w:pos="6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380" w:right="20" w:hanging="818"/>
        <w:spacing w:after="0" w:line="293" w:lineRule="auto"/>
        <w:tabs>
          <w:tab w:leader="none" w:pos="136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380" w:hanging="818"/>
        <w:spacing w:after="0" w:line="277" w:lineRule="auto"/>
        <w:tabs>
          <w:tab w:leader="none" w:pos="136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7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380" w:right="20" w:hanging="998"/>
        <w:spacing w:after="0" w:line="277" w:lineRule="auto"/>
        <w:tabs>
          <w:tab w:leader="none" w:pos="136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380" w:hanging="998"/>
        <w:spacing w:after="0" w:line="277" w:lineRule="auto"/>
        <w:tabs>
          <w:tab w:leader="none" w:pos="136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20"/>
        <w:spacing w:after="0"/>
        <w:tabs>
          <w:tab w:leader="none" w:pos="1360" w:val="left"/>
          <w:tab w:leader="none" w:pos="170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580"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3, 2017</w:t>
      </w:r>
    </w:p>
    <w:p>
      <w:pPr>
        <w:sectPr>
          <w:pgSz w:w="11900" w:h="16838" w:orient="portrait"/>
          <w:cols w:equalWidth="0" w:num="1">
            <w:col w:w="11420"/>
          </w:cols>
          <w:pgMar w:left="240" w:top="58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3, 2017</w:t>
      </w:r>
    </w:p>
    <w:p>
      <w:pPr>
        <w:sectPr>
          <w:pgSz w:w="11900" w:h="16838" w:orient="portrait"/>
          <w:cols w:equalWidth="0" w:num="1">
            <w:col w:w="11420"/>
          </w:cols>
          <w:pgMar w:left="240" w:top="58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March 31, 2017,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3, 2017</w:t>
      </w:r>
    </w:p>
    <w:p>
      <w:pPr>
        <w:sectPr>
          <w:pgSz w:w="11900" w:h="16838" w:orient="portrait"/>
          <w:cols w:equalWidth="0" w:num="1">
            <w:col w:w="11420"/>
          </w:cols>
          <w:pgMar w:left="24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March 31, 2017,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3, 2017</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2019-12-29T06:50:34Z</dcterms:created>
  <dcterms:modified xsi:type="dcterms:W3CDTF">2019-12-29T06:50:34Z</dcterms:modified>
</cp:coreProperties>
</file>