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414655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389255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64135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100965</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700" w:right="20" w:hanging="674"/>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00" w:right="40" w:hanging="674"/>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94615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3"/>
              </w:rPr>
              <w:t>Delaware</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jc w:val="center"/>
              <w:ind w:right="1378"/>
              <w:spacing w:after="0"/>
              <w:rPr>
                <w:sz w:val="20"/>
                <w:szCs w:val="20"/>
                <w:color w:val="auto"/>
              </w:rPr>
            </w:pPr>
            <w:r>
              <w:rPr>
                <w:rFonts w:ascii="Arial" w:cs="Arial" w:eastAsia="Arial" w:hAnsi="Arial"/>
                <w:sz w:val="18"/>
                <w:szCs w:val="18"/>
                <w:b w:val="1"/>
                <w:bCs w:val="1"/>
                <w:color w:val="auto"/>
                <w:w w:val="89"/>
              </w:rPr>
              <w:t>88-0106100</w:t>
            </w:r>
          </w:p>
        </w:tc>
      </w:tr>
      <w:tr>
        <w:trPr>
          <w:trHeight w:val="189"/>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Arial" w:cs="Arial" w:eastAsia="Arial" w:hAnsi="Arial"/>
                <w:sz w:val="14"/>
                <w:szCs w:val="14"/>
                <w:b w:val="1"/>
                <w:bCs w:val="1"/>
                <w:color w:val="auto"/>
                <w:w w:val="94"/>
              </w:rPr>
              <w:t>Identification No.)</w:t>
            </w:r>
          </w:p>
        </w:tc>
      </w:tr>
      <w:tr>
        <w:trPr>
          <w:trHeight w:val="230"/>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0"/>
              </w:rPr>
              <w:t>8550 Mosley Road</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0"/>
              </w:rPr>
              <w:t>Houston</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82"/>
              </w:rPr>
              <w:t>Texas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jc w:val="center"/>
              <w:ind w:right="1378"/>
              <w:spacing w:after="0"/>
              <w:rPr>
                <w:sz w:val="20"/>
                <w:szCs w:val="20"/>
                <w:color w:val="auto"/>
              </w:rPr>
            </w:pPr>
            <w:r>
              <w:rPr>
                <w:rFonts w:ascii="Arial" w:cs="Arial" w:eastAsia="Arial" w:hAnsi="Arial"/>
                <w:sz w:val="18"/>
                <w:szCs w:val="18"/>
                <w:b w:val="1"/>
                <w:bCs w:val="1"/>
                <w:color w:val="auto"/>
                <w:w w:val="89"/>
              </w:rPr>
              <w:t>77075-1180</w:t>
            </w:r>
          </w:p>
        </w:tc>
      </w:tr>
      <w:tr>
        <w:trPr>
          <w:trHeight w:val="186"/>
        </w:trPr>
        <w:tc>
          <w:tcPr>
            <w:tcW w:w="20" w:type="dxa"/>
            <w:vAlign w:val="bottom"/>
          </w:tcPr>
          <w:p>
            <w:pPr>
              <w:spacing w:after="0"/>
              <w:rPr>
                <w:sz w:val="16"/>
                <w:szCs w:val="16"/>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78"/>
              <w:spacing w:after="0"/>
              <w:rPr>
                <w:sz w:val="20"/>
                <w:szCs w:val="20"/>
                <w:color w:val="auto"/>
              </w:rPr>
            </w:pPr>
            <w:r>
              <w:rPr>
                <w:rFonts w:ascii="Arial" w:cs="Arial" w:eastAsia="Arial" w:hAnsi="Arial"/>
                <w:sz w:val="14"/>
                <w:szCs w:val="14"/>
                <w:b w:val="1"/>
                <w:bCs w:val="1"/>
                <w:color w:val="auto"/>
                <w:w w:val="95"/>
              </w:rPr>
              <w:t>(Zip Code)</w:t>
            </w:r>
          </w:p>
        </w:tc>
      </w:tr>
      <w:tr>
        <w:trPr>
          <w:trHeight w:val="372"/>
        </w:trPr>
        <w:tc>
          <w:tcPr>
            <w:tcW w:w="20" w:type="dxa"/>
            <w:vAlign w:val="bottom"/>
          </w:tcPr>
          <w:p>
            <w:pPr>
              <w:spacing w:after="0"/>
              <w:rPr>
                <w:sz w:val="24"/>
                <w:szCs w:val="24"/>
                <w:color w:val="auto"/>
              </w:rPr>
            </w:pPr>
          </w:p>
        </w:tc>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(713) 944-6900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r>
      <w:tr>
        <w:trPr>
          <w:trHeight w:val="331"/>
        </w:trPr>
        <w:tc>
          <w:tcPr>
            <w:tcW w:w="47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7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3"/>
          </w:tcPr>
          <w:p>
            <w:pPr>
              <w:jc w:val="center"/>
              <w:ind w:right="820"/>
              <w:spacing w:after="0"/>
              <w:rPr>
                <w:sz w:val="20"/>
                <w:szCs w:val="20"/>
                <w:color w:val="auto"/>
              </w:rPr>
            </w:pPr>
            <w:r>
              <w:rPr>
                <w:rFonts w:ascii="Arial" w:cs="Arial" w:eastAsia="Arial" w:hAnsi="Arial"/>
                <w:sz w:val="18"/>
                <w:szCs w:val="18"/>
                <w:color w:val="auto"/>
                <w:w w:val="93"/>
              </w:rPr>
              <w:t>Trading Symbol</w:t>
            </w:r>
          </w:p>
        </w:tc>
        <w:tc>
          <w:tcPr>
            <w:tcW w:w="3960" w:type="dxa"/>
            <w:vAlign w:val="bottom"/>
          </w:tcPr>
          <w:p>
            <w:pPr>
              <w:jc w:val="center"/>
              <w:ind w:right="418"/>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POWL</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jc w:val="center"/>
              <w:ind w:right="418"/>
              <w:spacing w:after="0"/>
              <w:rPr>
                <w:sz w:val="20"/>
                <w:szCs w:val="20"/>
                <w:color w:val="auto"/>
              </w:rPr>
            </w:pPr>
            <w:r>
              <w:rPr>
                <w:rFonts w:ascii="Arial" w:cs="Arial" w:eastAsia="Arial" w:hAnsi="Arial"/>
                <w:sz w:val="18"/>
                <w:szCs w:val="18"/>
                <w:color w:val="auto"/>
                <w:w w:val="96"/>
              </w:rPr>
              <w:t>NASDAQ Global Market</w:t>
            </w:r>
          </w:p>
        </w:tc>
      </w:tr>
    </w:tbl>
    <w:p>
      <w:pPr>
        <w:spacing w:after="0" w:line="14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572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May 3, 2021, there were 11,691,673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89"/>
        </w:trPr>
        <w:tc>
          <w:tcPr>
            <w:tcW w:w="2440" w:type="dxa"/>
            <w:vAlign w:val="bottom"/>
            <w:tcBorders>
              <w:bottom w:val="single" w:sz="8" w:color="0000FF"/>
            </w:tcBorders>
            <w:gridSpan w:val="9"/>
          </w:tcPr>
          <w:p>
            <w:pPr>
              <w:spacing w:after="0" w:line="189"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 Financial Information</w:t>
              </w:r>
            </w:hyperlink>
          </w:p>
        </w:tc>
        <w:tc>
          <w:tcPr>
            <w:tcW w:w="8040" w:type="dxa"/>
            <w:vAlign w:val="bottom"/>
            <w:gridSpan w:val="11"/>
          </w:tcPr>
          <w:p>
            <w:pPr>
              <w:spacing w:after="0"/>
              <w:rPr>
                <w:sz w:val="16"/>
                <w:szCs w:val="16"/>
                <w:color w:val="auto"/>
              </w:rPr>
            </w:pPr>
          </w:p>
        </w:tc>
        <w:tc>
          <w:tcPr>
            <w:tcW w:w="720" w:type="dxa"/>
            <w:vAlign w:val="bottom"/>
          </w:tcPr>
          <w:p>
            <w:pPr>
              <w:jc w:val="right"/>
              <w:spacing w:after="0" w:line="189" w:lineRule="exact"/>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10"/>
        </w:trPr>
        <w:tc>
          <w:tcPr>
            <w:tcW w:w="1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700" w:type="dxa"/>
            <w:vAlign w:val="bottom"/>
            <w:tcBorders>
              <w:top w:val="single" w:sz="8" w:color="0000FF"/>
            </w:tcBorders>
            <w:gridSpan w:val="11"/>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6460" w:type="dxa"/>
            <w:vAlign w:val="bottom"/>
            <w:gridSpan w:val="7"/>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tcBorders>
              <w:bottom w:val="single" w:sz="8" w:color="0000FF"/>
            </w:tcBorders>
            <w:gridSpan w:val="15"/>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560" w:type="dxa"/>
            <w:vAlign w:val="bottom"/>
            <w:gridSpan w:val="3"/>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tcBorders>
              <w:bottom w:val="single" w:sz="8" w:color="0000FF"/>
            </w:tcBorders>
            <w:gridSpan w:val="14"/>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5780" w:type="dxa"/>
            <w:vAlign w:val="bottom"/>
            <w:gridSpan w:val="4"/>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7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Item 2. Management’s Discussion and Analysis of Financial Condition and Results of Operations</w:t>
              </w:r>
            </w:hyperlink>
          </w:p>
        </w:tc>
        <w:tc>
          <w:tcPr>
            <w:tcW w:w="3340" w:type="dxa"/>
            <w:vAlign w:val="bottom"/>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21</w:t>
              </w:r>
            </w:hyperlink>
          </w:p>
        </w:tc>
      </w:tr>
      <w:tr>
        <w:trPr>
          <w:trHeight w:val="209"/>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Item 3.</w:t>
              </w:r>
            </w:hyperlink>
          </w:p>
        </w:tc>
        <w:tc>
          <w:tcPr>
            <w:tcW w:w="4380" w:type="dxa"/>
            <w:vAlign w:val="bottom"/>
            <w:tcBorders>
              <w:bottom w:val="single" w:sz="8" w:color="0000FF"/>
            </w:tcBorders>
            <w:gridSpan w:val="15"/>
          </w:tcPr>
          <w:p>
            <w:pPr>
              <w:ind w:left="20"/>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Quantitative and Qualitative Disclosures About Market Risk</w:t>
              </w:r>
            </w:hyperlink>
          </w:p>
        </w:tc>
        <w:tc>
          <w:tcPr>
            <w:tcW w:w="5440" w:type="dxa"/>
            <w:vAlign w:val="bottom"/>
            <w:gridSpan w:val="2"/>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26</w:t>
              </w:r>
            </w:hyperlink>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Item 4.</w:t>
              </w:r>
            </w:hyperlink>
          </w:p>
        </w:tc>
        <w:tc>
          <w:tcPr>
            <w:tcW w:w="1800" w:type="dxa"/>
            <w:vAlign w:val="bottom"/>
            <w:tcBorders>
              <w:bottom w:val="single" w:sz="8" w:color="0000FF"/>
            </w:tcBorders>
            <w:gridSpan w:val="7"/>
          </w:tcPr>
          <w:p>
            <w:pPr>
              <w:ind w:left="20"/>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8020" w:type="dxa"/>
            <w:vAlign w:val="bottom"/>
            <w:gridSpan w:val="10"/>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r>
      <w:tr>
        <w:trPr>
          <w:trHeight w:val="371"/>
        </w:trPr>
        <w:tc>
          <w:tcPr>
            <w:tcW w:w="10480" w:type="dxa"/>
            <w:vAlign w:val="bottom"/>
            <w:gridSpan w:val="20"/>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 Other Information</w:t>
              </w:r>
            </w:hyperlink>
          </w:p>
        </w:tc>
        <w:tc>
          <w:tcPr>
            <w:tcW w:w="7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r>
      <w:tr>
        <w:trPr>
          <w:trHeight w:val="210"/>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1.</w:t>
              </w:r>
            </w:hyperlink>
          </w:p>
        </w:tc>
        <w:tc>
          <w:tcPr>
            <w:tcW w:w="136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9"/>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1A. Risk Factors</w:t>
              </w:r>
            </w:hyperlink>
          </w:p>
        </w:tc>
        <w:tc>
          <w:tcPr>
            <w:tcW w:w="8760" w:type="dxa"/>
            <w:vAlign w:val="bottom"/>
            <w:gridSpan w:val="14"/>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9">
              <w:r>
                <w:rPr>
                  <w:rFonts w:ascii="Arial" w:cs="Arial" w:eastAsia="Arial" w:hAnsi="Arial"/>
                  <w:sz w:val="18"/>
                  <w:szCs w:val="18"/>
                  <w:color w:val="0000FF"/>
                  <w:w w:val="94"/>
                </w:rPr>
                <w:t>Item 6.</w:t>
              </w:r>
            </w:hyperlink>
          </w:p>
        </w:tc>
        <w:tc>
          <w:tcPr>
            <w:tcW w:w="9820" w:type="dxa"/>
            <w:vAlign w:val="bottom"/>
            <w:gridSpan w:val="17"/>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7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9200" w:type="dxa"/>
            <w:vAlign w:val="bottom"/>
            <w:gridSpan w:val="15"/>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3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September 30, 2020</w:t>
            </w:r>
          </w:p>
        </w:tc>
        <w:tc>
          <w:tcPr>
            <w:tcW w:w="0" w:type="dxa"/>
            <w:vAlign w:val="bottom"/>
          </w:tcPr>
          <w:p>
            <w:pPr>
              <w:spacing w:after="0"/>
              <w:rPr>
                <w:sz w:val="1"/>
                <w:szCs w:val="1"/>
                <w:color w:val="auto"/>
              </w:rPr>
            </w:pPr>
          </w:p>
        </w:tc>
      </w:tr>
      <w:tr>
        <w:trPr>
          <w:trHeight w:val="216"/>
        </w:trPr>
        <w:tc>
          <w:tcPr>
            <w:tcW w:w="764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18,705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less allowance for credit losses of $382 and $510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42,728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50,995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113,653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114,372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12,226</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54,098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79,445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Accrued product warranty</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120,955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152,947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6,710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165,652</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Commitments and Contingencies (Note F)</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Preferred stock, par value $0.01; 5,000,000 shares authorized; none issued</w:t>
            </w:r>
          </w:p>
        </w:tc>
        <w:tc>
          <w:tcPr>
            <w:tcW w:w="2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7"/>
              </w:rPr>
              <w:t>Common stock, par value $0.01; 30,000,000 shares authorized; 12,497,691 and 12,422,411 shares issued,</w:t>
            </w: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61,998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Treasury stock, 806,018 shares at cost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(24,513)</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151,570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225,291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285,720</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121,885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189,867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234,209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35,861</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12,888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left="340" w:right="270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March 31,</w:t>
            </w:r>
          </w:p>
        </w:tc>
      </w:tr>
      <w:tr>
        <w:trPr>
          <w:trHeight w:val="209"/>
        </w:trPr>
        <w:tc>
          <w:tcPr>
            <w:tcW w:w="53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894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669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30, 2020</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12,422</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294,016</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(24,513)</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306,626</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(3,028)</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(3,028)</w:t>
            </w:r>
          </w:p>
        </w:tc>
        <w:tc>
          <w:tcPr>
            <w:tcW w:w="0" w:type="dxa"/>
            <w:vAlign w:val="bottom"/>
          </w:tcPr>
          <w:p>
            <w:pPr>
              <w:spacing w:after="0"/>
              <w:rPr>
                <w:sz w:val="1"/>
                <w:szCs w:val="1"/>
                <w:color w:val="auto"/>
              </w:rPr>
            </w:pP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31, 2020</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12,481</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62,259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290,624</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307,845</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79"/>
        </w:trPr>
        <w:tc>
          <w:tcPr>
            <w:tcW w:w="17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12,498</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63,112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287,364</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(19,270)</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306,332</w:t>
            </w: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30, 2019</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12,373</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59,153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289,422</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(24,547)</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299,153</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2,775</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(3,013)</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31, 2019</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12,403</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289,184</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301,673</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7,421</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12,420</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60,492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293,590</w:t>
            </w:r>
          </w:p>
        </w:tc>
        <w:tc>
          <w:tcPr>
            <w:tcW w:w="140" w:type="dxa"/>
            <w:vAlign w:val="bottom"/>
          </w:tcPr>
          <w:p>
            <w:pPr>
              <w:spacing w:after="0"/>
              <w:rPr>
                <w:sz w:val="16"/>
                <w:szCs w:val="16"/>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(29,076)</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300,131</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891" w:right="1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Six months ended March 31,</w:t>
            </w:r>
          </w:p>
        </w:tc>
        <w:tc>
          <w:tcPr>
            <w:tcW w:w="1240" w:type="dxa"/>
            <w:vAlign w:val="bottom"/>
            <w:tcBorders>
              <w:bottom w:val="single" w:sz="8" w:color="auto"/>
            </w:tcBorders>
          </w:tcPr>
          <w:p>
            <w:pPr>
              <w:spacing w:after="0"/>
              <w:rPr>
                <w:sz w:val="16"/>
                <w:szCs w:val="16"/>
                <w:color w:val="auto"/>
              </w:rPr>
            </w:pPr>
          </w:p>
        </w:tc>
      </w:tr>
      <w:tr>
        <w:trPr>
          <w:trHeight w:val="209"/>
        </w:trPr>
        <w:tc>
          <w:tcPr>
            <w:tcW w:w="68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b w:val="1"/>
                <w:bCs w:val="1"/>
                <w:color w:val="auto"/>
              </w:rPr>
              <w:t>2020</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10,196</w:t>
            </w:r>
          </w:p>
        </w:tc>
      </w:tr>
      <w:tr>
        <w:trPr>
          <w:trHeight w:val="176"/>
        </w:trPr>
        <w:tc>
          <w:tcPr>
            <w:tcW w:w="68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Adjustments to reconcile net income (loss) to net cash provided by (used in) operating</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5,241</w:t>
            </w: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Bad debt expense (recovery),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68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w:t>
            </w:r>
          </w:p>
        </w:tc>
      </w:tr>
      <w:tr>
        <w:trPr>
          <w:trHeight w:val="230"/>
        </w:trPr>
        <w:tc>
          <w:tcPr>
            <w:tcW w:w="6860" w:type="dxa"/>
            <w:vAlign w:val="bottom"/>
          </w:tcPr>
          <w:p>
            <w:pPr>
              <w:ind w:left="460"/>
              <w:spacing w:after="0"/>
              <w:rPr>
                <w:sz w:val="20"/>
                <w:szCs w:val="20"/>
                <w:color w:val="auto"/>
              </w:rPr>
            </w:pPr>
            <w:r>
              <w:rPr>
                <w:rFonts w:ascii="Arial" w:cs="Arial" w:eastAsia="Arial" w:hAnsi="Arial"/>
                <w:sz w:val="18"/>
                <w:szCs w:val="18"/>
                <w:color w:val="auto"/>
              </w:rPr>
              <w:t>Contract assets and liabilities,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(19,614)</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(5,602)</w:t>
            </w: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r>
      <w:tr>
        <w:trPr>
          <w:trHeight w:val="229"/>
        </w:trPr>
        <w:tc>
          <w:tcPr>
            <w:tcW w:w="6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r>
      <w:tr>
        <w:trPr>
          <w:trHeight w:val="223"/>
        </w:trPr>
        <w:tc>
          <w:tcPr>
            <w:tcW w:w="6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15,788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6,146</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life insurance policies</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industrial development revenue bonds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Shares withheld in lieu of employee tax withholding</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r>
      <w:tr>
        <w:trPr>
          <w:trHeight w:val="223"/>
        </w:trPr>
        <w:tc>
          <w:tcPr>
            <w:tcW w:w="686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(7,039)</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118,639</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120,571</w:t>
            </w:r>
          </w:p>
        </w:tc>
      </w:tr>
      <w:tr>
        <w:trPr>
          <w:trHeight w:val="20"/>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Overview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markets, including onshore and offshore oil and gas production, petrochemical, liquefied natural gas (LNG) terminals, pipeline, terminal, mining and metals, light rail traction power, electric utility, pulp and paper and other heavy industrial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Oil and Gas Commodity Market Volatility on Powell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the first half of Fiscal 2021, the COVID-19 pandemic continues to significantly impact global economic conditions. This pandemic has negatively impacted energy demand, which in turn has resulted in considerable volatility across global oil and gas commodity markets.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consequences of a prolonged global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2020, which was filed with the Securities and Exchange Commission (SEC) on December 9,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2021 and Fiscal 2020 used throughout this report shall mean our fiscal years ended September 30, 2021 and 2020,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Financial Accounting Standards Board (FASB) issued a new topic on measurement of credit losses. The topic introduces an impairment model known as the current expected credit loss (CECL) model that is based on an expected loss methodology rather than an incurred loss methodology for financial instruments. Under the new topic, an entity recognizes as an allowance its estimate of expected credit losses with the intention of improving financial reporting by requiring timelier recognition of such losses. We adopted this topic on October 1, 2020 and such adoption did not have a material impact on our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ectPr>
          <w:pgSz w:w="11900" w:h="16838" w:orient="portrait"/>
          <w:cols w:equalWidth="0" w:num="1">
            <w:col w:w="11240"/>
          </w:cols>
          <w:pgMar w:left="320" w:top="1219" w:right="339" w:bottom="1440" w:gutter="0" w:footer="0" w:header="0"/>
        </w:sectPr>
      </w:pPr>
    </w:p>
    <w:p>
      <w:pPr>
        <w:spacing w:after="0" w:line="121"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31115</wp:posOffset>
            </wp:positionV>
            <wp:extent cx="20231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60" w:lineRule="exact"/>
        <w:rPr>
          <w:sz w:val="20"/>
          <w:szCs w:val="20"/>
          <w:color w:val="auto"/>
        </w:rPr>
      </w:pPr>
    </w:p>
    <w:p>
      <w:pPr>
        <w:ind w:left="5220"/>
        <w:spacing w:after="0"/>
        <w:tabs>
          <w:tab w:leader="none" w:pos="686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31115</wp:posOffset>
            </wp:positionV>
            <wp:extent cx="2040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60"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61" w:lineRule="exact"/>
        <w:rPr>
          <w:sz w:val="20"/>
          <w:szCs w:val="20"/>
          <w:color w:val="auto"/>
        </w:rPr>
      </w:pPr>
    </w:p>
    <w:p>
      <w:pPr>
        <w:sectPr>
          <w:pgSz w:w="11900" w:h="16838" w:orient="portrait"/>
          <w:cols w:equalWidth="0" w:num="2">
            <w:col w:w="7920" w:space="720"/>
            <w:col w:w="2600"/>
          </w:cols>
          <w:pgMar w:left="320" w:top="1219" w:right="339" w:bottom="1440" w:gutter="0" w:footer="0" w:header="0"/>
          <w:type w:val="continuous"/>
        </w:sectPr>
      </w:pPr>
    </w:p>
    <w:p>
      <w:pPr>
        <w:ind w:left="20"/>
        <w:spacing w:after="0"/>
        <w:rPr>
          <w:sz w:val="20"/>
          <w:szCs w:val="20"/>
          <w:color w:val="auto"/>
        </w:rPr>
      </w:pPr>
      <w:r>
        <w:rPr>
          <w:rFonts w:ascii="Arial" w:cs="Arial" w:eastAsia="Arial" w:hAnsi="Arial"/>
          <w:sz w:val="18"/>
          <w:szCs w:val="18"/>
          <w:i w:val="1"/>
          <w:iCs w:val="1"/>
          <w:color w:val="auto"/>
        </w:rPr>
        <w:t>Numerator: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Weighted average basic shares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11,707</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11,617</w:t>
            </w: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restricted stock units</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Weighted average diluted shares</w:t>
            </w: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11,690</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March 31, 2021, we incurred a net loss and therefore all potential common shares were deemed to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C.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credit losses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140" w:type="dxa"/>
            <w:vAlign w:val="bottom"/>
            <w:tcBorders>
              <w:bottom w:val="single" w:sz="8" w:color="auto"/>
            </w:tcBorders>
            <w:gridSpan w:val="6"/>
          </w:tcPr>
          <w:p>
            <w:pPr>
              <w:jc w:val="right"/>
              <w:ind w:right="535"/>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8"/>
              </w:rPr>
              <w:t>Six months ended March 31,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Bad debt expense (recovery), net</w:t>
            </w:r>
          </w:p>
        </w:tc>
        <w:tc>
          <w:tcPr>
            <w:tcW w:w="980" w:type="dxa"/>
            <w:vAlign w:val="bottom"/>
          </w:tcPr>
          <w:p>
            <w:pPr>
              <w:spacing w:after="0"/>
              <w:rPr>
                <w:sz w:val="19"/>
                <w:szCs w:val="19"/>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0"/>
              </w:rPr>
              <w:t>(113)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Uncollectible accounts written off, net of recoveries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The components of inventories are summarized below (in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9"/>
        </w:trPr>
        <w:tc>
          <w:tcPr>
            <w:tcW w:w="47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 parts and sub-assemblies, net</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29,302</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Work-in-progress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inventories</w:t>
            </w:r>
          </w:p>
        </w:tc>
        <w:tc>
          <w:tcPr>
            <w:tcW w:w="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30,031</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Product Warranty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March 31,</w:t>
            </w:r>
          </w:p>
        </w:tc>
        <w:tc>
          <w:tcPr>
            <w:tcW w:w="580" w:type="dxa"/>
            <w:vAlign w:val="bottom"/>
            <w:tcBorders>
              <w:bottom w:val="single" w:sz="8" w:color="auto"/>
            </w:tcBorders>
          </w:tcPr>
          <w:p>
            <w:pPr>
              <w:spacing w:after="0"/>
              <w:rPr>
                <w:sz w:val="16"/>
                <w:szCs w:val="16"/>
                <w:color w:val="auto"/>
              </w:rPr>
            </w:pPr>
          </w:p>
        </w:tc>
      </w:tr>
      <w:tr>
        <w:trPr>
          <w:trHeight w:val="210"/>
        </w:trPr>
        <w:tc>
          <w:tcPr>
            <w:tcW w:w="47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2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3,162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Increase to warranty expense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30"/>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 for warranty charges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(1,388)</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(1,315)</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4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3,276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3,276</w:t>
            </w: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the three months ended March 31, 2021, 92% of total revenues for the six months ended March 31, 2021 and 96% of total revenues for each of the three and six months ended March 31, 2020.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7% of total revenues for the three months ended March 31, 2021, 8% of total revenues for the six months ended March 31, 2021 and 4% of total revenues for each of the three and six months ended March 31, 2020.</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 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March 31, 2021, we had backlog of $436.6 million, of which approximately $322.7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March 31, 2021 and 2020, our operating results were positively impacted by $8.2 million and $9.0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of revenue recognition, billings and cash collections affects accounts receivable, contract assets and contract liabilities in our Condensed Consolidated Balance Sheets.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 The timing of contract billing milestones related to our Fiscal 2020 contract award for a large industrial project contributed significantly to our net contract liability at September 30, 2020 and March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March 31, 2021 and September 30, 2020 are summarized below (in thousands):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0"/>
              </w:rPr>
              <w:t>42,728</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90"/>
              </w:rPr>
              <w:t>50,995</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w w:val="92"/>
              </w:rPr>
              <w:t>(54,098)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5"/>
              <w:spacing w:after="0"/>
              <w:rPr>
                <w:sz w:val="20"/>
                <w:szCs w:val="20"/>
                <w:color w:val="auto"/>
              </w:rPr>
            </w:pPr>
            <w:r>
              <w:rPr>
                <w:rFonts w:ascii="Arial" w:cs="Arial" w:eastAsia="Arial" w:hAnsi="Arial"/>
                <w:sz w:val="18"/>
                <w:szCs w:val="18"/>
                <w:color w:val="auto"/>
                <w:w w:val="92"/>
              </w:rPr>
              <w:t>(79,445)</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center"/>
              <w:ind w:left="675"/>
              <w:spacing w:after="0"/>
              <w:rPr>
                <w:sz w:val="20"/>
                <w:szCs w:val="20"/>
                <w:color w:val="auto"/>
              </w:rPr>
            </w:pPr>
            <w:r>
              <w:rPr>
                <w:rFonts w:ascii="Arial" w:cs="Arial" w:eastAsia="Arial" w:hAnsi="Arial"/>
                <w:sz w:val="18"/>
                <w:szCs w:val="18"/>
                <w:color w:val="auto"/>
                <w:w w:val="89"/>
              </w:rPr>
              <w:t>(11,370)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2"/>
              </w:rPr>
              <w:t>(28,450)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decrease in net contract liability at March 31, 2021 from September 30, 2020 was primarily due to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six months ended March 31, 2021, we recognized revenue of approximately $55.2 million that was related to contract liabilities outstanding at September 30, 2020.</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March 31, 2021 and September 30, 2020, accounts receivable included retention amounts of $8.8 million and $6.9 million, respectively. Of the retained amount at March 31, 2021, $7.1 million is expected to be collected in the next twelve months and is recorded in accounts receivable. The remaining $1.7 million is recorded in other assets.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six months ended March 31,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121,432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168,525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15,407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31,825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5,456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4,725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 Central and South America</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revenues by geographic destination</w:t>
            </w: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151,570</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225,291</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51,954</w:t>
            </w:r>
          </w:p>
        </w:tc>
        <w:tc>
          <w:tcPr>
            <w:tcW w:w="2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90,171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Petrochemical</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47,337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19,361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utility</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2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56,622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Traction power</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13,944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28,501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2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30,636</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revenues by market sector</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151,570</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225,291</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 Long-Term Debt</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9"/>
        </w:trPr>
        <w:tc>
          <w:tcPr>
            <w:tcW w:w="45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development revenue bonds</w:t>
            </w: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ind w:left="652"/>
              <w:spacing w:after="0"/>
              <w:rPr>
                <w:sz w:val="20"/>
                <w:szCs w:val="20"/>
                <w:color w:val="auto"/>
              </w:rPr>
            </w:pPr>
            <w:r>
              <w:rPr>
                <w:rFonts w:ascii="Arial" w:cs="Arial" w:eastAsia="Arial" w:hAnsi="Arial"/>
                <w:sz w:val="18"/>
                <w:szCs w:val="18"/>
                <w:color w:val="auto"/>
                <w:w w:val="86"/>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current portion</w:t>
            </w: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0"/>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long-term debt</w:t>
            </w: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center"/>
              <w:ind w:left="652"/>
              <w:spacing w:after="0"/>
              <w:rPr>
                <w:sz w:val="20"/>
                <w:szCs w:val="20"/>
                <w:color w:val="auto"/>
              </w:rPr>
            </w:pPr>
            <w:r>
              <w:rPr>
                <w:rFonts w:ascii="Arial" w:cs="Arial" w:eastAsia="Arial" w:hAnsi="Arial"/>
                <w:sz w:val="18"/>
                <w:szCs w:val="18"/>
                <w:color w:val="auto"/>
                <w:w w:val="86"/>
              </w:rPr>
              <w:t>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 credit agreement with Bank of America, N.A. (the "U.S. Revolver") which is a $75.0 million revolving credit facility that is available for both borrowings and letters of credit and expires September 27, 2024. On March 12, 2021, we entered into a first amendment to the U.S. Revolver which, among other things, amended certain terms related to the calculation of the consolidated leverage ratio from gross leverage to net leverage. As a result of the first amendment, up to $30 million may be deducted from the amount of letters of credit outstanding (not to be less than zero) when calculating the consolidated funded indebtedness which is a component of the consolidated net leverage ratio. Additionally, we now have the option to cash collateralize all or a portion of the letters of credit outstanding, which would favorably impact the consolidated funded indebtedness calculation and the consolidated net leverage ratio. As of March 31, 2021, there were no amounts borrowed under the U.S. Revolver and letters of credit outstanding were $38.6 million. There was $36.4 million available for the issuance of letters of credit and borrowings under the U.S. Revolver as of March 31, 2021.</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required to maintain certain financial covenants, the most significant of which are a consolidated net leverage ratio less than 3.0 to 1.0 and a consolidated interest coverage ratio of greater than 3.0 to 1.0. The consolidated leverage ratio is our most restrictive covenant and a decrease in our earnings before interest, taxes, depreciation, amortization and stock-based compensation (EBITDAS) could restrict our ability to issue letters of credit and borrow under the U.S. Revolver. Additionally, we must maintain a consolidated cash balance of $30 million at all times, which now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March 31, 2021, we were in compliance with all of the financial covenants of the U.S. Revolver.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leverage ratio.</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$8.0 million in October 2001 through a loan agreement funded with proceeds from tax-exempt industrial development revenue bonds (Bonds) for the completion of our Northlake, Illinois facility. The Bonds are subject to various covenants, for which we were in compliance at March 31, 2021. The Bonds mature in October 2021 and bear interest at a floating rate determined weekly by the Bonds’ remarketing agent. This interest rate was 0.14% as of March 31, 2021.</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Bank Guarantees and Bonds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$38.6 million as of March 31, 2021. We also had surety bonds totaling $173.4 million that were outstanding, with additional bonding capacity of $276.6 million available, at March 31, 2021. At present, we have strong surety relationships; however a change in market conditions or the sureties' assessment of our financial position could cause the sureties to require cash collateralization for undischarged liabilities under the bonds.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$9.6 million facility agreement (Facility Agreement) between Powell (UK) Limited and a large international bank that provides Powell (UK) Limited the ability to enter into bank guarantees as well as forward exchange contracts and currency options. At March 31, 2021, we had outstanding guarantees totaling $6.8 million and amounts available under this Facility Agreement were $2.8 million. The Facility Agreement expires in May 2021 and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March 31, 2021, we were in compliance with all of the financial covenants of the Facility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Annual Report on Form 10-K for the fiscal year ended September 30, 2020 for a full description of our existing stock-based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March 31, 2021, there were 202,836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six months ended March 31, 2021 is summarized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Grant Value</w:t>
            </w:r>
          </w:p>
        </w:tc>
      </w:tr>
      <w:tr>
        <w:trPr>
          <w:trHeight w:val="188"/>
        </w:trPr>
        <w:tc>
          <w:tcPr>
            <w:tcW w:w="826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24"/>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104,550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8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202,836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30.34</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March 31, 2021 and 2020, we recorded compensation expense of $1.3 million and $1.5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2021, 16,800 shares of restricted stock were issued to our non-employee directors under the 2014 Non-Employee Director Equity Incentive Plan at a price of $31.33 per share. During both the six months ended March 31, 2021 and 2020, we recorded compensation expense of $0.4 million related to restricted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Measurements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March 31, 2021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Fair Value Measurements at March 31, 2021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134,093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ind w:left="114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134,093</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8,712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September 30, 2020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68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6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Inputs</w:t>
            </w:r>
          </w:p>
        </w:tc>
        <w:tc>
          <w:tcPr>
            <w:tcW w:w="16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160,216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160,216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 and 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 Leases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and six months ended March 31, 2021 and 2020, respectively (in thousands):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March 31,</w:t>
            </w:r>
          </w:p>
        </w:tc>
      </w:tr>
      <w:tr>
        <w:trPr>
          <w:trHeight w:val="216"/>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Cost</w:t>
            </w: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629</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Less: sublease income</w:t>
            </w: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(177)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109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4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319</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4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880</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Variable lease cost represents common area maintenance charges related to our Canadian office space lease.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Short-term lease cost includes leases and rentals with initial terms of one year or less.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Our operating lease assets have been reduced by a lease accrual of $0.5 million related to certain unused facility leases in Canada. The following table provides a summary of the operating lease assets and operating lease liabilities included in our Condensed Consolidated Balance Sheets as of March 31, 2021 and September 30, 2020, respectively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Leases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March 31, 2021</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 2020</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Operating lease assets, net</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4,390</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5,217</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Current operating lease liabilities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1,948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2,352</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2,897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Total lease liabilities</w:t>
            </w:r>
          </w:p>
        </w:tc>
        <w:tc>
          <w:tcPr>
            <w:tcW w:w="170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40" w:type="dxa"/>
            <w:vAlign w:val="bottom"/>
            <w:gridSpan w:val="4"/>
          </w:tcPr>
          <w:p>
            <w:pPr>
              <w:spacing w:after="0"/>
              <w:rPr>
                <w:sz w:val="20"/>
                <w:szCs w:val="20"/>
                <w:color w:val="auto"/>
              </w:rPr>
            </w:pPr>
            <w:r>
              <w:rPr>
                <w:rFonts w:ascii="Arial" w:cs="Arial" w:eastAsia="Arial" w:hAnsi="Arial"/>
                <w:sz w:val="18"/>
                <w:szCs w:val="18"/>
                <w:color w:val="auto"/>
                <w:w w:val="93"/>
              </w:rPr>
              <w:t>The following table provides the maturities of our operating lease liabilities as of March 31, 2021 (in thousands):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7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2,387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present value discount (imputed interest)</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discount rate as of March 31, 2021 was 4.1%. The weighted average remaining lease term was 2.1 years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Six months ended March 31,</w:t>
            </w:r>
          </w:p>
        </w:tc>
      </w:tr>
      <w:tr>
        <w:trPr>
          <w:trHeight w:val="209"/>
        </w:trPr>
        <w:tc>
          <w:tcPr>
            <w:tcW w:w="4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9,555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12,888</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2,134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2,692</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(225)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7,421</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10,196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(benefit) reflects an effective tax rate on pre-tax income (loss) of 81% for the second quarter of Fiscal 2021 compared to 22% for the second quarter of Fiscal 2020. For the three and six months ended March 31, 2021, the income tax benefit largely resulted from the relative amounts of income/loss recognized in various tax jurisdictions, the utilization of net operating loss carryforwards in Canada that have been fully reserved with a valuation allowance, and the estimated Research and Development Tax Credit (R&amp;D Tax Credit).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for the three and six months ended March 31, 2020 was favorably impacted by the R&amp;D Tax Credit as well as the projected utilization of net operating loss carryforwards in Canada that were fully reserved with a valuation allowance. These favorable impacts were offset by the valuation allowance recorded against our UK deferred tax assets as a discrete item during the second quarter of Fiscal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2021, our Board of Directors declared a quarterly cash dividend on our common stock in the amount of $0.26 per share. The dividend is payable on June 16, 2021 to shareholders of record at the close of business on May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Business and Industry</w:t>
      </w:r>
    </w:p>
    <w:p>
      <w:pPr>
        <w:spacing w:after="0" w:line="117" w:lineRule="exact"/>
        <w:rPr>
          <w:sz w:val="20"/>
          <w:szCs w:val="20"/>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the cyclical nature of the end markets that we serve. This has had, and may continue to have, an adverse effect on our future operating results.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requires skilled and unskilled labor, and we may be unable to attract and retain qualified employees.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w:t>
      </w:r>
      <w:r>
        <w:rPr>
          <w:rFonts w:ascii="Arial" w:cs="Arial" w:eastAsia="Arial" w:hAnsi="Arial"/>
          <w:sz w:val="18"/>
          <w:szCs w:val="18"/>
          <w:color w:val="auto"/>
        </w:rPr>
        <w:t xml:space="preserve"> </w:t>
      </w:r>
      <w:r>
        <w:rPr>
          <w:rFonts w:ascii="Arial" w:cs="Arial" w:eastAsia="Arial" w:hAnsi="Arial"/>
          <w:sz w:val="18"/>
          <w:szCs w:val="18"/>
          <w:color w:val="252525"/>
        </w:rPr>
        <w:t>relationships with customers and subject us to criminal and civil enforcement actions.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20" w:hanging="329"/>
        <w:spacing w:after="0" w:line="277" w:lineRule="auto"/>
        <w:tabs>
          <w:tab w:leader="none" w:pos="615" w:val="left"/>
        </w:tabs>
        <w:numPr>
          <w:ilvl w:val="0"/>
          <w:numId w:val="4"/>
        </w:numPr>
        <w:rPr>
          <w:rFonts w:ascii="Arial" w:cs="Arial" w:eastAsia="Arial" w:hAnsi="Arial"/>
          <w:sz w:val="18"/>
          <w:szCs w:val="18"/>
          <w:color w:val="252525"/>
        </w:rPr>
      </w:pPr>
      <w:r>
        <w:rPr>
          <w:rFonts w:ascii="Arial" w:cs="Arial" w:eastAsia="Arial" w:hAnsi="Arial"/>
          <w:sz w:val="18"/>
          <w:szCs w:val="18"/>
          <w:color w:val="auto"/>
        </w:rPr>
        <w:t>Catastrophic events, including natural disasters, health epidemics (including the COVID-19 pandemic), acts of war and terrorism, among others, could disrupt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Financial Condition and Markets</w:t>
      </w:r>
    </w:p>
    <w:p>
      <w:pPr>
        <w:spacing w:after="0" w:line="11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backlog is subject to unexpected adjustments, cancellations and scope reductions and, therefore, may not be a reliable indicator of our future earnings.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recognized over time from our fixed-price contracts could result in volatility in our results of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620" w:hanging="329"/>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extend credit to customers in conjunction with our performance under fixed price contracts which subjects us to potential credit risks.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Common Stock</w:t>
      </w:r>
    </w:p>
    <w:p>
      <w:pPr>
        <w:spacing w:after="0" w:line="117" w:lineRule="exact"/>
        <w:rPr>
          <w:sz w:val="20"/>
          <w:szCs w:val="20"/>
          <w:color w:val="auto"/>
        </w:rPr>
      </w:pPr>
    </w:p>
    <w:p>
      <w:pPr>
        <w:ind w:left="620" w:hanging="329"/>
        <w:spacing w:after="0" w:line="27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can be no assurance that we will declare or pay future dividends on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Legal and Regulatory Matters</w:t>
      </w:r>
    </w:p>
    <w:p>
      <w:pPr>
        <w:spacing w:after="0" w:line="11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developments arising from recent U.S. Government proposals concerning tariffs and other economic proposals could adversely impact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b w:val="1"/>
          <w:bCs w:val="1"/>
          <w:i w:val="1"/>
          <w:iCs w:val="1"/>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and those expressed in a forward-looking statement made in this report or elsewhere by us or on our behalf. We have discussed these factors in more detail in our Annual Report on Form 10-K for the year ended September 30, 2020.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2020, which was filed with the Securities and Exchange Commission (SEC) on December 9, 2020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markets, including onshore and offshore oil and gas production, petrochemical, liquefied natural gas (LNG) terminals,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detailed price and volume information. Our backlog includes various projects that typically take a number of months to produce.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late Fiscal 2018,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benefited from the low feedstock prices of natural gas. Specific to natural gas, the business was awarded a substantial contract in the second quarter of Fiscal 2020 that will support the integrated electrical distribution requirements for a large domestic industrial complex and should be substantially completed in Fiscal 2022. However, we began to experience reduced commercial activity in Fiscal 2020 driven in large part by the uncertainties across our industrial end markets in the U.S. resulting from the COVID-19 pandemic. Considering the long cycle nature of our business, we anticipate that these cyclical conditions will persist throughout Fiscal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the first half of Fiscal 2021, the COVID-19 pandemic continues to significantly impact global economic conditions. This pandemic has negatively impacted energy demand, which in turn has resulted in considerable volatility across global oil and gas commodity markets. The demand for our products and services as well as our operations have been negatively impacted by COVID-19, resulting from the associated reduction in oil and gas demand and volatility in commodity prices noted above.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lower demand across select end markets, we have taken and will continue to take various actions to reduce costs. During Fiscal 2020, we reduced our global workforce and reduced our capital and discretionary spending in response to current business conditions and will continue to monitor the economic conditions during the remainder of Fiscal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2021 Compared to the Quarter Ended March 31, 2020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decreased by 22%, or $32.9 million, to $118.7 million in the second quarter of Fiscal 2021, due to a decrease in orders as well as project delays and cancellations of potential projects associated with the global economic impact resulting from the COVID-19 pandemic and associated reduction in demand across the oil and gas end markets. These cyclical market conditions, which began in the second half of Fiscal 2020, led to a reduction in project bookings and project delays which have negatively impacted, and will continue to negatively impact, our revenues in Fiscal 2021. Domestic revenues decreased, as noted above, by 27%, or $32.9 million, to $87.9 million in the second quarter of Fiscal 2021. Included in our domestic revenues is our large domestic industrial project awarded in Fiscal 2020, which accounted for approximately 20% of our consolidated revenues for the second quarter of Fiscal 2021. International revenues increased by $0.1 million, to $30.8 million in the second quarter of Fiscal 2021 as a result of lower commercial activity across our international operations. Our international revenues include both revenues generated from our international facilities as well as revenues from export projects generated at our domestic facilities.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from our oil and gas end markets decreased by 3%, or $1.8 million, to $50.1 million in the second quarter of Fiscal 2021, while petrochemical revenue decreased by 78%, or $37.1 million, to $10.2 million in the second quarter of Fiscal 2021, in each case primarily due to the uncertainty across our end markets. Revenue from utility markets increased by 17%, or $4.2 million, to $28.5 million, and traction market revenue increased by 9%, or $1.2 million, to $15.1 million in the second quarter of Fiscal 2021, as the mix of our projects shifts across our global operating facilities. Revenue from all other markets combined increased by $0.7 million to $14.8 million in the second quarter of Fiscal 2021.</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reduction in revenues led to a subsequent reduction in gross profit, decreasing by 42%, or $12.5 million, to $17.2 million for the second quarter of Fiscal 2021. Gross profit as a percentage of revenues decreased to 14% in the second quarter of Fiscal 2021, compared to 20% in the second quarter of Fiscal 2020. The decrease in gross profit as a percentage of revenues was driven in part by underutilization across our Texas manufacturing facilities resulting from the lower volume as well as a one week shutdown due to a statewide power outage resulting from winter storm Uri, but also was adversely impacted by the increasing commodity costs, specifically for copper and steel.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decreased by 10%, or $1.9 million, to $16.7 million in the second quarter of Fiscal 2021, driven by the restructuring actions that were initiated in the third quarter of Fiscal 2020, as well as a reduction in personnel costs and lower travel-related costs resulting from the COVID-19 pandemic. Selling, general and administrative expenses as a percentage of revenues was 14% during the second quarter of Fiscal 2021 compared to 12% during the second quarter of Fiscal 2020, primarily due to the decrease in revenues.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Provision/Benefit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benefit of $0.9 million in the second quarter of Fiscal 2021, compared to an income tax provision of $2.1 million in the second quarter of Fiscal 2020. The effective tax rate for the second quarter of Fiscal 2021 was 81%, compared to an effective tax rate of 22% in the second quarter of Fiscal 2020. For the three months ended March 31, 2021, the effective tax rate was favorably impacted by the relative amounts of income/loss recognized in various tax jurisdictions. The effective tax rate was also favorably impacted by the estimated Research and Development Tax Credit (R&amp;D Tax Credit) and the projected utilization of net operating loss carryforwards in Canada that were fully reserved with a valuation allowance in the second quarter of Fiscal 2021 and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Fiscal 2021, we recorded a net loss of $0.2 million, or $0.02 per diluted share, compared to net income of $7.4 million, or $0.64 per diluted share, in the second quarter of Fiscal 2020. This decrease is attributable to lower revenues in the second fiscal quarter of 2021 versus the prior year and the associated leverage impact resulting from the lower global demand across our industrial end markets, as well as increasing commodity costs for both copper and steel.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order backlog at March 31, 2021 was $436.6 million, a decrease of 6% from $464.9 million at December 31, 2020 and a decrease of 23% from $566.4 million backlog at March 31, 2020. Bookings, net of cancellations and scope reductions, decreased by 71% in the second quarter of Fiscal 2021 to $88.5 million, compared to $300.7 million in the second quarter of Fiscal 2020, primarily due to a substantial contract awarded in the second quarter of Fiscal 2020 that will support the integrated electrical distribution requirements for a large domestic industrial complex and decreased global demand across our core oil and gas markets.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2021 Compared to the Six Months Ended March 31, 2020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decreased by 21%, or $60.4 million, to $225.3 million in the six months ended March 31, 2021, due to a decrease in orders as well as project delays and cancellations of potential projects associated with the global economic impact resulting from the COVID-19 pandemic and associated reduction in demand across the oil and gas end markets. Domestic revenues decreased by 26%, or $58.5 million, to $168.5 million in the six months ended March 31, 2021. International revenues decreased by 3%, or $1.9 million, to $56.8 million. Our international revenues include both revenues generated from our international facilities as well as revenues from export projects generated at our domestic facilities.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our oil and gas markets decreased by 19%, or $21.8 million, to $90.2 million in the six months ended March 31, 2021. Petrochemical revenue decreased by 75%, or $58.4 million, to $19.4 million in the six months ended March 31, 2021. Revenue from utility markets increased by 20%, or $9.4 million, to $56.6 million, and traction market revenue increased by 28%, or $6.2 million, to $28.5 million in the six months ended March 31, 2021, as the mix of our projects shifts across our global operating facilities. Revenue from all other markets combined increased by 16%, or $4.2 million, to $30.6 million in the six months ended March 31, 2021.</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reduction in revenue led to a reduction in gross profit of 31%, or $16.1 million, as compared to the first half of Fiscal 2020. However, gross profit of $35.4 million for the first half of Fiscal 2021 benefited from favorable close out gains on certain projects resulting from cost and productivity efficiencies and to a lesser extent from cancellation fees from certain contracts in our North American manufacturing facilities, which was partially offset by higher commodity prices and factory underutilization. Gross profit as a percentage of revenues decreased to 16% in the six months ended March 31, 2021, compared to 18% in the six months ended March 31, 2020 as a result of the reduction in revenues noted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by 6%, or $2.3 million, to $33.5 million in the six months ended March 31, 2021, partially due to the restructuring action taken in the third quarter of Fiscal 2020 as well as the decreased personnel costs and travel-related costs. Selling, general and administrative expenses, as a percentage of revenues increased to 15% during the six months ended March 31, 2021, compared to 13% during the six months ended March 31, 2020, primarily due to the decrease in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Provision/Benefit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benefit of $0.8 million in the six months ended March 31, 2021, compared to an income tax provision of $2.7 million in the six months ended March 31, 2020. The effective tax rate for the six months ended March 31, 2021 was 59%, compared to an effective tax rate of 21% for the six months ended March 31, 2020. For the six months ended March 31, 2021 and 2020, the effective tax rate was favorably impacted by the R&amp;D Tax Credit as well as the projected utilization of net operating loss carryforwards in Canada that were fully reserved with a valuation allowance. Conversely, the effective tax rate was negatively impacted by a discrete item related to the establishment of a valuation allowance against the UK deferred tax assets in the six months ended March 31,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six months ended March 31, 2021, we recorded a net loss of $0.6 million, or $0.05 per diluted share, compared to net income of $10.2 million, or $0.87 per diluted share, in the six months ended March 31, 2020, primarily due to a decline in revenues and gross profit resulting from lower orders and project delays caused by the economic impact resulting from the COVID-19 pandemic and the associated reduction in global demand across our industrial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order backlog at March 31, 2021 was $436.6 million, a decrease of 8% from $476.8 million at September 30, 2020. Bookings, net of cancellations and scope reductions, decreased by 59% during the six months ended March 31, 2021 to $179.6 million, compared to $438.1 million in the six months ended March 31, 2020. The decrease in bookings was primarily due to the large contract awarded in the second quarter of Fiscal 2020 and decreased global demand across our core oil and gas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or cancelled some of their major capital investment projects. Beginning in late Fiscal 2018 through the first quarter of Fiscal 2020, our customers' decisions to invest in projects in our key oil and gas and petrochemical markets were influenced to some extent by relative stabilization of commodity prices and the increased global demand for cleaner-burning fuels during that period of time. We believe that this change in market sentiment during that period of time had a favorable impact on our orders and backlog entering Fiscal 2020. However, the recent declines in oil prices and the global economic impacts from COVID-19 have had, and may continue to have, a negative impact on our business going forward, as discussed in more detail below. Specific to the energy industry focus on transition to natural gas and cleaner-burning fuels, the business was awarded a substantial contract in Fiscal 2020 that will support the integrated electrical distribution requirements for a large domestic industrial complex and should be substantially completed in Fiscal 2022.</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which may negatively impact our ability to cover our fixed costs. The strong commercial activity and subsequent orders in Fiscal 2018 and 2019 led to solid revenue and operating results for Fiscal 2020. We began to experience lower commercial activity in Fiscal 2020 driven in large part from the uncertainty resulting from the COVID-19 pandemic, as discussed in "Overview" above. Considering the long cycle nature of our business, we anticipate these cyclical conditions will persist throughout Fiscal 2021. We will continue to monitor the variables that impact our markets while adjusting to the global conditions in order to maintain a competitive cost and technological advantage in the markets that we serve.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consequences of a prolonged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current assets exceeded current liabilities by 2.5 times, and our debt to total capitalization was 0.13%.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$153.9 million at March 31, 2021, compared to $178.9 million at September 30, 2020. This decrease in cash was primarily driven by the timing of contract billing milestones.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credit agreement with Bank of America, N.A. (the "U.S. Revolver") which is a $75.0 million revolving credit facility available for both borrowings and letters of credit and expires September 27, 2024. On March 12, 2021, we entered into a first amendment to the U.S. Revolver which, among other things, amended certain terms related to the calculation of the consolidated leverage ratio from gross leverage to net leverage. As a result of the first amendment, up to $30 million may be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deducted from the amount of letters of credit outstanding (not to be less than zero) when calculating the consolidated funded indebtedness which is a component of the consolidated net leverage ratio. Additionally, we now have the option to cash collateralize all or a portion of the letters of credit outstanding, which would favorably impact the consolidated funded indebtedness calculation and the consolidated net leverage ratio.</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2021, there were no amounts borrowed under the U.S. Revolver, and letters of credit outstanding were $38.6 million. As of March 31, 2021, $36.4 million was available for the issuance of letters of credit and borrowing under the U.S. Revolver. Total long-term debt, including current maturities, totaled $0.4 million at March 31, 2021 related to outstanding industrial development revenue bonds. We are required to maintain certain financial covenants, the most significant of which are a consolidated net leverage ratio of less than 3.0 to 1.0 and a consolidated interest coverage ratio of greater than 3.0 to 1.0. The consolidated leverage ratio is our most restrictive covenant and a decrease in our earnings before interest, taxes, depreciation, amortization and stock-based compensation (EBITDAS) could restrict our ability to issue letters of credit under the U.S. Revolver. For further information regarding our debt, see Notes E and F of Notes to Condensed Consolidated Financial Statements.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$28.2 million of our cash and cash equivalents at March 31, 2021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activities used $18.1 million during the six months ended March 31, 2021 and provided $7.4 million during the same period in Fiscal 2020. Cash flow from operations is primarily influenced by project volume, the timing of milestone payments from our customers and the payment terms with our suppliers. This decrease in operating cash flow was primarily due to a decrease in accounts receivable collections and the timing of contract billing milestones.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activities used $1.2 million during the six months ended March 31, 2021 compared to $2.7 million provided during the same period in Fiscal 2020. The increase in cash used by investing activities in the first half of Fiscal 2021 was primarily due to short-term investment activity partially offset by a decrease in capital expenditures and proceeds received from a Company-owned life insurance policy related to a retired employee.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$7.1 million during the six months ended March 31, 2021 and $7.0 million during the same period in Fiscal 2020, which primarily consisted of approximately $6.0 million of dividends paid in each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fiscal year ended September 30, 2020, which was filed with the SEC on December 9,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traction power.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foreign operations that expose us to foreign currency exchange rate risk in the British Pound Sterling, the Canadian Dollar and to a lesser extent the Mexican Peso and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six months ended March 31, 2021, our realized foreign exchange loss was less than $0.1 million and is included in selling, general and administrative expenses in the Condensed Consolidated Statements of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$19.3 million as of March 31, 2021, a decrease of $5.2 million compared to September 30, 2020. This decrease in comprehensive loss was primarily a result of fluctuations in the currency exchange rates for the Canadian Dollar and British Pound Sterling as we remeasured the foreign operations of those divisions.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Annual Report on Form 10-K for the fiscal year ended September 30, 2020, which was filed with the SEC on December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83"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1" w:lineRule="exact"/>
        <w:rPr>
          <w:sz w:val="20"/>
          <w:szCs w:val="20"/>
          <w:color w:val="auto"/>
        </w:rPr>
      </w:pPr>
    </w:p>
    <w:p>
      <w:pPr>
        <w:ind w:left="900"/>
        <w:spacing w:after="0"/>
        <w:tabs>
          <w:tab w:leader="none" w:pos="1320" w:val="left"/>
          <w:tab w:leader="none" w:pos="1660" w:val="left"/>
        </w:tabs>
        <w:rPr>
          <w:rFonts w:ascii="Arial" w:cs="Arial" w:eastAsia="Arial" w:hAnsi="Arial"/>
          <w:sz w:val="17"/>
          <w:szCs w:val="17"/>
          <w:u w:val="single" w:color="auto"/>
          <w:color w:val="0000FF"/>
        </w:rPr>
      </w:pPr>
      <w:r>
        <w:rPr>
          <w:rFonts w:ascii="Arial" w:cs="Arial" w:eastAsia="Arial" w:hAnsi="Arial"/>
          <w:sz w:val="18"/>
          <w:szCs w:val="18"/>
          <w:color w:val="auto"/>
        </w:rPr>
        <w:t>3.1</w:t>
        <w:tab/>
        <w:t>—</w:t>
      </w:r>
      <w:r>
        <w:rPr>
          <w:sz w:val="20"/>
          <w:szCs w:val="20"/>
          <w:color w:val="auto"/>
        </w:rPr>
        <w:tab/>
      </w:r>
      <w:hyperlink r:id="rId47">
        <w:r>
          <w:rPr>
            <w:rFonts w:ascii="Arial" w:cs="Arial" w:eastAsia="Arial" w:hAnsi="Arial"/>
            <w:sz w:val="17"/>
            <w:szCs w:val="17"/>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062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Arial" w:cs="Arial" w:eastAsia="Arial" w:hAnsi="Arial"/>
          <w:sz w:val="18"/>
          <w:szCs w:val="18"/>
          <w:color w:val="0000FF"/>
        </w:rPr>
      </w:pPr>
      <w:hyperlink r:id="rId47">
        <w:r>
          <w:rPr>
            <w:rFonts w:ascii="Arial" w:cs="Arial" w:eastAsia="Arial" w:hAnsi="Arial"/>
            <w:sz w:val="18"/>
            <w:szCs w:val="18"/>
            <w:u w:val="single" w:color="auto"/>
            <w:color w:val="0000FF"/>
          </w:rPr>
          <w:t>2004 (filed as Exhibit 3.1 to our Form 8-A/A filed November 1, 2004,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1340" w:hanging="773"/>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49">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incorporated herein by reference).</w:t>
        </w:r>
      </w:hyperlink>
    </w:p>
    <w:p>
      <w:pPr>
        <w:spacing w:after="0" w:line="146" w:lineRule="exact"/>
        <w:rPr>
          <w:sz w:val="20"/>
          <w:szCs w:val="20"/>
          <w:color w:val="auto"/>
        </w:rPr>
      </w:pPr>
    </w:p>
    <w:p>
      <w:pPr>
        <w:ind w:left="90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3.3</w:t>
        <w:tab/>
        <w:t>—</w:t>
      </w:r>
      <w:r>
        <w:rPr>
          <w:sz w:val="20"/>
          <w:szCs w:val="20"/>
          <w:color w:val="auto"/>
        </w:rPr>
        <w:tab/>
      </w:r>
      <w:hyperlink r:id="rId50">
        <w:r>
          <w:rPr>
            <w:rFonts w:ascii="Arial" w:cs="Arial" w:eastAsia="Arial" w:hAnsi="Arial"/>
            <w:sz w:val="16"/>
            <w:szCs w:val="16"/>
            <w:u w:val="single" w:color="auto"/>
            <w:color w:val="0000FF"/>
          </w:rPr>
          <w:t>Amendment No. 1 to Amended and Restated Bylaws of Powell Industries, Inc. (filed as Exhibit 3.1 to our Form 8-K filed February</w:t>
        </w:r>
      </w:hyperlink>
    </w:p>
    <w:p>
      <w:pPr>
        <w:ind w:left="1680"/>
        <w:spacing w:after="0"/>
        <w:rPr>
          <w:rFonts w:ascii="Arial" w:cs="Arial" w:eastAsia="Arial" w:hAnsi="Arial"/>
          <w:sz w:val="18"/>
          <w:szCs w:val="18"/>
          <w:color w:val="0000FF"/>
        </w:rPr>
      </w:pPr>
      <w:hyperlink r:id="rId50">
        <w:r>
          <w:rPr>
            <w:rFonts w:ascii="Arial" w:cs="Arial" w:eastAsia="Arial" w:hAnsi="Arial"/>
            <w:sz w:val="18"/>
            <w:szCs w:val="18"/>
            <w:u w:val="single" w:color="auto"/>
            <w:color w:val="0000FF"/>
          </w:rPr>
          <w:t>26, 2021,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1340" w:right="380" w:hanging="863"/>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10.1</w:t>
        <w:tab/>
        <w:t xml:space="preserve">— </w:t>
      </w:r>
      <w:hyperlink r:id="rId51">
        <w:r>
          <w:rPr>
            <w:rFonts w:ascii="Arial" w:cs="Arial" w:eastAsia="Arial" w:hAnsi="Arial"/>
            <w:sz w:val="18"/>
            <w:szCs w:val="18"/>
            <w:u w:val="single" w:color="auto"/>
            <w:color w:val="0000FF"/>
          </w:rPr>
          <w:t>First Amendment to Credit Agreement dated March 12, 2021 (filed as Exhibit 10.1 to our Form 8-K filed March 16, 2021, and</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incorporated herein by reference).</w:t>
        </w:r>
      </w:hyperlink>
    </w:p>
    <w:p>
      <w:pPr>
        <w:spacing w:after="0" w:line="162" w:lineRule="exact"/>
        <w:rPr>
          <w:sz w:val="20"/>
          <w:szCs w:val="20"/>
          <w:color w:val="auto"/>
        </w:rPr>
      </w:pPr>
    </w:p>
    <w:p>
      <w:pPr>
        <w:ind w:left="78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31">
        <w:r>
          <w:rPr>
            <w:rFonts w:ascii="Arial" w:cs="Arial" w:eastAsia="Arial" w:hAnsi="Arial"/>
            <w:sz w:val="16"/>
            <w:szCs w:val="16"/>
            <w:u w:val="single" w:color="auto"/>
            <w:color w:val="0000FF"/>
          </w:rPr>
          <w:t>Certification of Chief Executive Officer pursuant to Rule 13a-14(a)/15d-14(a).</w:t>
        </w:r>
      </w:hyperlink>
    </w:p>
    <w:p>
      <w:pPr>
        <w:spacing w:after="0" w:line="185" w:lineRule="exact"/>
        <w:rPr>
          <w:sz w:val="20"/>
          <w:szCs w:val="20"/>
          <w:color w:val="auto"/>
        </w:rPr>
      </w:pPr>
    </w:p>
    <w:p>
      <w:pPr>
        <w:ind w:left="78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32">
        <w:r>
          <w:rPr>
            <w:rFonts w:ascii="Arial" w:cs="Arial" w:eastAsia="Arial" w:hAnsi="Arial"/>
            <w:sz w:val="16"/>
            <w:szCs w:val="16"/>
            <w:u w:val="single" w:color="auto"/>
            <w:color w:val="0000FF"/>
          </w:rPr>
          <w:t>Certification of Chief Financial Officer pursuant to Rule 13a-14(a)/15d-14(a).</w:t>
        </w:r>
      </w:hyperlink>
    </w:p>
    <w:p>
      <w:pPr>
        <w:spacing w:after="0" w:line="185" w:lineRule="exact"/>
        <w:rPr>
          <w:sz w:val="20"/>
          <w:szCs w:val="20"/>
          <w:color w:val="auto"/>
        </w:rPr>
      </w:pPr>
    </w:p>
    <w:p>
      <w:pPr>
        <w:ind w:left="1340" w:hanging="989"/>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33">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FF"/>
          </w:rPr>
          <w:t>Sarbanes-Oxley Act of 2002.</w:t>
        </w:r>
      </w:hyperlink>
    </w:p>
    <w:p>
      <w:pPr>
        <w:spacing w:after="0" w:line="162" w:lineRule="exact"/>
        <w:rPr>
          <w:sz w:val="20"/>
          <w:szCs w:val="20"/>
          <w:color w:val="auto"/>
        </w:rPr>
      </w:pPr>
    </w:p>
    <w:p>
      <w:pPr>
        <w:ind w:left="1340" w:hanging="989"/>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34">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Sarbanes-Oxley Act of 2002.</w:t>
        </w:r>
      </w:hyperlink>
    </w:p>
    <w:p>
      <w:pPr>
        <w:spacing w:after="0" w:line="162" w:lineRule="exact"/>
        <w:rPr>
          <w:sz w:val="20"/>
          <w:szCs w:val="20"/>
          <w:color w:val="auto"/>
        </w:rPr>
      </w:pPr>
    </w:p>
    <w:p>
      <w:pPr>
        <w:ind w:left="480"/>
        <w:spacing w:after="0"/>
        <w:tabs>
          <w:tab w:leader="none" w:pos="1320" w:val="left"/>
          <w:tab w:leader="none" w:pos="166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Inline XBRL Instance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Inline XBRL Taxonomy Extension Schema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Inline XBRL Taxonomy Extension Calculation Linkbase Document</w:t>
      </w:r>
    </w:p>
    <w:p>
      <w:pPr>
        <w:spacing w:after="0" w:line="185" w:lineRule="exact"/>
        <w:rPr>
          <w:sz w:val="20"/>
          <w:szCs w:val="20"/>
          <w:color w:val="auto"/>
        </w:rPr>
      </w:pPr>
    </w:p>
    <w:p>
      <w:pPr>
        <w:ind w:left="440"/>
        <w:spacing w:after="0"/>
        <w:tabs>
          <w:tab w:leader="none" w:pos="1320" w:val="left"/>
          <w:tab w:leader="none" w:pos="166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Inline XBRL Taxonomy Extension Definition Linkbase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Inline XBRL Taxonomy Extension Label Linkbase Document</w:t>
      </w:r>
    </w:p>
    <w:p>
      <w:pPr>
        <w:spacing w:after="0" w:line="185" w:lineRule="exact"/>
        <w:rPr>
          <w:sz w:val="20"/>
          <w:szCs w:val="20"/>
          <w:color w:val="auto"/>
        </w:rPr>
      </w:pPr>
    </w:p>
    <w:p>
      <w:pPr>
        <w:ind w:left="440"/>
        <w:spacing w:after="0"/>
        <w:tabs>
          <w:tab w:leader="none" w:pos="1320" w:val="left"/>
          <w:tab w:leader="none" w:pos="166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5" w:lineRule="exact"/>
        <w:rPr>
          <w:sz w:val="20"/>
          <w:szCs w:val="20"/>
          <w:color w:val="auto"/>
        </w:rPr>
      </w:pPr>
    </w:p>
    <w:p>
      <w:pPr>
        <w:ind w:left="820"/>
        <w:spacing w:after="0"/>
        <w:tabs>
          <w:tab w:leader="none" w:pos="1320" w:val="left"/>
          <w:tab w:leader="none" w:pos="1660" w:val="left"/>
        </w:tabs>
        <w:rPr>
          <w:sz w:val="20"/>
          <w:szCs w:val="20"/>
          <w:color w:val="auto"/>
        </w:rPr>
      </w:pPr>
      <w:r>
        <w:rPr>
          <w:rFonts w:ascii="Arial" w:cs="Arial" w:eastAsia="Arial" w:hAnsi="Arial"/>
          <w:sz w:val="18"/>
          <w:szCs w:val="18"/>
          <w:color w:val="auto"/>
        </w:rPr>
        <w:t>*104</w:t>
        <w:tab/>
        <w:t>—</w:t>
      </w:r>
      <w:r>
        <w:rPr>
          <w:sz w:val="20"/>
          <w:szCs w:val="20"/>
          <w:color w:val="auto"/>
        </w:rPr>
        <w:tab/>
      </w:r>
      <w:r>
        <w:rPr>
          <w:rFonts w:ascii="Arial" w:cs="Arial" w:eastAsia="Arial" w:hAnsi="Arial"/>
          <w:sz w:val="16"/>
          <w:szCs w:val="16"/>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045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2" w:right="3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POWELL INDUSTRIES, INC.</w:t>
            </w:r>
          </w:p>
        </w:tc>
      </w:tr>
      <w:tr>
        <w:trPr>
          <w:trHeight w:val="230"/>
        </w:trPr>
        <w:tc>
          <w:tcPr>
            <w:tcW w:w="32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59"/>
        </w:trPr>
        <w:tc>
          <w:tcPr>
            <w:tcW w:w="3260" w:type="dxa"/>
            <w:vAlign w:val="bottom"/>
          </w:tcPr>
          <w:p>
            <w:pPr>
              <w:spacing w:after="0"/>
              <w:rPr>
                <w:sz w:val="20"/>
                <w:szCs w:val="20"/>
                <w:color w:val="auto"/>
              </w:rPr>
            </w:pPr>
            <w:r>
              <w:rPr>
                <w:rFonts w:ascii="Arial" w:cs="Arial" w:eastAsia="Arial" w:hAnsi="Arial"/>
                <w:sz w:val="18"/>
                <w:szCs w:val="18"/>
                <w:color w:val="auto"/>
              </w:rPr>
              <w:t>Date: May 5, 2021</w:t>
            </w:r>
          </w:p>
        </w:tc>
        <w:tc>
          <w:tcPr>
            <w:tcW w:w="270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Brett A. Cope</w:t>
            </w:r>
          </w:p>
        </w:tc>
      </w:tr>
      <w:tr>
        <w:trPr>
          <w:trHeight w:val="222"/>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260" w:type="dxa"/>
            <w:vAlign w:val="bottom"/>
          </w:tcPr>
          <w:p>
            <w:pPr>
              <w:spacing w:after="0"/>
              <w:rPr>
                <w:sz w:val="20"/>
                <w:szCs w:val="20"/>
                <w:color w:val="auto"/>
              </w:rPr>
            </w:pPr>
            <w:r>
              <w:rPr>
                <w:rFonts w:ascii="Arial" w:cs="Arial" w:eastAsia="Arial" w:hAnsi="Arial"/>
                <w:sz w:val="18"/>
                <w:szCs w:val="18"/>
                <w:color w:val="auto"/>
              </w:rPr>
              <w:t>Date: May 5, 2021</w:t>
            </w:r>
          </w:p>
        </w:tc>
        <w:tc>
          <w:tcPr>
            <w:tcW w:w="270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W. Metcalf</w:t>
            </w:r>
          </w:p>
        </w:tc>
      </w:tr>
      <w:tr>
        <w:trPr>
          <w:trHeight w:val="222"/>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Michael W. Metcalf</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30"/>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40" w:hanging="320"/>
        <w:spacing w:after="0" w:line="261"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80" w:hanging="320"/>
        <w:spacing w:after="0" w:line="275"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140" w:hanging="320"/>
        <w:spacing w:after="0" w:line="275"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line="211" w:lineRule="auto"/>
        <w:rPr>
          <w:sz w:val="20"/>
          <w:szCs w:val="20"/>
          <w:color w:val="auto"/>
        </w:rPr>
      </w:pPr>
      <w:r>
        <w:rPr>
          <w:rFonts w:ascii="Arial" w:cs="Arial" w:eastAsia="Arial" w:hAnsi="Arial"/>
          <w:sz w:val="16"/>
          <w:szCs w:val="16"/>
          <w:color w:val="auto"/>
        </w:rPr>
        <w:t>President and Chief Executive Officer</w:t>
      </w:r>
    </w:p>
    <w:p>
      <w:pPr>
        <w:ind w:left="5640"/>
        <w:spacing w:after="0"/>
        <w:rPr>
          <w:sz w:val="20"/>
          <w:szCs w:val="20"/>
          <w:color w:val="auto"/>
        </w:rPr>
      </w:pPr>
      <w:r>
        <w:rPr>
          <w:rFonts w:ascii="Arial" w:cs="Arial" w:eastAsia="Arial" w:hAnsi="Arial"/>
          <w:sz w:val="16"/>
          <w:szCs w:val="16"/>
          <w:color w:val="auto"/>
        </w:rPr>
        <w:t>(Principal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5, 2021</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40" w:hanging="320"/>
        <w:spacing w:after="0" w:line="261"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80" w:hanging="320"/>
        <w:spacing w:after="0" w:line="275"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140" w:hanging="320"/>
        <w:spacing w:after="0" w:line="275"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Michael W. Metcalf</w:t>
      </w:r>
    </w:p>
    <w:p>
      <w:pPr>
        <w:ind w:left="5640"/>
        <w:spacing w:after="0" w:line="211" w:lineRule="auto"/>
        <w:rPr>
          <w:sz w:val="20"/>
          <w:szCs w:val="20"/>
          <w:color w:val="auto"/>
        </w:rPr>
      </w:pPr>
      <w:r>
        <w:rPr>
          <w:rFonts w:ascii="Arial" w:cs="Arial" w:eastAsia="Arial" w:hAnsi="Arial"/>
          <w:sz w:val="16"/>
          <w:szCs w:val="16"/>
          <w:color w:val="auto"/>
        </w:rPr>
        <w:t>Michael W. Metcalf</w:t>
      </w:r>
    </w:p>
    <w:p>
      <w:pPr>
        <w:ind w:left="5640"/>
        <w:spacing w:after="0" w:line="211" w:lineRule="auto"/>
        <w:rPr>
          <w:sz w:val="20"/>
          <w:szCs w:val="20"/>
          <w:color w:val="auto"/>
        </w:rPr>
      </w:pPr>
      <w:r>
        <w:rPr>
          <w:rFonts w:ascii="Arial" w:cs="Arial" w:eastAsia="Arial" w:hAnsi="Arial"/>
          <w:sz w:val="16"/>
          <w:szCs w:val="16"/>
          <w:color w:val="auto"/>
        </w:rPr>
        <w:t>Executive Vice President</w:t>
      </w:r>
    </w:p>
    <w:p>
      <w:pPr>
        <w:ind w:left="5640"/>
        <w:spacing w:after="0" w:line="211"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5, 2021</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March 31, 2021,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21"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rPr>
          <w:sz w:val="20"/>
          <w:szCs w:val="20"/>
          <w:color w:val="auto"/>
        </w:rPr>
      </w:pPr>
      <w:r>
        <w:rPr>
          <w:rFonts w:ascii="Arial" w:cs="Arial" w:eastAsia="Arial" w:hAnsi="Arial"/>
          <w:sz w:val="16"/>
          <w:szCs w:val="16"/>
          <w:color w:val="auto"/>
        </w:rPr>
        <w:t>President and Chief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5, 2021</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March 31, 2021,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u w:val="single" w:color="auto"/>
          <w:color w:val="auto"/>
        </w:rPr>
        <w:t>/s/ Michael W. Metcalf</w:t>
      </w:r>
    </w:p>
    <w:p>
      <w:pPr>
        <w:ind w:left="5620"/>
        <w:spacing w:after="0" w:line="211" w:lineRule="auto"/>
        <w:rPr>
          <w:sz w:val="20"/>
          <w:szCs w:val="20"/>
          <w:color w:val="auto"/>
        </w:rPr>
      </w:pPr>
      <w:r>
        <w:rPr>
          <w:rFonts w:ascii="Arial" w:cs="Arial" w:eastAsia="Arial" w:hAnsi="Arial"/>
          <w:sz w:val="16"/>
          <w:szCs w:val="16"/>
          <w:color w:val="auto"/>
        </w:rPr>
        <w:t>Michael W. Metcalf</w:t>
      </w:r>
    </w:p>
    <w:p>
      <w:pPr>
        <w:ind w:left="5620"/>
        <w:spacing w:after="0" w:line="211" w:lineRule="auto"/>
        <w:rPr>
          <w:sz w:val="20"/>
          <w:szCs w:val="20"/>
          <w:color w:val="auto"/>
        </w:rPr>
      </w:pPr>
      <w:r>
        <w:rPr>
          <w:rFonts w:ascii="Arial" w:cs="Arial" w:eastAsia="Arial" w:hAnsi="Arial"/>
          <w:sz w:val="16"/>
          <w:szCs w:val="16"/>
          <w:color w:val="auto"/>
        </w:rPr>
        <w:t>Executive Vice President</w:t>
      </w:r>
    </w:p>
    <w:p>
      <w:pPr>
        <w:ind w:left="562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7" Type="http://schemas.openxmlformats.org/officeDocument/2006/relationships/hyperlink" Target="http://www.sec.gov/Archives/edgar/data/80420/000008042004000044/exhibit3_1.htm" TargetMode="External"/><Relationship Id="rId49" Type="http://schemas.openxmlformats.org/officeDocument/2006/relationships/hyperlink" Target="http://www.sec.gov/Archives/edgar/data/80420/000119312512421889/d424375dex31.htm" TargetMode="External"/><Relationship Id="rId50" Type="http://schemas.openxmlformats.org/officeDocument/2006/relationships/hyperlink" Target="http://www.sec.gov/Archives/edgar/data/80420/000008042021000018/ex31-amendmentno1toamended.htm" TargetMode="External"/><Relationship Id="rId51" Type="http://schemas.openxmlformats.org/officeDocument/2006/relationships/hyperlink" Target="http://www.sec.gov/Archives/edgar/data/80420/000119312521082878/d1308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2021-05-05T14:33:52Z</dcterms:created>
  <dcterms:modified xsi:type="dcterms:W3CDTF">2021-05-05T14:33:52Z</dcterms:modified>
</cp:coreProperties>
</file>