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January 30, 2023, there were 11,834,683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78105</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1"/>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0000FF"/>
            </w:tcBorders>
            <w:gridSpan w:val="9"/>
            <w:vMerge w:val="continue"/>
          </w:tcPr>
          <w:p>
            <w:pPr>
              <w:spacing w:after="0"/>
              <w:rPr>
                <w:sz w:val="15"/>
                <w:szCs w:val="15"/>
                <w:color w:val="auto"/>
              </w:rPr>
            </w:pPr>
          </w:p>
        </w:tc>
        <w:tc>
          <w:tcPr>
            <w:tcW w:w="804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414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2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76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8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$348 and $344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369,983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186,373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196,174</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 12,640,701 and 12,588,011 shares issued,</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283,638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(28,998)</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297,206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ind w:right="855"/>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87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5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6"/>
                <w:szCs w:val="16"/>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cash flow commodity hedge</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1"/>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6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67,439</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283,638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Gain on cash flow</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commodity hedge</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12,641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68,454</w:t>
            </w:r>
          </w:p>
        </w:tc>
        <w:tc>
          <w:tcPr>
            <w:tcW w:w="1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281,493</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298,472</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282,505</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276,390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295,579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1089" w:right="1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5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Bad debt expense,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r>
      <w:tr>
        <w:trPr>
          <w:trHeight w:val="230"/>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(36,314)</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77,905</w:t>
            </w:r>
          </w:p>
        </w:tc>
      </w:tr>
      <w:tr>
        <w:trPr>
          <w:trHeight w:val="20"/>
        </w:trPr>
        <w:tc>
          <w:tcPr>
            <w:tcW w:w="6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incorporated in the state of Delaware. Powell's predecessor companies were founded 76 years ago by William E. Powell in 1947. Our major subsidiaries, all of which are wholly owned, include Powell Electrical Systems, Inc.; Powell (UK) Limited; Powell Canada Inc.; and Powell Industries International, B.V.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light rail traction power as well as mining and metals, pulp and paper and other municipal, commercial and other industrial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our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2022, which was filed with the Securities and Exchange Commission (SEC) on December 6,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2023 and Fiscal 2022 used throughout this report shall mean the current fiscal year ending September 30, 2023 and the prior fiscal year ended September 30,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gridSpan w:val="8"/>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9"/>
                <w:szCs w:val="19"/>
                <w:color w:val="auto"/>
              </w:rPr>
            </w:pPr>
          </w:p>
        </w:tc>
        <w:tc>
          <w:tcPr>
            <w:tcW w:w="2040" w:type="dxa"/>
            <w:vAlign w:val="bottom"/>
            <w:gridSpan w:val="2"/>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1,162</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40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(loss) per share:</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9"/>
                <w:szCs w:val="19"/>
                <w:color w:val="auto"/>
              </w:rPr>
            </w:pPr>
          </w:p>
        </w:tc>
        <w:tc>
          <w:tcPr>
            <w:tcW w:w="2040" w:type="dxa"/>
            <w:vAlign w:val="bottom"/>
            <w:gridSpan w:val="2"/>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3"/>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 the three months ended December 31, 2021, we incurred a net loss and therefore all potential common shares were deemed to be anti-dilutive.</w:t>
            </w:r>
          </w:p>
        </w:tc>
        <w:tc>
          <w:tcPr>
            <w:tcW w:w="0" w:type="dxa"/>
            <w:vAlign w:val="bottom"/>
          </w:tcPr>
          <w:p>
            <w:pPr>
              <w:spacing w:after="0"/>
              <w:rPr>
                <w:sz w:val="1"/>
                <w:szCs w:val="1"/>
                <w:color w:val="auto"/>
              </w:rPr>
            </w:pPr>
          </w:p>
        </w:tc>
      </w:tr>
      <w:tr>
        <w:trPr>
          <w:trHeight w:val="45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55,002</w:t>
            </w: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w w:val="99"/>
              </w:rPr>
              <w:t>Activity in our product warranty accrual consisted of the following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8"/>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2,345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2,380</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the three months ended December 31, 2022 and 94% of total revenues for the three months ended December 31, 2021.</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7% of total revenues for the three months ended December 31, 2022 and 6% of total revenues for the three months ended December 31, 2021.</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2022, we had backlog of $679.8 million, of which approximately $464.2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2022 and 2021, our operating results were positively impacted by $3.6 million and $2.8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2022 and September 30, 2022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88,351</w:t>
            </w:r>
          </w:p>
        </w:tc>
      </w:tr>
      <w:tr>
        <w:trPr>
          <w:trHeight w:val="23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(79,857)</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contract billing position improved to a net liability at December 31, 2022 from a net asset position at September 30, 2022 primarily due to favorable contract billing milestones. To determine the amount of revenue recognized during the period from contract liabilities, we first allocate revenue to the individual contract liability balance outstanding at the beginning of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 until the revenue exceeds that balance. During the three months ended December 31, 2022, we recognized revenue of approximately $36.4 million that was related to contract liabilities outstanding at September 30, 2022.</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December 31, 2022 and September 30, 2022, accounts receivable included retention amounts of $7.2 million and $6.9 million, respectively. Of the retained amount at December 31, 2022, $6.9 million is expected to be collected in the next twelve months and is recorded in accounts receivable. The remaining $0.3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months ended December 31, 2022 and 2021 (in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gridSpan w:val="2"/>
            <w:shd w:val="clear" w:color="auto" w:fill="CCEEFF"/>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82,145</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1400" w:type="dxa"/>
            <w:vAlign w:val="bottom"/>
            <w:tcBorders>
              <w:bottom w:val="single" w:sz="8" w:color="auto"/>
            </w:tcBorders>
            <w:gridSpan w:val="2"/>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2"/>
        </w:trPr>
        <w:tc>
          <w:tcPr>
            <w:tcW w:w="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r>
      <w:tr>
        <w:trPr>
          <w:trHeight w:val="229"/>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43,021</w:t>
            </w:r>
          </w:p>
        </w:tc>
        <w:tc>
          <w:tcPr>
            <w:tcW w:w="4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w:t>
            </w:r>
          </w:p>
        </w:tc>
        <w:tc>
          <w:tcPr>
            <w:tcW w:w="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40" w:type="dxa"/>
            <w:vAlign w:val="bottom"/>
            <w:shd w:val="clear" w:color="auto" w:fill="CCEEFF"/>
          </w:tcPr>
          <w:p>
            <w:pPr>
              <w:spacing w:after="0"/>
              <w:rPr>
                <w:sz w:val="19"/>
                <w:szCs w:val="19"/>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40" w:type="dxa"/>
            <w:vAlign w:val="bottom"/>
            <w:tcBorders>
              <w:bottom w:val="single" w:sz="8" w:color="auto"/>
            </w:tcBorders>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that is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December 31, 2022, there were no amounts borrowed under the U.S. Revolver, and letters of credit outstanding were $33.8 million. There was $41.2 million available for the issuance of letters of credit and borrowings under the U.S. Revolver as of December 31, 2022.</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December 31, 2022, we were in compliance with all of the financial covenants of the U.S. Revolver.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Bloomberg Short-Term Bank Yield Index (BSBY) rate plus 1.00%. The applicable rate is generally a range from (0.25)% to 1.75% depending on the type of loan and the Company's consolidated net leverage ratio. On November 10, 2022, the Company entered into a second LIBOR Transition Amendment with Bank of America that states that LIBOR for U.S. dollar loans will be replaced with the BSBY rate in accordance with the U.S. Revolver.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$33.8 million as of December 31, 2022. We also had surety bonds totaling $284.5 million that were outstanding, with additional bonding capacity of $315.5 million available, at December 31, 2022.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$9.7 million facility agreement (Facility Agreement) between Powell (UK) Limited and a large international bank that provides Powell (UK) Limited the ability to enter into bank guarantees as well as forward exchange contracts and currency options. At December 31, 2022, we had outstanding guarantees totaling $6.8 million. The Facility Agreement provides for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2022,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2022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December 31, 2022, there were 308,917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three months ended December 31, 2022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239,862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147,100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(63,334)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6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308,917</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and 2021, we recorded compensation expense of $1.3 million and $0.9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During both the three months ended December 31, 2022 and 2021, there were no restricted shares granted. During the three months ended December 31, 2022 and 2021, we recorded compensation expense of less than $0.1 million and $0.1 million, respectively, related to restricted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2022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2022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and construction equipment. All of our future lease obligations are related to non-cancelable operating leases. The most significant portion of our lease portfolio relates to leases of office and manufacturing facilities in Canada that we no longer occupy. We currently sublease the majority of these Canadian facilities. The following table provides a summary of lease cost components for the three months ended December 31, 2022 and 2021, respectively (in thousands):</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80" w:type="dxa"/>
            <w:vAlign w:val="bottom"/>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378</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6"/>
              </w:rPr>
              <w:t>571</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660" w:type="dxa"/>
            <w:vAlign w:val="bottom"/>
          </w:tcPr>
          <w:p>
            <w:pPr>
              <w:jc w:val="center"/>
              <w:ind w:left="1135"/>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center"/>
              <w:ind w:left="1113"/>
              <w:spacing w:after="0"/>
              <w:rPr>
                <w:sz w:val="20"/>
                <w:szCs w:val="20"/>
                <w:color w:val="auto"/>
              </w:rPr>
            </w:pPr>
            <w:r>
              <w:rPr>
                <w:rFonts w:ascii="Times New Roman" w:cs="Times New Roman" w:eastAsia="Times New Roman" w:hAnsi="Times New Roman"/>
                <w:sz w:val="18"/>
                <w:szCs w:val="18"/>
                <w:color w:val="auto"/>
                <w:w w:val="97"/>
              </w:rPr>
              <w:t>(174)</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108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6"/>
              </w:rPr>
              <w:t>141</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5"/>
              <w:spacing w:after="0"/>
              <w:rPr>
                <w:sz w:val="20"/>
                <w:szCs w:val="20"/>
                <w:color w:val="auto"/>
              </w:rPr>
            </w:pPr>
            <w:r>
              <w:rPr>
                <w:rFonts w:ascii="Times New Roman" w:cs="Times New Roman" w:eastAsia="Times New Roman" w:hAnsi="Times New Roman"/>
                <w:sz w:val="18"/>
                <w:szCs w:val="18"/>
                <w:color w:val="auto"/>
                <w:w w:val="96"/>
              </w:rPr>
              <w:t>387</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3"/>
              <w:spacing w:after="0"/>
              <w:rPr>
                <w:sz w:val="20"/>
                <w:szCs w:val="20"/>
                <w:color w:val="auto"/>
              </w:rPr>
            </w:pPr>
            <w:r>
              <w:rPr>
                <w:rFonts w:ascii="Times New Roman" w:cs="Times New Roman" w:eastAsia="Times New Roman" w:hAnsi="Times New Roman"/>
                <w:sz w:val="18"/>
                <w:szCs w:val="18"/>
                <w:color w:val="auto"/>
                <w:w w:val="96"/>
              </w:rPr>
              <w:t>273</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711</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6"/>
              </w:rPr>
              <w:t>811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As of both December 31, 2022 and September 30, 2022, our operating lease assets have been reduced by a lease accrual of $0.1 million related to certain unused facility leases in Canada. The following table provides a summary of the operating lease assets and operating lease liabilities included in our Condensed Consolidated Balance Sheets as of December 31, 2022 and September 30, 2022, respectively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December 31, 2022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December 31, 2022 was 3.61%. The weighted average remaining lease term was 2.04 years at December 31, 2022.</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6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
        </w:trPr>
        <w:tc>
          <w:tcPr>
            <w:tcW w:w="6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(4,287)</w:t>
            </w:r>
          </w:p>
        </w:tc>
      </w:tr>
      <w:tr>
        <w:trPr>
          <w:trHeight w:val="216"/>
        </w:trPr>
        <w:tc>
          <w:tcPr>
            <w:tcW w:w="6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(1,441)</w:t>
            </w:r>
          </w:p>
        </w:tc>
      </w:tr>
      <w:tr>
        <w:trPr>
          <w:trHeight w:val="162"/>
        </w:trPr>
        <w:tc>
          <w:tcPr>
            <w:tcW w:w="65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(2,846)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28% for the first quarter of Fiscal 2023 compared to an income tax benefit that reflects an effective tax rate on pre-tax loss of 34% for the first quarter of Fiscal 2022. The effective tax rate for the first quarters of Fiscal 2023 and Fiscal 2022 were favorably impacted by the estimated Research and Development Tax Credit (R&amp;D Tax Credit), partially offset by discrete items primarily related to the vesting of restricted stock units. In addition, the first quarter of Fiscal 2022 was also impacted by a valuation allowance that prohibited the recognition of certain non-U.S. tax losses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2023, our Board of Directors approved a 1% increase to the quarterly cash dividend on our common stock to $0.2625 per share, equating to an annualized dividend of $1.05 per share from the current amount of $1.04 per share. The dividend is payable on March 15, 2023 to shareholders of record at the close of business on February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liquidity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right="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(including the COVID-19 pandemic and any new variants), acts of war and terrorism, among others, could disrupt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8" w:name="page19"/>
    <w:bookmarkEnd w:id="18"/>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and regulations, including those regarding climate change, could adversely impact our financial results.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We have discussed these factors in more detail in our Annual Report on Form 10-K for the year ended September 30, 2022.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2022, which was filed with the Securities and Exchange Commission (SEC) on December 6, 2022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other industrial markets. Revenues and costs are primarily related to custom engineered-to-order equipment and</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and are accounted for under percentage-of-completion accounting, which precludes us from providing detailed price and volume information. Our backlog includes various projects that typically take a number of months to produce.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element of our strategic focus is to diversify our project portfolio outside of our core oil, gas and petrochemical end market sectors. These efforts over the past year led to a record backlog of projects coming into Fiscal 2023. Over the past few years, there has been an increase in capital spending within North America on LNG facilities as the market responds to the increased international demand for LNG and processes utilizing gas feedstocks. As a result, the business has been awarded a few large contracts that have had a positive impact on our backlog. The substantial contract we were awarded in Fiscal 2020 will be fully completed in the next few months. Additionally, diversification efforts outside of our core oil, gas and petrochemical end markets have resulted in an increase in backlog across the utility and commercial and other industrial sectors as well.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Uncertainty and Commodity Market Volatility on Powell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past two years. Uncertainty and demand disruptions have resulted in considerable volatility across commodity markets. Although global oil prices have rebounded, the major oil and gas producers have responded with modest increases in capital expenditures. Additionally, we continue to experience supply chain disruptions driven predominately by availability and cost volatility across our raw materials, components and labor force. All of these factors have contributed to the lower margins realized in Fiscal 2022 and may continue to impact margins in Fiscal 2023. As we address disruptions and increased costs, we continue to work with our suppliers of key components and commodities to ensure that we are able to meet our customer commitments. Additionally, we have adjusted our pricing models with our customers in response to the increased cost environment.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global economic uncertainty, as well as commodity price volatility, may have on our business, results of operations and cash flows going forward.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2022 Compared to the Quarter Ended December 31, 2021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by 19%, or $20.3 million, to $126.9 million in the first quarter of Fiscal 2023, primarily driven by the increase in project backlog at the beginning of Fiscal 2023. Backlog increased 43% to $592.2 million at September 30, 2022 compared to September 30, 2021. Domestic revenues increased by 22%, or $18.0 million, to $100.1 million in the first quarter of Fiscal 2023. Included in our domestic oil and gas sector revenues is the large domestic industrial project awarded in Fiscal 2020, which accounted for approximately 13% of our consolidated revenues for the first quarter of Fiscal 2023 compared to 19% in the same period in the prior year. International revenues increased by 10%, or $2.3 million, to $26.8 million in the first quarter of Fiscal 2023. Our international revenues include both revenues generated from our international facilities as well as revenues from export projects generated at our domestic facilities.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1%, or $0.5 million, to $43.5 million in the first quarter of Fiscal 2023, while petrochemical revenue increased by 31%, or $5.3 million, to $22.5 million in the first quarter of Fiscal 2023. Revenue from our utility markets increased by 32%, or $6.9 million, to $28.4 million in the first quarter of Fiscal 2023. Commercial and other industrial market revenue increased by 202%, or $11.4 million, to $17.1 million, driven by an increase in traditionally non-core markets such as data centers, university projects and other miscellaneous applications. Revenue from all other markets combined increased by 7%, or $0.6 million, to $8.3 million in the first quarter of Fiscal 2023. These increases in revenue were driven by improved market conditions and our strategic effort to diversify our business. Revenue from our traction market decreased by 38%, or $4.3 million, to $7.1 million in the first quarter of Fiscal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45%, or $6.0 million, to $19.5 million for the first quarter of Fiscal 2023. Gross profit as a percentage of revenues increased to 15% in the first quarter of Fiscal 2023, compared to 13% in the first quarter of Fiscal 2022. The increase in gross profit was directly attributable to the increase in revenues and the increase in gross profit as a percentage of revenues was driven by the increased volume and related efficiencies, pricing initiatives and continued project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6%, or $1.0 million, to $16.9 million in the first quarter of Fiscal 2023, primarily due to increased variable incentive compensation and travel-related expenses. Selling, general and administrative expenses as a percentage of revenues decreased to 13% during the first quarter of Fiscal 2023 compared to 15% during the first quarter of Fiscal 2022, primarily due to increased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Benefit/Provision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$0.5 million in the first quarter of Fiscal 2023, compared to an income tax benefit of $1.4 million in the first quarter of Fiscal 2022. For each of the three months ended December 31, 2022 and December 31, 2021, the effective tax rate was favorably impacted by the estimated Research and Development Tax Credit (R&amp;D Tax Credit), partially offset by discrete items primarily related to the vesting of restricted stock units. In addition, the first quarter of Fiscal 2022 was also impacted by a valuation allowance that prohibited the recognition of certain non-U.S. tax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2023, we recorded net income of $1.2 million, or $0.10 per diluted share, compared to a net loss of $2.8 million, or $0.24 per diluted share, in the first quarter of Fiscal 2022. This increase in net income was primarily due to the increase in bookings which led to an increase in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December 31, 2022 was $679.8 million, an increase of 15% from $592.2 million at September 30, 2022 and an increase of 63% from $416.0 million at December 31, 2021. Bookings, net of cancellations and scope reductions, increased by 97% in the first quarter of Fiscal 2023 to $211.8 million, compared to $107.7 million in the first quarter of Fiscal 2022, primarily driven by improved strength across our core oil, gas and petrochemical market sectors.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in "Overview" above, the markets in which we participate are capital-intensive and cyclical in nature. A significant portion of our revenues has historically been from the oil, gas and petrochemical markets. Oil and gas commodity price levels can be volatile and our customers have in certain cases delayed or cancelled some of their major capital investment projects due to price volatility and changes in return expectations. We have been strategically focusing on diversification of our project portfolio to expand outside of our core oil, gas and petrochemical end market sectors. Recently we have seen increased global demand for cleaner-burning fuels as well as related processes utilizing gas feedstocks. As a result, the business has been awarded a few large contracts that have had a positive impact on our backlog. The substantial contract we were awarded in Fiscal 2020 will be fully completed in the next few months. Additionally, diversification efforts outside of our core oil, gas and petrochemical end markets have resulted in an increase in backlog across the utility and commercial and other industrial sectors as well.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project backlog,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negatively impacted our business and operating results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Additionally, the increases in commodity and component costs from projects awarded in prior years and increased labor costs may have a negative impact on our operating results in the event that we are not able to pass these cost increases to our customers. Considering the long cycle nature of our business, we are exposed to cyclical conditions in our business. We will continue to remain focused on the variables that impact our markets as well as cost management, labor and supply chain challenges. We will also continue to adjust to the global conditions in order to maintain competitive cost and technological advantages in the markets that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current assets exceeded current liabilities by 1.9 times.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short-term investments decreased to $110.7 million at December 31, 2022, compared to $116.5 million at September 30, 2022. This decrease in cash was primarily driven by the payment of variable incentive compensation during the quarter. We believe that our strong working capital position, available borrowings under our credit facility and available cash should be sufficient to finance future operating activities, capital improvements and research and development initiatives for the foreseeable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there were no amounts borrowed under the U.S. Revolver, and letters of credit outstanding were $33.8 million. As of December 31, 2022, $41.2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$26.2 million of our cash, cash equivalents and short-term investments at December 31, 2022 was held outside of the U.S. for our international operations. It is our intention to indefinitely reinvest all current and future foreign earnings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used net cash of $0.5 million during the three months ended December 31, 2022 and $27.8 million during the same period in Fiscal 2022. Cash flow from operations is primarily influenced by the timing of milestone payments from our customers, project volume and the associated working capital requirements, as well as payment terms with our suppliers. This increase in operating cash flow was primarily due to the timing of contract billing milestones and the increase in accounts receivable, partially offset by the decrease in accounts payable.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provided $1.0 million during the three months ended December 31, 2022 and used $4.4 million during the same period in Fiscal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provided by investing activities in the first quarter of Fiscal 2023 is due to the increase in short-term investment maturities.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$3.5 million during the three months ended December 31, 2022 and $4.1 million during the same period in Fiscal 2022, which primarily consisted of approximately $3.0 million of dividends paid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2022, which was filed with the SEC on December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other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along such commodity price increases to our customers on a contract-by-contract basis to avoid a negative effect on our profit margin. We have entered into a derivative contract to hedge a portion of our exposure to commodity price risk. This contract is immaterial for the first quarter of Fiscal 2023.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three months ended December 31, 2022, our realized foreign exchange loss was $0.2 million and is included in selling, general and administrative expenses in our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$26.6 million as of December 31, 2022, a decrease of $2.4 million compared to September 30, 2022. This decrease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on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2022, which was filed with the SEC on December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2">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4">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5">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680" w:right="180" w:hanging="899"/>
        <w:spacing w:after="0" w:line="250" w:lineRule="auto"/>
        <w:tabs>
          <w:tab w:leader="none" w:pos="1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LIBOR Transition Amendment, dated November 10, 2022, by and between the Company, as Borrower, certain subsidiaries of the Company identified therein, as Guarantors, the Lenders party thereto and Bank of America, N.A., as Administrative Agent.</w:t>
      </w:r>
    </w:p>
    <w:p>
      <w:pPr>
        <w:spacing w:after="0" w:line="190"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December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8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December 31, 2022,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2023</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2023</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08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LIBOR TRANSITION AMENDMENT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LIBOR TRANSITION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November 10, 2022 (the “</w:t>
      </w:r>
      <w:r>
        <w:rPr>
          <w:rFonts w:ascii="Times New Roman" w:cs="Times New Roman" w:eastAsia="Times New Roman" w:hAnsi="Times New Roman"/>
          <w:sz w:val="20"/>
          <w:szCs w:val="20"/>
          <w:u w:val="single" w:color="auto"/>
          <w:color w:val="auto"/>
        </w:rPr>
        <w:t>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is entered into among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L/C Issuer, Swingline Lender and a Lender.</w:t>
      </w:r>
    </w:p>
    <w:p>
      <w:pPr>
        <w:spacing w:after="0" w:line="1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Borrower, the lenders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Bank of America, N.A., as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have entered into that certain Amended and Restated Credit Agreement dated as of September 27, 2019 (as amended, modified, extended, restated, replaced, or supplemented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certain loans, disbursements and/or other extensions of credit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under the Agreement denominated in U.S.</w:t>
      </w:r>
    </w:p>
    <w:p>
      <w:pPr>
        <w:spacing w:after="0" w:line="221" w:lineRule="auto"/>
        <w:rPr>
          <w:sz w:val="20"/>
          <w:szCs w:val="20"/>
          <w:color w:val="auto"/>
        </w:rPr>
      </w:pPr>
      <w:r>
        <w:rPr>
          <w:rFonts w:ascii="Times New Roman" w:cs="Times New Roman" w:eastAsia="Times New Roman" w:hAnsi="Times New Roman"/>
          <w:sz w:val="20"/>
          <w:szCs w:val="20"/>
          <w:color w:val="auto"/>
        </w:rPr>
        <w:t>Dollars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incur or are permitted to incur interest, fees, commissions or other amounts based on the London Interbank Offered Rate as administered by the ICE Benchmark Administration (“</w:t>
      </w:r>
      <w:r>
        <w:rPr>
          <w:rFonts w:ascii="Times New Roman" w:cs="Times New Roman" w:eastAsia="Times New Roman" w:hAnsi="Times New Roman"/>
          <w:sz w:val="20"/>
          <w:szCs w:val="20"/>
          <w:u w:val="single" w:color="auto"/>
          <w:color w:val="auto"/>
        </w:rPr>
        <w:t>LIBOR</w:t>
      </w:r>
      <w:r>
        <w:rPr>
          <w:rFonts w:ascii="Times New Roman" w:cs="Times New Roman" w:eastAsia="Times New Roman" w:hAnsi="Times New Roman"/>
          <w:sz w:val="20"/>
          <w:szCs w:val="20"/>
          <w:color w:val="auto"/>
        </w:rPr>
        <w:t>”) in accordance with the terms of the Agreement; and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applicable parties under the Agreement have determined in accordance with the Agreement that LIBOR for Dollars</w:t>
      </w:r>
    </w:p>
    <w:p>
      <w:pPr>
        <w:spacing w:after="0" w:line="221" w:lineRule="auto"/>
        <w:rPr>
          <w:sz w:val="20"/>
          <w:szCs w:val="20"/>
          <w:color w:val="auto"/>
        </w:rPr>
      </w:pPr>
      <w:r>
        <w:rPr>
          <w:rFonts w:ascii="Times New Roman" w:cs="Times New Roman" w:eastAsia="Times New Roman" w:hAnsi="Times New Roman"/>
          <w:sz w:val="20"/>
          <w:szCs w:val="20"/>
          <w:color w:val="auto"/>
        </w:rPr>
        <w:t>should be replaced with a successor rate in accordance with the Agreement and, in connection therewith, the Administrative Agent has determined that certain conforming changes are necessary or advisable.</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48" w:lineRule="exact"/>
        <w:rPr>
          <w:sz w:val="20"/>
          <w:szCs w:val="20"/>
          <w:color w:val="auto"/>
        </w:rPr>
      </w:pPr>
    </w:p>
    <w:p>
      <w:pPr>
        <w:ind w:right="20" w:firstLine="656"/>
        <w:spacing w:after="0"/>
        <w:tabs>
          <w:tab w:leader="none" w:pos="112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(including on any Appendix attached hereto) shall have the meanings provided to such terms in the Agreement, as amended by this Amendment.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02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Notwithstanding any provision of the Agreement or any other document related thereto (the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to the contrary, the parties hereto hereby agree that the terms set forth on Appendix A shall apply to Dollars. For the avoidance of doubt, to the extent provisions in the Agreement apply to Dollars and such provisions are not specifically addressed by Appendix A, the provisions in the Agreement shall continue to apply to Dollars.</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12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Loan Documents</w:t>
      </w:r>
      <w:r>
        <w:rPr>
          <w:rFonts w:ascii="Times New Roman" w:cs="Times New Roman" w:eastAsia="Times New Roman" w:hAnsi="Times New Roman"/>
          <w:sz w:val="20"/>
          <w:szCs w:val="20"/>
          <w:color w:val="auto"/>
        </w:rPr>
        <w:t>. In the event of any conflict between the terms of this Amendment and the terms of the Agreement or the other Loan Documents, the terms hereof shall control.</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0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shall become effective upon receipt by the Administrative Agent of counterparts of this Amendment, properly executed by the Borrower, each Guarantor, the Lenders and the Administrative Agent.</w:t>
      </w:r>
    </w:p>
    <w:p>
      <w:pPr>
        <w:spacing w:after="0" w:line="16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Borrower and the Guarantor(s) under the Loan Documents, are hereby ratified and confirmed and shall remain in full force and effect according to their terms. This Amendment is a Loan Document.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Guarantor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04"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20"/>
          <w:szCs w:val="20"/>
          <w:color w:val="auto"/>
        </w:rPr>
        <w:t>To the extent the obligations of the Borrower and the Guarantor(s) under the Agreement and the other Loan Documents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are secured, the Borrower and each Guarantor (i) agrees that the security agreement and the other collateral documentation (collectively, the “</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continue to be in full force and effect and are not impaired or adversely</w:t>
      </w:r>
    </w:p>
    <w:p>
      <w:pPr>
        <w:ind w:left="660"/>
        <w:spacing w:after="0" w:line="211" w:lineRule="auto"/>
        <w:rPr>
          <w:sz w:val="20"/>
          <w:szCs w:val="20"/>
          <w:color w:val="auto"/>
        </w:rPr>
      </w:pPr>
      <w:r>
        <w:rPr>
          <w:rFonts w:ascii="Times New Roman" w:cs="Times New Roman" w:eastAsia="Times New Roman" w:hAnsi="Times New Roman"/>
          <w:sz w:val="20"/>
          <w:szCs w:val="20"/>
          <w:color w:val="auto"/>
        </w:rPr>
        <w:t>affected in any manner whatsoever, (ii) confirms its grant of security interests pursuant to the Collateral Documents to which it is a</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party as collateral for the Obligations, and (iii) acknowledges that all liens granted (or purported to be granted) pursuant to the Collateral Documents remain and continue in full force and effect in respect of, and to secure, the Obligations.</w:t>
      </w:r>
    </w:p>
    <w:p>
      <w:pPr>
        <w:spacing w:after="0" w:line="162" w:lineRule="exact"/>
        <w:rPr>
          <w:sz w:val="20"/>
          <w:szCs w:val="20"/>
          <w:color w:val="auto"/>
        </w:rPr>
      </w:pPr>
    </w:p>
    <w:p>
      <w:pPr>
        <w:ind w:left="660" w:firstLine="648"/>
        <w:spacing w:after="0"/>
        <w:rPr>
          <w:sz w:val="20"/>
          <w:szCs w:val="20"/>
          <w:color w:val="auto"/>
        </w:rPr>
      </w:pPr>
      <w:r>
        <w:rPr>
          <w:rFonts w:ascii="Times New Roman" w:cs="Times New Roman" w:eastAsia="Times New Roman" w:hAnsi="Times New Roman"/>
          <w:sz w:val="20"/>
          <w:szCs w:val="20"/>
          <w:color w:val="auto"/>
        </w:rPr>
        <w:t>Each Guarantor hereby reaffirms its obligations under the guaranty relating to the Agreement and agrees that its obligation to guarantee the Obligations is in full force and effect as of the date hereof.</w:t>
      </w:r>
    </w:p>
    <w:p>
      <w:pPr>
        <w:spacing w:after="0" w:line="148" w:lineRule="exact"/>
        <w:rPr>
          <w:sz w:val="20"/>
          <w:szCs w:val="20"/>
          <w:color w:val="auto"/>
        </w:rPr>
      </w:pPr>
    </w:p>
    <w:p>
      <w:pPr>
        <w:ind w:left="1940" w:hanging="636"/>
        <w:spacing w:after="0"/>
        <w:tabs>
          <w:tab w:leader="none" w:pos="1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Guarantor represents and warrants that: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37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it of this Amendment is within its organizational powers and has been duly authorized by all necessary organizational, partnership, member or other action, as applicable, as may be necessary or required.</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41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it, and constitutes a valid and binding obligation of it, enforceable against it in accordance with the terms hereof, except as may be limited by applicable bankruptcy, insolvency, reorganization, moratorium, or similar laws affecting the enforcement of creditors’ rights generally and by general principles of equity.</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4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it of this Amendment and performance by it of this Amendment have been duly authorized by all necessary corporate or other organizational action, and do not and will not (A) contravene the terms of its certificate or articles of incorporation or organization or other applicable constitutive documents, (B) conflict with or result in any breach or contravention of, or the creation of any lien under, or require any payment to be made under (x) any contractual obligation to which it is a party or affecting it or the properties of it or any subsidiary thereof or (y) any order, injunction, writ or decree of any governmental authority or any arbitral award to which it or any subsidiary thereof or its property is subject or (C) violate any law.</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47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this Amendment, (A) all representations and warranties of it set forth in the Loan Documents are true and correct in all material respects (and in all respects if any such representation or warranty is already qualified by materiality (after giving effect to such materiality qualification)) on and as of the Amendment Effective Date (except to the extent that such representations and warranties specifically refer to an earlier date, in which case they were true and correct in all material respects (and in all respects if any such representation or warranty is already qualified by materiality (after giving effect to such materiality qualification)) as of such earlier date), and (B) no default exists under the Agreement or any other Loan Document.</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4" w:right="339" w:bottom="1440" w:gutter="0" w:footer="0" w:header="0"/>
        </w:sectPr>
      </w:pPr>
    </w:p>
    <w:bookmarkStart w:id="30" w:name="page31"/>
    <w:bookmarkEnd w:id="30"/>
    <w:p>
      <w:pPr>
        <w:jc w:val="both"/>
        <w:ind w:left="660" w:firstLine="644"/>
        <w:spacing w:after="0" w:line="222" w:lineRule="auto"/>
        <w:tabs>
          <w:tab w:leader="none" w:pos="19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the Agreement with respect to governing law, submission to jurisdiction, waiver of venue and waiver of jury trial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0"/>
          <w:szCs w:val="20"/>
          <w:color w:val="auto"/>
        </w:rPr>
        <w:t>Each of the parties hereto has caused a counterpart of this Amendment to be duly executed and delivered as of the date first above</w:t>
      </w: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4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POWELL INDUSTRIES, INC.,</w:t>
      </w:r>
    </w:p>
    <w:p>
      <w:pPr>
        <w:ind w:left="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16"/>
          <w:szCs w:val="16"/>
          <w:color w:val="auto"/>
        </w:rPr>
        <w:t>/s/ Michael Metcalf</w:t>
      </w:r>
    </w:p>
    <w:p>
      <w:pPr>
        <w:ind w:left="3240"/>
        <w:spacing w:after="0" w:line="222" w:lineRule="auto"/>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113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99"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POWELL ELECTRICAL SYSTEMS, INC.,</w:t>
      </w: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16"/>
          <w:szCs w:val="16"/>
          <w:color w:val="auto"/>
        </w:rPr>
        <w:t>/s/ 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-7620</wp:posOffset>
            </wp:positionV>
            <wp:extent cx="1113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3240"/>
        <w:spacing w:after="0" w:line="207" w:lineRule="auto"/>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Metcalf</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POWELL INDUSTRIES INTERNATIONAL, INC.,</w:t>
      </w: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16"/>
          <w:szCs w:val="16"/>
          <w:color w:val="auto"/>
        </w:rPr>
        <w:t>/s/ 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-7620</wp:posOffset>
            </wp:positionV>
            <wp:extent cx="1082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ind w:left="3240"/>
        <w:spacing w:after="0" w:line="222" w:lineRule="auto"/>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Metcalf</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20"/>
          </w:cols>
          <w:pgMar w:left="320" w:top="1394" w:right="359" w:bottom="1440" w:gutter="0" w:footer="0" w:header="0"/>
        </w:sectPr>
      </w:pPr>
    </w:p>
    <w:bookmarkStart w:id="32" w:name="page33"/>
    <w:bookmarkEnd w:id="32"/>
    <w:p>
      <w:pPr>
        <w:ind w:left="2660" w:right="4959" w:hanging="3239"/>
        <w:spacing w:after="0"/>
        <w:tabs>
          <w:tab w:leader="none" w:pos="2640" w:val="left"/>
        </w:tabs>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BANK OF AMERICA, N.A., as Administrative Agent</w:t>
      </w:r>
    </w:p>
    <w:p>
      <w:pPr>
        <w:spacing w:after="0" w:line="2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16"/>
          <w:szCs w:val="16"/>
          <w:color w:val="auto"/>
        </w:rPr>
        <w:t>/s/ Katherine Osele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-7620</wp:posOffset>
            </wp:positionV>
            <wp:extent cx="1071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left="3240"/>
        <w:spacing w:after="0" w:line="222" w:lineRule="auto"/>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Katherine Osele</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BANK OF AMERICA, N.A.,</w:t>
      </w:r>
    </w:p>
    <w:p>
      <w:pPr>
        <w:jc w:val="right"/>
        <w:ind w:right="3259"/>
        <w:spacing w:after="0"/>
        <w:rPr>
          <w:sz w:val="20"/>
          <w:szCs w:val="20"/>
          <w:color w:val="auto"/>
        </w:rPr>
      </w:pPr>
      <w:r>
        <w:rPr>
          <w:rFonts w:ascii="Times New Roman" w:cs="Times New Roman" w:eastAsia="Times New Roman" w:hAnsi="Times New Roman"/>
          <w:sz w:val="20"/>
          <w:szCs w:val="20"/>
          <w:color w:val="auto"/>
        </w:rPr>
        <w:t>as L/C Issuer, Swingline Lender and a Lender</w:t>
      </w: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16"/>
          <w:szCs w:val="16"/>
          <w:color w:val="auto"/>
        </w:rPr>
        <w:t>/s/ Katherine Osele</w:t>
      </w:r>
    </w:p>
    <w:p>
      <w:pPr>
        <w:ind w:left="3240"/>
        <w:spacing w:after="0" w:line="222" w:lineRule="auto"/>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Katherine Osele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945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0139"/>
          </w:cols>
          <w:pgMar w:left="320" w:top="1399"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16" w:lineRule="exact"/>
        <w:rPr>
          <w:sz w:val="20"/>
          <w:szCs w:val="20"/>
          <w:color w:val="auto"/>
        </w:rPr>
      </w:pPr>
    </w:p>
    <w:p>
      <w:pPr>
        <w:ind w:left="660" w:right="3600" w:firstLine="2950"/>
        <w:spacing w:after="0" w:line="467" w:lineRule="auto"/>
        <w:rPr>
          <w:sz w:val="20"/>
          <w:szCs w:val="20"/>
          <w:color w:val="auto"/>
        </w:rPr>
      </w:pPr>
      <w:r>
        <w:rPr>
          <w:rFonts w:ascii="Times New Roman" w:cs="Times New Roman" w:eastAsia="Times New Roman" w:hAnsi="Times New Roman"/>
          <w:sz w:val="19"/>
          <w:szCs w:val="19"/>
          <w:color w:val="auto"/>
        </w:rPr>
        <w:t xml:space="preserve">TERMS APPLICABLE TO BSBY RATE LOANS 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shall have the meanings set forth below:</w:t>
      </w:r>
    </w:p>
    <w:p>
      <w:pPr>
        <w:ind w:left="1300"/>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means, with respect to Dollars, the Administrative Agent’s address and, as appropriate,</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account specified in the Agreement with respect to Dollars, or such other address or account with respect to Dollars as the Administrative Agent may from time to time notify the Borrower and the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Rate</w:t>
      </w:r>
      <w:r>
        <w:rPr>
          <w:rFonts w:ascii="Times New Roman" w:cs="Times New Roman" w:eastAsia="Times New Roman" w:hAnsi="Times New Roman"/>
          <w:sz w:val="19"/>
          <w:szCs w:val="19"/>
          <w:color w:val="auto"/>
        </w:rPr>
        <w:t>” means the Applicable Rate, Applicable Margin, Margin or any similar or analogous definition in the Loan</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Documents applicable to a benchmark or to the Base Rate. For the avoidance of doubt, different Applicable Rates may apply to different rates under the Loan Documents. If there is no such definition in the Loan Documents because the margin is a specified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amount, the “Applicable Rate” shall be the amount specified as the margin in the Loan Documents.</w:t>
      </w:r>
    </w:p>
    <w:p>
      <w:pPr>
        <w:spacing w:after="0" w:line="167" w:lineRule="exact"/>
        <w:rPr>
          <w:sz w:val="20"/>
          <w:szCs w:val="20"/>
          <w:color w:val="auto"/>
        </w:rPr>
      </w:pPr>
    </w:p>
    <w:p>
      <w:pPr>
        <w:ind w:left="66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Base Rate, Alternative Base Rate, ABR, Prime Rate or any similar or analogous definition in the Agreement. If there is no such definition in the Agreement, “Base Rate” shall mean, for any day a fluctuating rate of interest per</w:t>
      </w:r>
    </w:p>
    <w:p>
      <w:pPr>
        <w:ind w:left="660"/>
        <w:spacing w:after="0" w:line="212" w:lineRule="auto"/>
        <w:rPr>
          <w:sz w:val="20"/>
          <w:szCs w:val="20"/>
          <w:color w:val="auto"/>
        </w:rPr>
      </w:pPr>
      <w:r>
        <w:rPr>
          <w:rFonts w:ascii="Times New Roman" w:cs="Times New Roman" w:eastAsia="Times New Roman" w:hAnsi="Times New Roman"/>
          <w:sz w:val="20"/>
          <w:szCs w:val="20"/>
          <w:color w:val="auto"/>
        </w:rPr>
        <w:t xml:space="preserve">annum equal to the higher of (a) the Federal Funds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 and (b) the rate of interest in effect for such day as publicly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announced from time to time by Bank of America as its “prime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Base Rate shall be less than 0%, such rate shall be deemed 0% for purposes of this Amendment. The “prime rate” is a rate set by Bank of America based upon various factors</w:t>
      </w:r>
    </w:p>
    <w:p>
      <w:pPr>
        <w:ind w:left="660"/>
        <w:spacing w:after="0" w:line="223" w:lineRule="auto"/>
        <w:rPr>
          <w:sz w:val="20"/>
          <w:szCs w:val="20"/>
          <w:color w:val="auto"/>
        </w:rPr>
      </w:pPr>
      <w:r>
        <w:rPr>
          <w:rFonts w:ascii="Times New Roman" w:cs="Times New Roman" w:eastAsia="Times New Roman" w:hAnsi="Times New Roman"/>
          <w:sz w:val="19"/>
          <w:szCs w:val="19"/>
          <w:color w:val="auto"/>
        </w:rPr>
        <w:t>including Bank of America’s costs and desired return, general economic conditions and other factors, and is used as a reference point</w:t>
      </w:r>
    </w:p>
    <w:p>
      <w:pPr>
        <w:ind w:left="660"/>
        <w:spacing w:after="0" w:line="221" w:lineRule="auto"/>
        <w:rPr>
          <w:sz w:val="20"/>
          <w:szCs w:val="20"/>
          <w:color w:val="auto"/>
        </w:rPr>
      </w:pPr>
      <w:r>
        <w:rPr>
          <w:rFonts w:ascii="Times New Roman" w:cs="Times New Roman" w:eastAsia="Times New Roman" w:hAnsi="Times New Roman"/>
          <w:sz w:val="20"/>
          <w:szCs w:val="20"/>
          <w:color w:val="auto"/>
        </w:rPr>
        <w:t>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means a Loan that bears interest at a rate based on the Base Rate.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Bloomberg</w:t>
      </w:r>
      <w:r>
        <w:rPr>
          <w:rFonts w:ascii="Times New Roman" w:cs="Times New Roman" w:eastAsia="Times New Roman" w:hAnsi="Times New Roman"/>
          <w:sz w:val="20"/>
          <w:szCs w:val="20"/>
          <w:color w:val="auto"/>
        </w:rPr>
        <w:t>” means Bloomberg Index Services Limited.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a Committed Borrowing, Borrowing, or any similar or analogous definition in the Agreement. If there is</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no such definition in the Agreement, “Borrowing” shall mean a borrowing consisting of simultaneous Loans of the same Type and, in the case of BSBY Rate Loans, having the same Interest Period made by each of the applicable Lenders pursuant to </w:t>
      </w:r>
      <w:r>
        <w:rPr>
          <w:rFonts w:ascii="Times New Roman" w:cs="Times New Roman" w:eastAsia="Times New Roman" w:hAnsi="Times New Roman"/>
          <w:sz w:val="19"/>
          <w:szCs w:val="19"/>
          <w:u w:val="single" w:color="auto"/>
          <w:color w:val="auto"/>
        </w:rPr>
        <w:t>Section 2(d)(i)</w:t>
      </w:r>
      <w:r>
        <w:rPr>
          <w:rFonts w:ascii="Times New Roman" w:cs="Times New Roman" w:eastAsia="Times New Roman" w:hAnsi="Times New Roman"/>
          <w:sz w:val="19"/>
          <w:szCs w:val="19"/>
          <w:color w:val="auto"/>
        </w:rPr>
        <w:t xml:space="preserve"> of</w:t>
      </w:r>
    </w:p>
    <w:p>
      <w:pPr>
        <w:ind w:left="6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BSBY</w:t>
      </w:r>
      <w:r>
        <w:rPr>
          <w:rFonts w:ascii="Times New Roman" w:cs="Times New Roman" w:eastAsia="Times New Roman" w:hAnsi="Times New Roman"/>
          <w:sz w:val="20"/>
          <w:szCs w:val="20"/>
          <w:color w:val="auto"/>
        </w:rPr>
        <w:t>” means the Bloomberg Short-Term Bank Yield Index rate.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BSBY Rate</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jc w:val="both"/>
        <w:ind w:left="1300" w:firstLine="652"/>
        <w:spacing w:after="0" w:line="222" w:lineRule="auto"/>
        <w:tabs>
          <w:tab w:leader="none" w:pos="239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BSBY Rate Loan, the rate per annum equal to the BSBY Screen Rate two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on such determination date then BSBY Rate means the BSBY Screen Rate on the first Business Day immediately prior thereto; and</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37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calculation with respect to a Base Rate Loan on any date, the rate per annum equal to the BSBY Screen Rate with a term of one month commencing that day;</w:t>
      </w:r>
    </w:p>
    <w:p>
      <w:pPr>
        <w:spacing w:after="0" w:line="161" w:lineRule="exact"/>
        <w:rPr>
          <w:sz w:val="20"/>
          <w:szCs w:val="20"/>
          <w:color w:val="auto"/>
        </w:rPr>
      </w:pPr>
    </w:p>
    <w:p>
      <w:pPr>
        <w:ind w:left="1300" w:right="2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BSBY Rate determined in accordance with the foregoing provisions of this definition would otherwise be less than 0%, the BSBY Rate shall be deemed 0% for purposes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34" w:name="page35"/>
    <w:bookmarkEnd w:id="34"/>
    <w:p>
      <w:pPr>
        <w:jc w:val="both"/>
        <w:ind w:left="66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BSBY Rate Loan</w:t>
      </w:r>
      <w:r>
        <w:rPr>
          <w:rFonts w:ascii="Times New Roman" w:cs="Times New Roman" w:eastAsia="Times New Roman" w:hAnsi="Times New Roman"/>
          <w:sz w:val="20"/>
          <w:szCs w:val="20"/>
          <w:color w:val="auto"/>
        </w:rPr>
        <w:t>” means a Loan that bears interest at a rate based on clause (a) of the definition of BSBY Rate. BSBY Rate Loans shall be denominated in Dollars.</w:t>
      </w:r>
    </w:p>
    <w:p>
      <w:pPr>
        <w:spacing w:after="0" w:line="148"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BSBY Screen Rate</w:t>
      </w:r>
      <w:r>
        <w:rPr>
          <w:rFonts w:ascii="Times New Roman" w:cs="Times New Roman" w:eastAsia="Times New Roman" w:hAnsi="Times New Roman"/>
          <w:sz w:val="19"/>
          <w:szCs w:val="19"/>
          <w:color w:val="auto"/>
        </w:rPr>
        <w:t>” means the Bloomberg Short-Term Bank Yield Index rate administered by Bloomberg (or any successor administrator satisfactory to the Administrative Agent) and published on the applicable Bloomberg screen page (or such other commercially available source providing such quotations as may be designated by the Administrative Agent from time to time).</w:t>
      </w:r>
    </w:p>
    <w:p>
      <w:pPr>
        <w:spacing w:after="0" w:line="144" w:lineRule="exact"/>
        <w:rPr>
          <w:sz w:val="20"/>
          <w:szCs w:val="20"/>
          <w:color w:val="auto"/>
        </w:rPr>
      </w:pPr>
    </w:p>
    <w:p>
      <w:pPr>
        <w:jc w:val="both"/>
        <w:ind w:left="66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w:t>
      </w:r>
    </w:p>
    <w:p>
      <w:pPr>
        <w:spacing w:after="0" w:line="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day relates to any interest rate settings as to a BSBY Rate Loan, means any day other than a Saturday, Sunday or other day on which commercial banks are authorized to close under the laws of, or are in fact closed in New York City.</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means a Committed Loan Notice, Loan Notice, Borrowing Notice, Notice of Borrowing,</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Continuation/Conversion Notice, Notice of Continuation/Conversion, a draw request or any similar or analogous definition in the Agreement, and such term shall be deemed to include the Committed Loan Notice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there is no such</w:t>
      </w:r>
    </w:p>
    <w:p>
      <w:pPr>
        <w:ind w:left="660"/>
        <w:spacing w:after="0" w:line="211" w:lineRule="auto"/>
        <w:rPr>
          <w:sz w:val="20"/>
          <w:szCs w:val="20"/>
          <w:color w:val="auto"/>
        </w:rPr>
      </w:pPr>
      <w:r>
        <w:rPr>
          <w:rFonts w:ascii="Times New Roman" w:cs="Times New Roman" w:eastAsia="Times New Roman" w:hAnsi="Times New Roman"/>
          <w:sz w:val="20"/>
          <w:szCs w:val="20"/>
          <w:color w:val="auto"/>
        </w:rPr>
        <w:t>definition in the Agreement, “Committed Loan Notice” shall mean a notice of (a) a Borrowing, (b) a conversion of Loans from one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Type to the other, or (c) a continuation of BSBY Rate Loans, pursuant to </w:t>
      </w:r>
      <w:r>
        <w:rPr>
          <w:rFonts w:ascii="Times New Roman" w:cs="Times New Roman" w:eastAsia="Times New Roman" w:hAnsi="Times New Roman"/>
          <w:sz w:val="20"/>
          <w:szCs w:val="20"/>
          <w:u w:val="single" w:color="auto"/>
          <w:color w:val="auto"/>
        </w:rPr>
        <w:t>Section 2(d)(i)</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w:t>
      </w:r>
    </w:p>
    <w:p>
      <w:pPr>
        <w:spacing w:after="0" w:line="1" w:lineRule="exact"/>
        <w:rPr>
          <w:sz w:val="20"/>
          <w:szCs w:val="20"/>
          <w:color w:val="auto"/>
        </w:rPr>
      </w:pPr>
    </w:p>
    <w:p>
      <w:pPr>
        <w:jc w:val="both"/>
        <w:ind w:left="660" w:right="20"/>
        <w:spacing w:after="0" w:line="228" w:lineRule="auto"/>
        <w:rPr>
          <w:sz w:val="20"/>
          <w:szCs w:val="20"/>
          <w:color w:val="auto"/>
        </w:rPr>
      </w:pPr>
      <w:r>
        <w:rPr>
          <w:rFonts w:ascii="Times New Roman" w:cs="Times New Roman" w:eastAsia="Times New Roman" w:hAnsi="Times New Roman"/>
          <w:sz w:val="20"/>
          <w:szCs w:val="20"/>
          <w:color w:val="auto"/>
        </w:rPr>
        <w:t>electronic transmission system as shall be approved by the Administrative Agent), appropriately completed and signed by a Responsible Officer of the Borrower.</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BSBY or any</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proposed Successor Rate for BSBY, any conforming changes to the definitions of “Base Rate”, “BSBY” and “Interest Period”, timing and frequency of determining rates and making payments of interest and other technical, administrative or operational matters</w:t>
      </w:r>
    </w:p>
    <w:p>
      <w:pPr>
        <w:ind w:left="660"/>
        <w:spacing w:after="0" w:line="211" w:lineRule="auto"/>
        <w:rPr>
          <w:sz w:val="20"/>
          <w:szCs w:val="20"/>
          <w:color w:val="auto"/>
        </w:rPr>
      </w:pPr>
      <w:r>
        <w:rPr>
          <w:rFonts w:ascii="Times New Roman" w:cs="Times New Roman" w:eastAsia="Times New Roman" w:hAnsi="Times New Roman"/>
          <w:sz w:val="20"/>
          <w:szCs w:val="20"/>
          <w:color w:val="auto"/>
        </w:rPr>
        <w:t>(including, for the avoidance of doubt, the definition of “Business Day”, timing of borrowing requests or prepayment, conversion or</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continuation notices and length of lookback periods) as may be appropriate, in the discretion of the Administrative Agent, to reflect the adoption and implementation of such applicable rate(s) and to permit the administration thereof by the Administrative Agent in a</w:t>
      </w:r>
    </w:p>
    <w:p>
      <w:pPr>
        <w:ind w:left="660"/>
        <w:spacing w:after="0" w:line="211" w:lineRule="auto"/>
        <w:rPr>
          <w:sz w:val="20"/>
          <w:szCs w:val="20"/>
          <w:color w:val="auto"/>
        </w:rPr>
      </w:pPr>
      <w:r>
        <w:rPr>
          <w:rFonts w:ascii="Times New Roman" w:cs="Times New Roman" w:eastAsia="Times New Roman" w:hAnsi="Times New Roman"/>
          <w:sz w:val="20"/>
          <w:szCs w:val="20"/>
          <w:color w:val="auto"/>
        </w:rPr>
        <w:t>manner substantially consistent with market practice for Dollars (or, if the Administrative Agent determines that adoption of any</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portion of such market practice is not administratively feasible or that no market practice for the administration of such rate for Dollars exists, in such other manner of administration as the Administrative Agent determines is reasonably necessary in connection</w:t>
      </w:r>
    </w:p>
    <w:p>
      <w:pPr>
        <w:ind w:left="660"/>
        <w:spacing w:after="0"/>
        <w:rPr>
          <w:sz w:val="20"/>
          <w:szCs w:val="20"/>
          <w:color w:val="auto"/>
        </w:rPr>
      </w:pPr>
      <w:r>
        <w:rPr>
          <w:rFonts w:ascii="Times New Roman" w:cs="Times New Roman" w:eastAsia="Times New Roman" w:hAnsi="Times New Roman"/>
          <w:sz w:val="20"/>
          <w:szCs w:val="20"/>
          <w:color w:val="auto"/>
        </w:rPr>
        <w:t>with the administration of this Amendment and any other Loan Document).</w:t>
      </w:r>
    </w:p>
    <w:p>
      <w:pPr>
        <w:spacing w:after="0" w:line="167" w:lineRule="exact"/>
        <w:rPr>
          <w:sz w:val="20"/>
          <w:szCs w:val="20"/>
          <w:color w:val="auto"/>
        </w:rPr>
      </w:pPr>
    </w:p>
    <w:p>
      <w:pPr>
        <w:jc w:val="both"/>
        <w:ind w:left="66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secured overnight financing rate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published on such date by the Federal Reserve Bank of New York, as the administrator of the benchmark (or a successor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administrator) on the Federal Reserve Bank of New York’s website (or any successor source).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175" w:lineRule="exact"/>
        <w:rPr>
          <w:sz w:val="20"/>
          <w:szCs w:val="20"/>
          <w:color w:val="auto"/>
        </w:rPr>
      </w:pPr>
    </w:p>
    <w:p>
      <w:pPr>
        <w:jc w:val="both"/>
        <w:ind w:left="660"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Rate</w:t>
      </w:r>
      <w:r>
        <w:rPr>
          <w:rFonts w:ascii="Times New Roman" w:cs="Times New Roman" w:eastAsia="Times New Roman" w:hAnsi="Times New Roman"/>
          <w:sz w:val="20"/>
          <w:szCs w:val="20"/>
          <w:color w:val="auto"/>
        </w:rPr>
        <w:t>” means Eurodollar Rate, Eurocurrency Rate, LIBOR, Adjusted LIBOR Rate, LIBOR Rate or any similar or analogous definition in the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Rate Loans</w:t>
      </w:r>
      <w:r>
        <w:rPr>
          <w:rFonts w:ascii="Times New Roman" w:cs="Times New Roman" w:eastAsia="Times New Roman" w:hAnsi="Times New Roman"/>
          <w:sz w:val="20"/>
          <w:szCs w:val="20"/>
          <w:color w:val="auto"/>
        </w:rPr>
        <w:t>” means a Loan that bears interest at a rate based on the Eurodollar Rate.</w:t>
      </w:r>
    </w:p>
    <w:p>
      <w:pPr>
        <w:spacing w:after="0" w:line="175" w:lineRule="exact"/>
        <w:rPr>
          <w:sz w:val="20"/>
          <w:szCs w:val="20"/>
          <w:color w:val="auto"/>
        </w:rPr>
      </w:pPr>
    </w:p>
    <w:p>
      <w:pPr>
        <w:jc w:val="both"/>
        <w:ind w:left="66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0"/>
          <w:szCs w:val="20"/>
          <w:color w:val="auto"/>
        </w:rPr>
        <w:t>forth on its public website from time to time) and published on the next succeeding Business Day by the Federal Reserve Bank of</w:t>
      </w:r>
    </w:p>
    <w:p>
      <w:pPr>
        <w:ind w:left="660"/>
        <w:spacing w:after="0" w:line="221" w:lineRule="auto"/>
        <w:rPr>
          <w:sz w:val="20"/>
          <w:szCs w:val="20"/>
          <w:color w:val="auto"/>
        </w:rPr>
      </w:pPr>
      <w:r>
        <w:rPr>
          <w:rFonts w:ascii="Times New Roman" w:cs="Times New Roman" w:eastAsia="Times New Roman" w:hAnsi="Times New Roman"/>
          <w:sz w:val="20"/>
          <w:szCs w:val="20"/>
          <w:color w:val="auto"/>
        </w:rPr>
        <w:t>New York as the federal funds effective rate; provided that if the Federal Funds Rate as so determined would be less than 0%, such rate shall be deemed to be 0% for purposes of this Amendment.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as to any BSBY Rate Loan, the last day of each Interest Period applicable to such Loan and</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the applicable maturity date set forth in the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Interest Period for a BSBY Rate Loan exceeds three months, the respective dates that fall every three months after the beginning of such Interest Period shall also be Interest</w:t>
      </w:r>
    </w:p>
    <w:p>
      <w:pPr>
        <w:ind w:left="660"/>
        <w:spacing w:after="0"/>
        <w:rPr>
          <w:sz w:val="20"/>
          <w:szCs w:val="20"/>
          <w:color w:val="auto"/>
        </w:rPr>
      </w:pPr>
      <w:r>
        <w:rPr>
          <w:rFonts w:ascii="Times New Roman" w:cs="Times New Roman" w:eastAsia="Times New Roman" w:hAnsi="Times New Roman"/>
          <w:sz w:val="20"/>
          <w:szCs w:val="20"/>
          <w:color w:val="auto"/>
        </w:rPr>
        <w:t>Payment Dates.</w:t>
      </w:r>
    </w:p>
    <w:p>
      <w:pPr>
        <w:spacing w:after="0" w:line="167" w:lineRule="exact"/>
        <w:rPr>
          <w:sz w:val="20"/>
          <w:szCs w:val="20"/>
          <w:color w:val="auto"/>
        </w:rPr>
      </w:pPr>
    </w:p>
    <w:p>
      <w:pPr>
        <w:jc w:val="both"/>
        <w:ind w:left="6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means as to each BSBY Rate Loan, the period commencing on the date such BSBY Rate Loan or is disbursed or converted to or continued as a BSBY Rate Loan and ending on the date one, three or six months thereafter (in each case,</w:t>
      </w:r>
    </w:p>
    <w:p>
      <w:pPr>
        <w:ind w:left="660"/>
        <w:spacing w:after="0"/>
        <w:rPr>
          <w:sz w:val="20"/>
          <w:szCs w:val="20"/>
          <w:color w:val="auto"/>
        </w:rPr>
      </w:pPr>
      <w:r>
        <w:rPr>
          <w:rFonts w:ascii="Times New Roman" w:cs="Times New Roman" w:eastAsia="Times New Roman" w:hAnsi="Times New Roman"/>
          <w:sz w:val="20"/>
          <w:szCs w:val="20"/>
          <w:color w:val="auto"/>
        </w:rPr>
        <w:t xml:space="preserve">subject to availability), as selected by the Borrower in its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7" w:lineRule="exact"/>
        <w:rPr>
          <w:sz w:val="20"/>
          <w:szCs w:val="20"/>
          <w:color w:val="auto"/>
        </w:rPr>
      </w:pPr>
    </w:p>
    <w:p>
      <w:pPr>
        <w:jc w:val="both"/>
        <w:ind w:left="1300" w:firstLine="652"/>
        <w:spacing w:after="0" w:line="226" w:lineRule="auto"/>
        <w:tabs>
          <w:tab w:leader="none" w:pos="23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 BSBY Rate Loan, such Business Day falls in another calendar month, in which case such Interest Period shall end on the next preceding Business Day;</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40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BSBY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0" w:lineRule="exact"/>
        <w:rPr>
          <w:rFonts w:ascii="Times New Roman" w:cs="Times New Roman" w:eastAsia="Times New Roman" w:hAnsi="Times New Roman"/>
          <w:sz w:val="20"/>
          <w:szCs w:val="20"/>
          <w:color w:val="auto"/>
        </w:rPr>
      </w:pPr>
    </w:p>
    <w:p>
      <w:pPr>
        <w:ind w:left="2360" w:hanging="408"/>
        <w:spacing w:after="0"/>
        <w:tabs>
          <w:tab w:leader="none" w:pos="2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 set forth in the Agreement.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w:t>
      </w:r>
    </w:p>
    <w:p>
      <w:pPr>
        <w:ind w:left="660"/>
        <w:spacing w:after="0" w:line="221" w:lineRule="auto"/>
        <w:rPr>
          <w:sz w:val="20"/>
          <w:szCs w:val="20"/>
          <w:color w:val="auto"/>
        </w:rPr>
      </w:pPr>
      <w:r>
        <w:rPr>
          <w:rFonts w:ascii="Times New Roman" w:cs="Times New Roman" w:eastAsia="Times New Roman" w:hAnsi="Times New Roman"/>
          <w:sz w:val="20"/>
          <w:szCs w:val="20"/>
          <w:color w:val="auto"/>
        </w:rPr>
        <w:t>of New York, or a committee officially endorsed or convened by the Board of Governors of the Federal Reserve System or the Federal Reserve Bank of New York, or any successor thereto.</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chief financial officer, treasurer, assistant treasurer or</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controller of the Borrower, solely for purposes of the delivery of incumbency certificates pursuant to the Agreement, the secretary or any assistant secretary of the Borrower and, solely for purposes of notices given pursuant to </w:t>
      </w:r>
      <w:r>
        <w:rPr>
          <w:rFonts w:ascii="Times New Roman" w:cs="Times New Roman" w:eastAsia="Times New Roman" w:hAnsi="Times New Roman"/>
          <w:sz w:val="20"/>
          <w:szCs w:val="20"/>
          <w:u w:val="single" w:color="auto"/>
          <w:color w:val="auto"/>
        </w:rPr>
        <w:t>Section 2(d)(i)</w:t>
      </w:r>
      <w:r>
        <w:rPr>
          <w:rFonts w:ascii="Times New Roman" w:cs="Times New Roman" w:eastAsia="Times New Roman" w:hAnsi="Times New Roman"/>
          <w:sz w:val="20"/>
          <w:szCs w:val="20"/>
          <w:color w:val="auto"/>
        </w:rPr>
        <w:t>, any other officer or</w:t>
      </w:r>
    </w:p>
    <w:p>
      <w:pPr>
        <w:ind w:left="660"/>
        <w:spacing w:after="0" w:line="223" w:lineRule="auto"/>
        <w:rPr>
          <w:sz w:val="20"/>
          <w:szCs w:val="20"/>
          <w:color w:val="auto"/>
        </w:rPr>
      </w:pPr>
      <w:r>
        <w:rPr>
          <w:rFonts w:ascii="Times New Roman" w:cs="Times New Roman" w:eastAsia="Times New Roman" w:hAnsi="Times New Roman"/>
          <w:sz w:val="19"/>
          <w:szCs w:val="19"/>
          <w:color w:val="auto"/>
        </w:rPr>
        <w:t>employee of the Borrower so designated by any of the foregoing officers in a notice to the Administrative Agent or any other officer</w:t>
      </w:r>
    </w:p>
    <w:p>
      <w:pPr>
        <w:ind w:left="660"/>
        <w:spacing w:after="0" w:line="204" w:lineRule="auto"/>
        <w:rPr>
          <w:sz w:val="20"/>
          <w:szCs w:val="20"/>
          <w:color w:val="auto"/>
        </w:rPr>
      </w:pPr>
      <w:r>
        <w:rPr>
          <w:rFonts w:ascii="Times New Roman" w:cs="Times New Roman" w:eastAsia="Times New Roman" w:hAnsi="Times New Roman"/>
          <w:sz w:val="20"/>
          <w:szCs w:val="20"/>
          <w:color w:val="auto"/>
        </w:rPr>
        <w:t>or employee of the Borrower designated in or pursuant to an agreement between the Borrower and the Administrative Agent. Any document delivered hereunder that is signed by a Responsible Officer of the Borrower shall be conclusively presumed to have been</w:t>
      </w:r>
    </w:p>
    <w:p>
      <w:pPr>
        <w:ind w:left="660"/>
        <w:spacing w:after="0" w:line="223" w:lineRule="auto"/>
        <w:rPr>
          <w:sz w:val="20"/>
          <w:szCs w:val="20"/>
          <w:color w:val="auto"/>
        </w:rPr>
      </w:pPr>
      <w:r>
        <w:rPr>
          <w:rFonts w:ascii="Times New Roman" w:cs="Times New Roman" w:eastAsia="Times New Roman" w:hAnsi="Times New Roman"/>
          <w:sz w:val="19"/>
          <w:szCs w:val="19"/>
          <w:color w:val="auto"/>
        </w:rPr>
        <w:t>authorized by all necessary corporate, partnership and/or other action on the part of the Borrower and such Responsible Officer shall</w:t>
      </w:r>
    </w:p>
    <w:p>
      <w:pPr>
        <w:ind w:left="660"/>
        <w:spacing w:after="0" w:line="204" w:lineRule="auto"/>
        <w:rPr>
          <w:sz w:val="20"/>
          <w:szCs w:val="20"/>
          <w:color w:val="auto"/>
        </w:rPr>
      </w:pPr>
      <w:r>
        <w:rPr>
          <w:rFonts w:ascii="Times New Roman" w:cs="Times New Roman" w:eastAsia="Times New Roman" w:hAnsi="Times New Roman"/>
          <w:sz w:val="20"/>
          <w:szCs w:val="20"/>
          <w:color w:val="auto"/>
        </w:rPr>
        <w:t>be conclusively presumed to have acted on behalf of the Borrower. To the extent requested by the Administrative Agent, each Responsible Officer will provide an incumbency certificate and to the extent requested by the Administrative Agent, appropriate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authorization documentation, in form and substance satisfactory to the Administrative Agent.</w:t>
      </w:r>
    </w:p>
    <w:p>
      <w:pPr>
        <w:spacing w:after="0" w:line="167"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the Required Lenders, Requisite Lenders, Majority Lenders or any similar or analogous definition in the Agreement, subject to Section 2(g) of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set forth in Section 2(g) of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with respect to Daily Simple SOFR means 0.11448% (11.448 basis points); and with respect to Term SOFR means 0.11448% (11.448 basis points) for an interest period of one-month’s duration, 0.26161% (26.161 basis points) for an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period of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0"/>
          <w:szCs w:val="20"/>
          <w:color w:val="auto"/>
        </w:rPr>
        <w:t>month’s duration, 0.42826% (42.826 basis points) for an interest period of six-months’ duration, and 0.71513% (71.513 basis points) for an interest period of twelve–months’ duration.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means Swing Line Loan, Swingline Loan or any similar or analogous definition in the Agreement.</w:t>
      </w:r>
    </w:p>
    <w:p>
      <w:pPr>
        <w:spacing w:after="0" w:line="189" w:lineRule="exact"/>
        <w:rPr>
          <w:sz w:val="20"/>
          <w:szCs w:val="20"/>
          <w:color w:val="auto"/>
        </w:rPr>
      </w:pPr>
    </w:p>
    <w:p>
      <w:pPr>
        <w:ind w:left="66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 for the applicable corresponding Interest Period of BSBY (or if any Interest Period does not correspond to an interest period applicable to SOFR, the closest corresponding interest period of SOFR, and if such interest period of</w:t>
      </w:r>
    </w:p>
    <w:p>
      <w:pPr>
        <w:ind w:left="660"/>
        <w:spacing w:after="0" w:line="242" w:lineRule="auto"/>
        <w:rPr>
          <w:sz w:val="20"/>
          <w:szCs w:val="20"/>
          <w:color w:val="auto"/>
        </w:rPr>
      </w:pPr>
      <w:r>
        <w:rPr>
          <w:rFonts w:ascii="Times New Roman" w:cs="Times New Roman" w:eastAsia="Times New Roman" w:hAnsi="Times New Roman"/>
          <w:sz w:val="19"/>
          <w:szCs w:val="19"/>
          <w:color w:val="auto"/>
        </w:rPr>
        <w:t>SOFR corresponds equally to two Interest Periods of BSBY, the corresponding interest period of the shorter duration shall be applied) the forward-looking term rate based on SOFR that has been selected or recommended by the Relevant Governmental Body.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or a BSBY Rate Loan.</w:t>
      </w:r>
    </w:p>
    <w:p>
      <w:pPr>
        <w:spacing w:after="0" w:line="189" w:lineRule="exact"/>
        <w:rPr>
          <w:sz w:val="20"/>
          <w:szCs w:val="20"/>
          <w:color w:val="auto"/>
        </w:rPr>
      </w:pPr>
    </w:p>
    <w:p>
      <w:pPr>
        <w:ind w:firstLine="656"/>
        <w:spacing w:after="0"/>
        <w:tabs>
          <w:tab w:leader="none" w:pos="107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Applicable to BSBY Rate Loans</w:t>
      </w:r>
      <w:r>
        <w:rPr>
          <w:rFonts w:ascii="Times New Roman" w:cs="Times New Roman" w:eastAsia="Times New Roman" w:hAnsi="Times New Roman"/>
          <w:sz w:val="20"/>
          <w:szCs w:val="20"/>
          <w:color w:val="auto"/>
        </w:rPr>
        <w:t>. From and after the Amendment Effective Date, the parties hereto agree as follows, solely with respect to BSBY Rate Loans: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77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Impacted Currency</w:t>
      </w:r>
      <w:r>
        <w:rPr>
          <w:rFonts w:ascii="Times New Roman" w:cs="Times New Roman" w:eastAsia="Times New Roman" w:hAnsi="Times New Roman"/>
          <w:sz w:val="20"/>
          <w:szCs w:val="20"/>
          <w:color w:val="auto"/>
        </w:rPr>
        <w:t xml:space="preserve">. (i) Dollars shall not be considered a currency for which there is a published LIBOR rate and (ii) any request for a new Eurodollar Rate Loan denominated in Dollars, or to continue an existing Eurodollar Rate Loan denominated in Dollars, shall be deemed to be a request for a new Loan bearing interest at the BSBY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to the extent any Loan bearing interest at the Eurodollar Rate is outstanding on the Amendment Effective Date, such Loan shall continue to bear interest at the Eurodollar Rate until the end of the current Interest Period or payment period applicable to such Loan.</w:t>
      </w:r>
    </w:p>
    <w:p>
      <w:pPr>
        <w:spacing w:after="0" w:line="160"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 to Eurodollar Rate and Eurodollar Rate Loans in the Agreement and Loan Documents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475"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Eurodollar Rate and Eurodollar Rate Loans in provisions of the Agreement and the other Loan Documents that are not specifically addressed herein (other than the definitions of Eurodollar Rate and Eurodollar Rate Loan) shall be deemed to include the BSBY Rate and BSBY Rate Loans, as applicable. In addition, references to the Eurodollar Rate in the definition of Base Rate in the Agreement shall be deemed to refer to the BSBY Rate.</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619"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requirement for the Borrower to compensate Lenders for losses in the Agreement resulting from any continuation, conversion, payment or prepayment of any Loan on a day other than the last day of any Interest Period (as defined in the Agreement) (the “</w:t>
      </w:r>
      <w:r>
        <w:rPr>
          <w:rFonts w:ascii="Times New Roman" w:cs="Times New Roman" w:eastAsia="Times New Roman" w:hAnsi="Times New Roman"/>
          <w:sz w:val="20"/>
          <w:szCs w:val="20"/>
          <w:u w:val="single" w:color="auto"/>
          <w:color w:val="auto"/>
        </w:rPr>
        <w:t>Breakage Provisions</w:t>
      </w:r>
      <w:r>
        <w:rPr>
          <w:rFonts w:ascii="Times New Roman" w:cs="Times New Roman" w:eastAsia="Times New Roman" w:hAnsi="Times New Roman"/>
          <w:sz w:val="20"/>
          <w:szCs w:val="20"/>
          <w:color w:val="auto"/>
        </w:rPr>
        <w:t>”), references to the Interest Period (as defined in the Agreement) shall be deemed to include any relevant interest payment date or payment period for a BSBY Rate Loan.</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88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Rates</w:t>
      </w:r>
      <w:r>
        <w:rPr>
          <w:rFonts w:ascii="Times New Roman" w:cs="Times New Roman" w:eastAsia="Times New Roman" w:hAnsi="Times New Roman"/>
          <w:sz w:val="20"/>
          <w:szCs w:val="20"/>
          <w:color w:val="auto"/>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9"/>
          <w:szCs w:val="19"/>
          <w:color w:val="auto"/>
        </w:rPr>
        <w:t>its reasonable discretion to ascertain any reference rate referred to herein or any alternative, successor or replacement rate (including,</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without limitation, any Successor Rate)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or any component of any of the foregoing), in each case pursuant to the terms of this Amendment, and shall have no liability to the Borrower, any Lender or any other person or entity for damages of any kind, including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direct or indirect, special, punitive, incidental or consequential damages, costs, losses or expenses (whether in tort, contract or</w:t>
      </w:r>
    </w:p>
    <w:p>
      <w:pPr>
        <w:ind w:left="660"/>
        <w:spacing w:after="0" w:line="221" w:lineRule="auto"/>
        <w:rPr>
          <w:sz w:val="20"/>
          <w:szCs w:val="20"/>
          <w:color w:val="auto"/>
        </w:rPr>
      </w:pPr>
      <w:r>
        <w:rPr>
          <w:rFonts w:ascii="Times New Roman" w:cs="Times New Roman" w:eastAsia="Times New Roman" w:hAnsi="Times New Roman"/>
          <w:sz w:val="20"/>
          <w:szCs w:val="20"/>
          <w:color w:val="auto"/>
        </w:rPr>
        <w:t>otherwise and whether at law or in equity), for any error or other action or omission related to or affecting the selection, determination, or calculation of any rate (or component thereof) provided by any such information source or service.</w:t>
      </w:r>
    </w:p>
    <w:p>
      <w:pPr>
        <w:spacing w:after="0" w:line="162" w:lineRule="exact"/>
        <w:rPr>
          <w:sz w:val="20"/>
          <w:szCs w:val="20"/>
          <w:color w:val="auto"/>
        </w:rPr>
      </w:pPr>
    </w:p>
    <w:p>
      <w:pPr>
        <w:ind w:left="660" w:firstLine="644"/>
        <w:spacing w:after="0"/>
        <w:tabs>
          <w:tab w:leader="none" w:pos="175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Conversions, Continuations and Prepayments of BSBY Rate Loans</w:t>
      </w:r>
      <w:r>
        <w:rPr>
          <w:rFonts w:ascii="Times New Roman" w:cs="Times New Roman" w:eastAsia="Times New Roman" w:hAnsi="Times New Roman"/>
          <w:sz w:val="20"/>
          <w:szCs w:val="20"/>
          <w:color w:val="auto"/>
        </w:rPr>
        <w:t>. In addition to any other borrowing or prepayment requirements set forth in the Agreement or any other Loan Document:</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09" w:lineRule="auto"/>
        <w:tabs>
          <w:tab w:leader="none" w:pos="233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BSBY Rate Loans</w:t>
      </w:r>
      <w:r>
        <w:rPr>
          <w:rFonts w:ascii="Times New Roman" w:cs="Times New Roman" w:eastAsia="Times New Roman" w:hAnsi="Times New Roman"/>
          <w:sz w:val="20"/>
          <w:szCs w:val="20"/>
          <w:color w:val="auto"/>
        </w:rPr>
        <w:t xml:space="preserve">. Each Borrowing, each conversion of Loans (other than Swing Line Loans) from one Type to the other, and each continuation of BSBY Rate Loans shall be made upon the Borrower’s irrevocable notice to the Administrative Agent, which may be given by (A) telephone or (B) a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two Business Days prior to the requested date of any Borrowing of, conversion to or continuation of BSBY Rate Loans or of any conversion of BSBY Rate Loans to Base Rate Loans. Each Borrowing of, conversion to or continuation of BSBY Rate Loans shall be in the minimum amounts set forth in the Agreement for Loans denominated in Dollars and bearing interest at the Eurodollar Rate. Each Committed Loan Notice shall specify (i) whether the Borrower is requesting a Borrowing, a conversion of Loans from one Type to the other, or a continuation of BSBY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BSBY Rate Loans. If the Borrower requests a Borrowing of, conversion to, or continuation of BSBY Rate Loans in any such Committed Loan Notice, but fails to specify an Interest Period, it will be deemed to have specified an Interest Period of one month.</w:t>
      </w:r>
    </w:p>
    <w:p>
      <w:pPr>
        <w:spacing w:after="0" w:line="177"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38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With respect to BSBY, the Administrative Agent will have the right to make Conforming Changes from time to time and, notwithstanding anything to the contrary herein, in the Agreement or in any other Loan Document, any amendments implementing such Conforming Changes will become effective without any further action or consent of any other party to this Amendment, the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89" w:lineRule="exact"/>
        <w:rPr>
          <w:rFonts w:ascii="Times New Roman" w:cs="Times New Roman" w:eastAsia="Times New Roman" w:hAnsi="Times New Roman"/>
          <w:sz w:val="20"/>
          <w:szCs w:val="20"/>
          <w:color w:val="auto"/>
        </w:rPr>
      </w:pPr>
    </w:p>
    <w:p>
      <w:pPr>
        <w:ind w:left="1300" w:right="20" w:firstLine="652"/>
        <w:spacing w:after="0" w:line="233" w:lineRule="auto"/>
        <w:tabs>
          <w:tab w:leader="none" w:pos="251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For purposes of a Borrowing of BSBY Rate Loans, or a continuation of a BSBY Rate Loan, the Borrower shall use the Committed Loan Notice attached hereto as Exhibit A.</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49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BSBY Rate Loans</w:t>
      </w:r>
      <w:r>
        <w:rPr>
          <w:rFonts w:ascii="Times New Roman" w:cs="Times New Roman" w:eastAsia="Times New Roman" w:hAnsi="Times New Roman"/>
          <w:sz w:val="20"/>
          <w:szCs w:val="20"/>
          <w:color w:val="auto"/>
        </w:rPr>
        <w:t>. The Borrower may, upon notice to the Administrative Agent pursuant to delivery to the Administrative Agent of a Notice of Loan Prepayment, at any time or from time to time voluntarily prepay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20"/>
          <w:szCs w:val="20"/>
          <w:color w:val="auto"/>
        </w:rPr>
        <w:t>BSBY Rate Loans in whole or in part without premium or penalty (except as otherwise specified in the Agreement);</w:t>
      </w:r>
    </w:p>
    <w:p>
      <w:pPr>
        <w:ind w:left="1300"/>
        <w:spacing w:after="0" w:line="22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must be received by the Administrative Agent not later than 11:00 a.m. (Eastern time) two Business Days prior to any date of prepayment of BSBY Rate Loans.</w:t>
      </w:r>
    </w:p>
    <w:p>
      <w:pPr>
        <w:spacing w:after="0" w:line="162" w:lineRule="exact"/>
        <w:rPr>
          <w:sz w:val="20"/>
          <w:szCs w:val="20"/>
          <w:color w:val="auto"/>
        </w:rPr>
      </w:pPr>
    </w:p>
    <w:p>
      <w:pPr>
        <w:ind w:left="1720" w:hanging="416"/>
        <w:spacing w:after="0"/>
        <w:tabs>
          <w:tab w:leader="none" w:pos="1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227"/>
        <w:spacing w:after="0" w:line="226" w:lineRule="auto"/>
        <w:tabs>
          <w:tab w:leader="none" w:pos="193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the Agreement with respect to default interest, each BSBY Rate Loan shall bear interest on the outstanding principal amount thereof from the applicable borrowing date at a rate per annum equal to the sum of the BSBY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60" w:lineRule="exact"/>
        <w:rPr>
          <w:rFonts w:ascii="Times New Roman" w:cs="Times New Roman" w:eastAsia="Times New Roman" w:hAnsi="Times New Roman"/>
          <w:sz w:val="20"/>
          <w:szCs w:val="20"/>
          <w:color w:val="auto"/>
        </w:rPr>
      </w:pPr>
    </w:p>
    <w:p>
      <w:pPr>
        <w:jc w:val="both"/>
        <w:ind w:left="1300" w:firstLine="277"/>
        <w:spacing w:after="0" w:line="217" w:lineRule="auto"/>
        <w:tabs>
          <w:tab w:leader="none" w:pos="2087"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each BSBY Rate Loan shall be due and payable in arrears on each Interest Payment Date applicable thereto and at such other times as may be specified in the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prepayment of any BSBY Rate Loan shall be accompanied by all accrued interest on the amount prepaid, together with any additional amounts required pursuant to the Breakage Provisions. Interest hereunder shall be due and payable in accordance with the terms hereof before and after judgment, and before and after the commencement of any proceeding under any debtor relief law.</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79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Computations</w:t>
      </w:r>
      <w:r>
        <w:rPr>
          <w:rFonts w:ascii="Times New Roman" w:cs="Times New Roman" w:eastAsia="Times New Roman" w:hAnsi="Times New Roman"/>
          <w:sz w:val="20"/>
          <w:szCs w:val="20"/>
          <w:color w:val="auto"/>
        </w:rPr>
        <w:t xml:space="preserve">. All computations of interest for Base Rate Loans (including Base Rate Loans determined by reference to the BSBY Rate) shall be made on the basis of a year of 365 or 366 days, as the case may be, and actual days elapsed. All other computations of fees and interest with respect to BSBY Rate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the provisions in the Agreement addressing payments generally, bear interest for one day. Each determination by the Administrative Agent of an interest rate or fee hereunder shall be conclusive and binding for all purposes, absent manifest error.</w:t>
      </w:r>
    </w:p>
    <w:p>
      <w:pPr>
        <w:spacing w:after="0" w:line="16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Rates; Successor Rates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506"/>
        <w:spacing w:after="0" w:line="226" w:lineRule="auto"/>
        <w:tabs>
          <w:tab w:leader="none" w:pos="2265" w:val="left"/>
        </w:tabs>
        <w:numPr>
          <w:ilvl w:val="3"/>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2(g)</w:t>
      </w:r>
      <w:r>
        <w:rPr>
          <w:rFonts w:ascii="Times New Roman" w:cs="Times New Roman" w:eastAsia="Times New Roman" w:hAnsi="Times New Roman"/>
          <w:sz w:val="20"/>
          <w:szCs w:val="20"/>
          <w:color w:val="auto"/>
        </w:rPr>
        <w:t>, those Lenders that either have not made, or do not have an obligation under the Agreement to make, the relevant Loans in Dollars shall be excluded from any determination of Required Lenders.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0" w:lineRule="auto"/>
        <w:tabs>
          <w:tab w:leader="none" w:pos="2455" w:val="left"/>
        </w:tabs>
        <w:numPr>
          <w:ilvl w:val="4"/>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w:t>
      </w:r>
      <w:r>
        <w:rPr>
          <w:rFonts w:ascii="Times New Roman" w:cs="Times New Roman" w:eastAsia="Times New Roman" w:hAnsi="Times New Roman"/>
          <w:sz w:val="20"/>
          <w:szCs w:val="20"/>
          <w:color w:val="auto"/>
        </w:rPr>
        <w:t xml:space="preserve">. If in connection with any request for a BSBY Rate Loan or a conversion to or continuation thereof, as applicable, (A) the Administrative Agent determines (which determination shall be conclusive absent manifest error) that (x) no Successor Rate has been determined in accordance with </w:t>
      </w:r>
      <w:r>
        <w:rPr>
          <w:rFonts w:ascii="Times New Roman" w:cs="Times New Roman" w:eastAsia="Times New Roman" w:hAnsi="Times New Roman"/>
          <w:sz w:val="20"/>
          <w:szCs w:val="20"/>
          <w:u w:val="single" w:color="auto"/>
          <w:color w:val="auto"/>
        </w:rPr>
        <w:t>Section 2(g)(iii)</w:t>
      </w:r>
      <w:r>
        <w:rPr>
          <w:rFonts w:ascii="Times New Roman" w:cs="Times New Roman" w:eastAsia="Times New Roman" w:hAnsi="Times New Roman"/>
          <w:sz w:val="20"/>
          <w:szCs w:val="20"/>
          <w:color w:val="auto"/>
        </w:rPr>
        <w:t xml:space="preserve"> and the circumstances under clause (x) of </w:t>
      </w:r>
      <w:r>
        <w:rPr>
          <w:rFonts w:ascii="Times New Roman" w:cs="Times New Roman" w:eastAsia="Times New Roman" w:hAnsi="Times New Roman"/>
          <w:sz w:val="20"/>
          <w:szCs w:val="20"/>
          <w:u w:val="single" w:color="auto"/>
          <w:color w:val="auto"/>
        </w:rPr>
        <w:t>Section 2(g)(iii)</w:t>
      </w:r>
      <w:r>
        <w:rPr>
          <w:rFonts w:ascii="Times New Roman" w:cs="Times New Roman" w:eastAsia="Times New Roman" w:hAnsi="Times New Roman"/>
          <w:sz w:val="20"/>
          <w:szCs w:val="20"/>
          <w:color w:val="auto"/>
        </w:rPr>
        <w:t xml:space="preserve"> or the Scheduled Unavailability Date has occurred (as applicable) or (y) adequate and reasonable means do not otherwise exist for determining BSBY for any requested Interest Period with respect to a proposed BSBY Rate Loan or in connection with an existing or proposed Base Rate Loan or (B) the Administrative Agent or the Required Lenders determine that for any reason that the BSBY Rate for any requested Interest Period with respect to a proposed BSBY Rate Loan does not adequately and fairly reflect the cost to such Lenders of funding such BSBY Rate Loan, the Administrative Agent will promptly so notify the Borrower and each Lender. Thereafter, (1) the obligation of the Lenders to make or maintain BSBY Rate Loans or to convert Base Rate Loans to BSBY Rate Loans, shall be suspended (to the extent of the affected BSBY Rate Loans or Interest Periods), and (2) in the event of a determination described in the preceding sentence with respect to the BSBY component of the Base Rate, the utilization of the BSBY Rate component in determining the Base Rate shall be suspended, in each case until the Administrative Agent (or, in the case of a determination by the Required Lenders described in clause (B) of this Section, until the Administrative Agent upon instruction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20"/>
          <w:szCs w:val="20"/>
          <w:color w:val="auto"/>
        </w:rPr>
        <w:t>revokes such notice. Upon receipt of such notice, (1) the Borrower may revoke any pending request for a Borrowing of, or</w:t>
      </w:r>
    </w:p>
    <w:p>
      <w:pPr>
        <w:ind w:left="1300"/>
        <w:spacing w:after="0" w:line="204" w:lineRule="auto"/>
        <w:rPr>
          <w:sz w:val="20"/>
          <w:szCs w:val="20"/>
          <w:color w:val="auto"/>
        </w:rPr>
      </w:pPr>
      <w:r>
        <w:rPr>
          <w:rFonts w:ascii="Times New Roman" w:cs="Times New Roman" w:eastAsia="Times New Roman" w:hAnsi="Times New Roman"/>
          <w:sz w:val="20"/>
          <w:szCs w:val="20"/>
          <w:color w:val="auto"/>
        </w:rPr>
        <w:t>conversion to, or continuation of BSBY Rate Loans (to the extent of the affected BSBY Rate Loans or Interest Periods) or, failing that, will be deemed to have converted such request into a request for a Borrowing of Base Rate Loans in the amount</w:t>
      </w:r>
    </w:p>
    <w:p>
      <w:pPr>
        <w:spacing w:after="0" w:line="1" w:lineRule="exact"/>
        <w:rPr>
          <w:sz w:val="20"/>
          <w:szCs w:val="20"/>
          <w:color w:val="auto"/>
        </w:rPr>
      </w:pPr>
    </w:p>
    <w:p>
      <w:pPr>
        <w:ind w:left="1300"/>
        <w:spacing w:after="0" w:line="228" w:lineRule="auto"/>
        <w:rPr>
          <w:sz w:val="20"/>
          <w:szCs w:val="20"/>
          <w:color w:val="auto"/>
        </w:rPr>
      </w:pPr>
      <w:r>
        <w:rPr>
          <w:rFonts w:ascii="Times New Roman" w:cs="Times New Roman" w:eastAsia="Times New Roman" w:hAnsi="Times New Roman"/>
          <w:sz w:val="20"/>
          <w:szCs w:val="20"/>
          <w:color w:val="auto"/>
        </w:rPr>
        <w:t>specified therein and (2) any outstanding BSBY Rate Loans shall be deemed to have been converted to Base Rate Loans at the end of their respective applicable Interest Period.</w:t>
      </w:r>
    </w:p>
    <w:p>
      <w:pPr>
        <w:spacing w:after="0" w:line="149" w:lineRule="exact"/>
        <w:rPr>
          <w:sz w:val="20"/>
          <w:szCs w:val="20"/>
          <w:color w:val="auto"/>
        </w:rPr>
      </w:pPr>
    </w:p>
    <w:p>
      <w:pPr>
        <w:jc w:val="both"/>
        <w:ind w:left="1300" w:firstLine="652"/>
        <w:spacing w:after="0" w:line="222" w:lineRule="auto"/>
        <w:tabs>
          <w:tab w:leader="none" w:pos="251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Rates</w:t>
      </w:r>
      <w:r>
        <w:rPr>
          <w:rFonts w:ascii="Times New Roman" w:cs="Times New Roman" w:eastAsia="Times New Roman" w:hAnsi="Times New Roman"/>
          <w:sz w:val="20"/>
          <w:szCs w:val="20"/>
          <w:color w:val="auto"/>
        </w:rPr>
        <w:t>. Notwithstanding anything to the contrary in this Amendment, the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61" w:lineRule="exact"/>
        <w:rPr>
          <w:rFonts w:ascii="Times New Roman" w:cs="Times New Roman" w:eastAsia="Times New Roman" w:hAnsi="Times New Roman"/>
          <w:sz w:val="20"/>
          <w:szCs w:val="20"/>
          <w:color w:val="auto"/>
        </w:rPr>
      </w:pPr>
    </w:p>
    <w:p>
      <w:pPr>
        <w:jc w:val="both"/>
        <w:ind w:left="1960" w:hanging="83"/>
        <w:spacing w:after="0" w:line="226" w:lineRule="auto"/>
        <w:tabs>
          <w:tab w:leader="none" w:pos="240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BSBY, including, without limitation, because the BSBY Screen Rate is not available or published on a current basis and such circumstances are unlikely to be temporary; or</w:t>
      </w:r>
    </w:p>
    <w:p>
      <w:pPr>
        <w:spacing w:after="0" w:line="160" w:lineRule="exact"/>
        <w:rPr>
          <w:rFonts w:ascii="Times New Roman" w:cs="Times New Roman" w:eastAsia="Times New Roman" w:hAnsi="Times New Roman"/>
          <w:sz w:val="20"/>
          <w:szCs w:val="20"/>
          <w:color w:val="auto"/>
        </w:rPr>
      </w:pPr>
    </w:p>
    <w:p>
      <w:pPr>
        <w:jc w:val="both"/>
        <w:ind w:left="1960" w:firstLine="1"/>
        <w:spacing w:after="0" w:line="213" w:lineRule="auto"/>
        <w:tabs>
          <w:tab w:leader="none" w:pos="2529"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Bloomberg or any successor administrator of the BSBY Screen Rate or a governmental authority having jurisdiction over the Administrative Agent or Bloomberg or such administrator with respect to its publication of BSBY, in each case, acting in such capacity, has made a public statement identifying a specific date after which the one month, three month and six month interest periods of BSBY or the BSBY Screen Rate shall or will no longer be made available, or permitted to be used for determining the interest rate of Dollar denominated syndicated loans,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the time of such statement, there is no successor administrator that is satisfactory to the Administrative Agent, that will continue to provide such interest periods of BSBY after such specific date (the latest date on which the one month, three month and six month interest periods of BSBY or the BSBY Screen Rate are no longer available permanently or indefinitely,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BSBY 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w:t>
      </w:r>
    </w:p>
    <w:p>
      <w:pPr>
        <w:ind w:left="1300"/>
        <w:spacing w:after="0" w:line="212" w:lineRule="auto"/>
        <w:rPr>
          <w:sz w:val="20"/>
          <w:szCs w:val="20"/>
          <w:color w:val="auto"/>
        </w:rPr>
      </w:pPr>
      <w:r>
        <w:rPr>
          <w:rFonts w:ascii="Times New Roman" w:cs="Times New Roman" w:eastAsia="Times New Roman" w:hAnsi="Times New Roman"/>
          <w:sz w:val="20"/>
          <w:szCs w:val="20"/>
          <w:color w:val="auto"/>
        </w:rPr>
        <w:t>and, solely with respect to clause (y) above, no later than the Scheduled Unavailability Date, BSBY will be replaced</w:t>
      </w:r>
    </w:p>
    <w:p>
      <w:pPr>
        <w:spacing w:after="0" w:line="1" w:lineRule="exact"/>
        <w:rPr>
          <w:sz w:val="20"/>
          <w:szCs w:val="20"/>
          <w:color w:val="auto"/>
        </w:rPr>
      </w:pPr>
    </w:p>
    <w:p>
      <w:pPr>
        <w:jc w:val="both"/>
        <w:ind w:left="1300"/>
        <w:spacing w:after="0" w:line="215" w:lineRule="auto"/>
        <w:rPr>
          <w:sz w:val="20"/>
          <w:szCs w:val="20"/>
          <w:color w:val="auto"/>
        </w:rPr>
      </w:pPr>
      <w:r>
        <w:rPr>
          <w:rFonts w:ascii="Times New Roman" w:cs="Times New Roman" w:eastAsia="Times New Roman" w:hAnsi="Times New Roman"/>
          <w:sz w:val="19"/>
          <w:szCs w:val="19"/>
          <w:color w:val="auto"/>
        </w:rPr>
        <w:t>hereunder and under any Loan Document with, subject to the proviso below, the first available alternative set forth in the order below for any payment period for interest calculated that can be determined by the Administrative Agent, in each case,</w:t>
      </w:r>
    </w:p>
    <w:p>
      <w:pPr>
        <w:ind w:left="1300"/>
        <w:spacing w:after="0" w:line="228" w:lineRule="auto"/>
        <w:rPr>
          <w:sz w:val="20"/>
          <w:szCs w:val="20"/>
          <w:color w:val="auto"/>
        </w:rPr>
      </w:pPr>
      <w:r>
        <w:rPr>
          <w:rFonts w:ascii="Times New Roman" w:cs="Times New Roman" w:eastAsia="Times New Roman" w:hAnsi="Times New Roman"/>
          <w:sz w:val="20"/>
          <w:szCs w:val="20"/>
          <w:color w:val="auto"/>
        </w:rPr>
        <w:t>without any amendment to, or further action or consent of any other party to, this Amendment or any other Loan Document (the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3020" w:hanging="420"/>
        <w:spacing w:after="0"/>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and</w:t>
      </w:r>
    </w:p>
    <w:p>
      <w:pPr>
        <w:spacing w:after="0" w:line="188"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w:t>
      </w:r>
    </w:p>
    <w:p>
      <w:pPr>
        <w:spacing w:after="0" w:line="189" w:lineRule="exact"/>
        <w:rPr>
          <w:sz w:val="20"/>
          <w:szCs w:val="20"/>
          <w:color w:val="auto"/>
        </w:rPr>
      </w:pPr>
    </w:p>
    <w:p>
      <w:pPr>
        <w:ind w:left="1960"/>
        <w:spacing w:after="0" w:line="229" w:lineRule="auto"/>
        <w:rPr>
          <w:sz w:val="20"/>
          <w:szCs w:val="20"/>
          <w:color w:val="auto"/>
        </w:rPr>
      </w:pP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if initially BSBY is replaced with the rate contained in clause (2) above (Daily Simple SOFR plus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SOFR Adjustment) and subsequent to such replacement, the Administrative Agent determines that Term SOFR has</w:t>
      </w:r>
    </w:p>
    <w:p>
      <w:pPr>
        <w:ind w:left="1960"/>
        <w:spacing w:after="0" w:line="211" w:lineRule="auto"/>
        <w:rPr>
          <w:sz w:val="20"/>
          <w:szCs w:val="20"/>
          <w:color w:val="auto"/>
        </w:rPr>
      </w:pPr>
      <w:r>
        <w:rPr>
          <w:rFonts w:ascii="Times New Roman" w:cs="Times New Roman" w:eastAsia="Times New Roman" w:hAnsi="Times New Roman"/>
          <w:sz w:val="20"/>
          <w:szCs w:val="20"/>
          <w:color w:val="auto"/>
        </w:rPr>
        <w:t>become available and is administratively feasible for the Administrative Agent in its sole discretion, and the</w:t>
      </w:r>
    </w:p>
    <w:p>
      <w:pPr>
        <w:spacing w:after="0" w:line="1" w:lineRule="exact"/>
        <w:rPr>
          <w:sz w:val="20"/>
          <w:szCs w:val="20"/>
          <w:color w:val="auto"/>
        </w:rPr>
      </w:pPr>
    </w:p>
    <w:p>
      <w:pPr>
        <w:jc w:val="both"/>
        <w:ind w:left="1960"/>
        <w:spacing w:after="0" w:line="204" w:lineRule="auto"/>
        <w:rPr>
          <w:sz w:val="20"/>
          <w:szCs w:val="20"/>
          <w:color w:val="auto"/>
        </w:rPr>
      </w:pPr>
      <w:r>
        <w:rPr>
          <w:rFonts w:ascii="Times New Roman" w:cs="Times New Roman" w:eastAsia="Times New Roman" w:hAnsi="Times New Roman"/>
          <w:sz w:val="20"/>
          <w:szCs w:val="20"/>
          <w:color w:val="auto"/>
        </w:rPr>
        <w:t>Administrative Agent notifies the Borrower and each Lender of such availability, then from and after the beginning of the Interest Period, relevant interest payment date or payment period for interest calculated, in each case,</w:t>
      </w:r>
    </w:p>
    <w:p>
      <w:pPr>
        <w:spacing w:after="0" w:line="1" w:lineRule="exact"/>
        <w:rPr>
          <w:sz w:val="20"/>
          <w:szCs w:val="20"/>
          <w:color w:val="auto"/>
        </w:rPr>
      </w:pPr>
    </w:p>
    <w:p>
      <w:pPr>
        <w:ind w:left="1960" w:right="20"/>
        <w:spacing w:after="0" w:line="228" w:lineRule="auto"/>
        <w:rPr>
          <w:sz w:val="20"/>
          <w:szCs w:val="20"/>
          <w:color w:val="auto"/>
        </w:rPr>
      </w:pPr>
      <w:r>
        <w:rPr>
          <w:rFonts w:ascii="Times New Roman" w:cs="Times New Roman" w:eastAsia="Times New Roman" w:hAnsi="Times New Roman"/>
          <w:sz w:val="20"/>
          <w:szCs w:val="20"/>
          <w:color w:val="auto"/>
        </w:rPr>
        <w:t xml:space="preserve">commencing no less than thirty (30) days after the date of such notice, such Successor Rate shall be 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4" w:right="339" w:bottom="1440" w:gutter="0" w:footer="0" w:header="0"/>
        </w:sectPr>
      </w:pPr>
    </w:p>
    <w:bookmarkStart w:id="40" w:name="page41"/>
    <w:bookmarkEnd w:id="40"/>
    <w:p>
      <w:pPr>
        <w:ind w:left="1300" w:firstLine="648"/>
        <w:spacing w:after="0"/>
        <w:rPr>
          <w:sz w:val="20"/>
          <w:szCs w:val="20"/>
          <w:color w:val="auto"/>
        </w:rPr>
      </w:pPr>
      <w:r>
        <w:rPr>
          <w:rFonts w:ascii="Times New Roman" w:cs="Times New Roman" w:eastAsia="Times New Roman" w:hAnsi="Times New Roman"/>
          <w:sz w:val="20"/>
          <w:szCs w:val="20"/>
          <w:color w:val="auto"/>
        </w:rPr>
        <w:t>If the Successor Rate is Daily Simple SOFR plus the SOFR Adjustment, all interest payments will be payable on a monthly basis.</w:t>
      </w:r>
    </w:p>
    <w:p>
      <w:pPr>
        <w:spacing w:after="0" w:line="148" w:lineRule="exact"/>
        <w:rPr>
          <w:sz w:val="20"/>
          <w:szCs w:val="20"/>
          <w:color w:val="auto"/>
        </w:rPr>
      </w:pPr>
    </w:p>
    <w:p>
      <w:pPr>
        <w:ind w:left="1300" w:firstLine="648"/>
        <w:spacing w:after="0" w:line="222" w:lineRule="auto"/>
        <w:rPr>
          <w:sz w:val="20"/>
          <w:szCs w:val="20"/>
          <w:color w:val="auto"/>
        </w:rPr>
      </w:pPr>
      <w:r>
        <w:rPr>
          <w:rFonts w:ascii="Times New Roman" w:cs="Times New Roman" w:eastAsia="Times New Roman" w:hAnsi="Times New Roman"/>
          <w:sz w:val="20"/>
          <w:szCs w:val="20"/>
          <w:color w:val="auto"/>
        </w:rPr>
        <w:t>Notwithstanding anything to the contrary herein or in the Agreement, (i) if the Administrative Agent determines that neither of the alternatives set forth in clauses (1) and (2) above for Term SOFR or Daily Simple SOFR, as applicable, is</w:t>
      </w:r>
    </w:p>
    <w:p>
      <w:pPr>
        <w:spacing w:after="0" w:line="2"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available on or prior to the BSBY Replacement Date or (ii) if the events or circumstances of the type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2(g)(iii)(x)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2(g)(iii)(y)</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have occurred with respect to the Successor Rate then in effect, then in each</w:t>
      </w:r>
    </w:p>
    <w:p>
      <w:pPr>
        <w:ind w:left="1300"/>
        <w:spacing w:after="0" w:line="211" w:lineRule="auto"/>
        <w:rPr>
          <w:sz w:val="20"/>
          <w:szCs w:val="20"/>
          <w:color w:val="auto"/>
        </w:rPr>
      </w:pPr>
      <w:r>
        <w:rPr>
          <w:rFonts w:ascii="Times New Roman" w:cs="Times New Roman" w:eastAsia="Times New Roman" w:hAnsi="Times New Roman"/>
          <w:sz w:val="20"/>
          <w:szCs w:val="20"/>
          <w:color w:val="auto"/>
        </w:rPr>
        <w:t>case, the Administrative Agent and the Borrower may amend this Amendment and the other Loan Documents solely for the</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purpose of replacing BSBY or any then current Successor Rate in accordance with this </w:t>
      </w:r>
      <w:r>
        <w:rPr>
          <w:rFonts w:ascii="Times New Roman" w:cs="Times New Roman" w:eastAsia="Times New Roman" w:hAnsi="Times New Roman"/>
          <w:sz w:val="19"/>
          <w:szCs w:val="19"/>
          <w:u w:val="single" w:color="auto"/>
          <w:color w:val="auto"/>
        </w:rPr>
        <w:t>Section 2(g)(iii)</w:t>
      </w:r>
      <w:r>
        <w:rPr>
          <w:rFonts w:ascii="Times New Roman" w:cs="Times New Roman" w:eastAsia="Times New Roman" w:hAnsi="Times New Roman"/>
          <w:sz w:val="19"/>
          <w:szCs w:val="19"/>
          <w:color w:val="auto"/>
        </w:rPr>
        <w:t xml:space="preserve"> at the end of any Interest Period, relevant interest payment date or payment period for interest calculated, as applicable, with another alternate</w:t>
      </w:r>
    </w:p>
    <w:p>
      <w:pPr>
        <w:ind w:left="1300"/>
        <w:spacing w:after="0" w:line="211" w:lineRule="auto"/>
        <w:rPr>
          <w:sz w:val="20"/>
          <w:szCs w:val="20"/>
          <w:color w:val="auto"/>
        </w:rPr>
      </w:pPr>
      <w:r>
        <w:rPr>
          <w:rFonts w:ascii="Times New Roman" w:cs="Times New Roman" w:eastAsia="Times New Roman" w:hAnsi="Times New Roman"/>
          <w:sz w:val="20"/>
          <w:szCs w:val="20"/>
          <w:color w:val="auto"/>
        </w:rPr>
        <w:t>benchmark rate giving due consideration to any evolving or then existing convention for similar Dollar denominated credit</w:t>
      </w:r>
    </w:p>
    <w:p>
      <w:pPr>
        <w:ind w:left="1300"/>
        <w:spacing w:after="0" w:line="204" w:lineRule="auto"/>
        <w:rPr>
          <w:sz w:val="20"/>
          <w:szCs w:val="20"/>
          <w:color w:val="auto"/>
        </w:rPr>
      </w:pPr>
      <w:r>
        <w:rPr>
          <w:rFonts w:ascii="Times New Roman" w:cs="Times New Roman" w:eastAsia="Times New Roman" w:hAnsi="Times New Roman"/>
          <w:sz w:val="20"/>
          <w:szCs w:val="20"/>
          <w:color w:val="auto"/>
        </w:rPr>
        <w:t>facilities syndicated and agented in the United States for such alternative benchmarks and, in each case, including any mathematical or other adjustments to such benchmark giving due consideration to any evolving or then existing convention</w:t>
      </w:r>
    </w:p>
    <w:p>
      <w:pPr>
        <w:ind w:left="1300"/>
        <w:spacing w:after="0" w:line="211" w:lineRule="auto"/>
        <w:rPr>
          <w:sz w:val="20"/>
          <w:szCs w:val="20"/>
          <w:color w:val="auto"/>
        </w:rPr>
      </w:pPr>
      <w:r>
        <w:rPr>
          <w:rFonts w:ascii="Times New Roman" w:cs="Times New Roman" w:eastAsia="Times New Roman" w:hAnsi="Times New Roman"/>
          <w:sz w:val="20"/>
          <w:szCs w:val="20"/>
          <w:color w:val="auto"/>
        </w:rPr>
        <w:t>for similar Dollar denominated credit facilities syndicated and agented in the United States for such benchmarks, which</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adjustment or method for calculating such adjustment shall be published on an information service as selected by the Administrative Agent from time to time in its reasonable discretion and may be periodically updated. For the avoidance of</w:t>
      </w:r>
    </w:p>
    <w:p>
      <w:pPr>
        <w:ind w:left="1300"/>
        <w:spacing w:after="0" w:line="211" w:lineRule="auto"/>
        <w:rPr>
          <w:sz w:val="20"/>
          <w:szCs w:val="20"/>
          <w:color w:val="auto"/>
        </w:rPr>
      </w:pPr>
      <w:r>
        <w:rPr>
          <w:rFonts w:ascii="Times New Roman" w:cs="Times New Roman" w:eastAsia="Times New Roman" w:hAnsi="Times New Roman"/>
          <w:sz w:val="20"/>
          <w:szCs w:val="20"/>
          <w:color w:val="auto"/>
        </w:rPr>
        <w:t>doubt, any such proposed rate and adjustments shall constitute a Successor Rate. Any such amendment shall become</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effective at 5:00 p.m. on the fifth Business Day after the Administrative Agent shall have posted such proposed amendment to all Lenders and the Borrower unless, prior to such time, Lenders comprising the Required Lenders have delivered to the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Administrative Agent written notice that such Required Lenders object to such amendment.</w:t>
      </w:r>
    </w:p>
    <w:p>
      <w:pPr>
        <w:spacing w:after="0" w:line="153" w:lineRule="exact"/>
        <w:rPr>
          <w:sz w:val="20"/>
          <w:szCs w:val="20"/>
          <w:color w:val="auto"/>
        </w:rPr>
      </w:pPr>
    </w:p>
    <w:p>
      <w:pPr>
        <w:ind w:left="1300" w:right="20" w:firstLine="648"/>
        <w:spacing w:after="0"/>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61" w:lineRule="exact"/>
        <w:rPr>
          <w:sz w:val="20"/>
          <w:szCs w:val="20"/>
          <w:color w:val="auto"/>
        </w:rPr>
      </w:pPr>
    </w:p>
    <w:p>
      <w:pPr>
        <w:ind w:left="1300" w:firstLine="648"/>
        <w:spacing w:after="0" w:line="215"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manner as otherwise reasonably determined by the Administrative Agent.</w:t>
      </w:r>
    </w:p>
    <w:p>
      <w:pPr>
        <w:spacing w:after="0" w:line="167" w:lineRule="exact"/>
        <w:rPr>
          <w:sz w:val="20"/>
          <w:szCs w:val="20"/>
          <w:color w:val="auto"/>
        </w:rPr>
      </w:pPr>
    </w:p>
    <w:p>
      <w:pPr>
        <w:ind w:left="1300" w:firstLine="648"/>
        <w:spacing w:after="0" w:line="227" w:lineRule="auto"/>
        <w:rPr>
          <w:sz w:val="20"/>
          <w:szCs w:val="20"/>
          <w:color w:val="auto"/>
        </w:rPr>
      </w:pPr>
      <w:r>
        <w:rPr>
          <w:rFonts w:ascii="Times New Roman" w:cs="Times New Roman" w:eastAsia="Times New Roman" w:hAnsi="Times New Roman"/>
          <w:sz w:val="19"/>
          <w:szCs w:val="19"/>
          <w:color w:val="auto"/>
        </w:rPr>
        <w:t>Notwithstanding anything else herein or in the Agreement, if at any time any Successor Rate as so determined would otherwise be less than 0%, the Successor Rate will be deemed to be 0%for purposes of this Amendment and the other Loan</w:t>
      </w:r>
    </w:p>
    <w:p>
      <w:pPr>
        <w:ind w:left="1300"/>
        <w:spacing w:after="0"/>
        <w:rPr>
          <w:sz w:val="20"/>
          <w:szCs w:val="20"/>
          <w:color w:val="auto"/>
        </w:rPr>
      </w:pPr>
      <w:r>
        <w:rPr>
          <w:rFonts w:ascii="Times New Roman" w:cs="Times New Roman" w:eastAsia="Times New Roman" w:hAnsi="Times New Roman"/>
          <w:sz w:val="20"/>
          <w:szCs w:val="20"/>
          <w:color w:val="auto"/>
        </w:rPr>
        <w:t>Documents.</w:t>
      </w:r>
    </w:p>
    <w:p>
      <w:pPr>
        <w:spacing w:after="0" w:line="167" w:lineRule="exact"/>
        <w:rPr>
          <w:sz w:val="20"/>
          <w:szCs w:val="20"/>
          <w:color w:val="auto"/>
        </w:rPr>
      </w:pPr>
    </w:p>
    <w:p>
      <w:pPr>
        <w:jc w:val="both"/>
        <w:ind w:left="1300" w:firstLine="648"/>
        <w:spacing w:after="0" w:line="227" w:lineRule="auto"/>
        <w:rPr>
          <w:sz w:val="20"/>
          <w:szCs w:val="20"/>
          <w:color w:val="auto"/>
        </w:rPr>
      </w:pPr>
      <w:r>
        <w:rPr>
          <w:rFonts w:ascii="Times New Roman" w:cs="Times New Roman" w:eastAsia="Times New Roman" w:hAnsi="Times New Roman"/>
          <w:sz w:val="19"/>
          <w:szCs w:val="19"/>
          <w:color w:val="auto"/>
        </w:rPr>
        <w:t>In connection with the implementation of a Successor Rate, the Administrative Agent will have the right to make Conforming Changes from time to time and, notwithstanding anything to the contrary herein or in any other Loan Document,</w:t>
      </w:r>
    </w:p>
    <w:p>
      <w:pPr>
        <w:ind w:left="1300"/>
        <w:spacing w:after="0" w:line="222" w:lineRule="auto"/>
        <w:rPr>
          <w:sz w:val="20"/>
          <w:szCs w:val="20"/>
          <w:color w:val="auto"/>
        </w:rPr>
      </w:pPr>
      <w:r>
        <w:rPr>
          <w:rFonts w:ascii="Times New Roman" w:cs="Times New Roman" w:eastAsia="Times New Roman" w:hAnsi="Times New Roman"/>
          <w:sz w:val="19"/>
          <w:szCs w:val="19"/>
          <w:color w:val="auto"/>
        </w:rPr>
        <w:t>any amendments implementing such Conforming Changes will become effective without any further action or consent of any</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other party to this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after such amendment becomes effective.</w:t>
      </w:r>
    </w:p>
    <w:p>
      <w:pPr>
        <w:spacing w:after="0" w:line="167" w:lineRule="exact"/>
        <w:rPr>
          <w:sz w:val="20"/>
          <w:szCs w:val="20"/>
          <w:color w:val="auto"/>
        </w:rPr>
      </w:pPr>
    </w:p>
    <w:p>
      <w:pPr>
        <w:jc w:val="both"/>
        <w:ind w:left="660" w:firstLine="644"/>
        <w:spacing w:after="0" w:line="222" w:lineRule="auto"/>
        <w:tabs>
          <w:tab w:leader="none" w:pos="17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Lender shall receive interest in an amount that exceeds the Maximum Rate, the excess interest shall be applied to the principal of the Loans or, if it exceeds such unpaid principal, refunded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COMMITTED LOAN NOTICE</w:t>
      </w:r>
    </w:p>
    <w:p>
      <w:pPr>
        <w:jc w:val="center"/>
        <w:spacing w:after="0"/>
        <w:rPr>
          <w:sz w:val="20"/>
          <w:szCs w:val="20"/>
          <w:color w:val="auto"/>
        </w:rPr>
      </w:pPr>
      <w:r>
        <w:rPr>
          <w:rFonts w:ascii="Times New Roman" w:cs="Times New Roman" w:eastAsia="Times New Roman" w:hAnsi="Times New Roman"/>
          <w:sz w:val="20"/>
          <w:szCs w:val="20"/>
          <w:color w:val="auto"/>
        </w:rPr>
        <w:t>(BSBY Rate Loans)</w:t>
      </w:r>
    </w:p>
    <w:p>
      <w:pPr>
        <w:spacing w:after="0" w:line="33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9"/>
          <w:szCs w:val="19"/>
          <w:color w:val="auto"/>
        </w:rPr>
        <w:t>Date: ___________, _____</w:t>
      </w:r>
      <w:r>
        <w:rPr>
          <w:rFonts w:ascii="Times New Roman" w:cs="Times New Roman" w:eastAsia="Times New Roman" w:hAnsi="Times New Roman"/>
          <w:sz w:val="24"/>
          <w:szCs w:val="24"/>
          <w:color w:val="auto"/>
          <w:vertAlign w:val="superscript"/>
        </w:rPr>
        <w:t>1</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Reference is made to that certain Amended and Restated Credit Agreement dated as of September 27, 2019 (as amended, restated, extended,</w:t>
      </w:r>
    </w:p>
    <w:p>
      <w:pPr>
        <w:spacing w:after="0" w:line="6"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0"/>
          <w:szCs w:val="20"/>
          <w:color w:val="auto"/>
        </w:rPr>
        <w:t>supplemented or otherwise modified in writing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terms defined therein being used herein as therein defined),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from time to time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 and BANK OF AMERICA, N.A., as Administrative Agent, L/C Issuer and Swingline Lender.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(select one)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[Revolving Facility]</w:t>
      </w:r>
    </w:p>
    <w:p>
      <w:pPr>
        <w:spacing w:after="0" w:line="249" w:lineRule="exact"/>
        <w:rPr>
          <w:sz w:val="20"/>
          <w:szCs w:val="20"/>
          <w:color w:val="auto"/>
        </w:rPr>
      </w:pPr>
    </w:p>
    <w:tbl>
      <w:tblPr>
        <w:tblLayout w:type="fixed"/>
        <w:tblInd w:w="870" w:type="dxa"/>
        <w:tblCellMar>
          <w:top w:w="0" w:type="dxa"/>
          <w:left w:w="0" w:type="dxa"/>
          <w:bottom w:w="0" w:type="dxa"/>
          <w:right w:w="0" w:type="dxa"/>
        </w:tblCellMar>
      </w:tblPr>
      <w:tr>
        <w:trPr>
          <w:trHeight w:val="216"/>
        </w:trPr>
        <w:tc>
          <w:tcPr>
            <w:tcW w:w="460" w:type="dxa"/>
            <w:vAlign w:val="bottom"/>
            <w:tcBorders>
              <w:top w:val="single" w:sz="8" w:color="auto"/>
              <w:left w:val="single" w:sz="8" w:color="auto"/>
            </w:tcBorders>
          </w:tcPr>
          <w:p>
            <w:pPr>
              <w:spacing w:after="0"/>
              <w:rPr>
                <w:sz w:val="18"/>
                <w:szCs w:val="18"/>
                <w:color w:val="auto"/>
              </w:rPr>
            </w:pPr>
          </w:p>
        </w:tc>
        <w:tc>
          <w:tcPr>
            <w:tcW w:w="1240" w:type="dxa"/>
            <w:vAlign w:val="bottom"/>
            <w:tcBorders>
              <w:top w:val="single" w:sz="8" w:color="auto"/>
              <w:right w:val="single" w:sz="8" w:color="auto"/>
            </w:tcBorders>
            <w:gridSpan w:val="2"/>
          </w:tcPr>
          <w:p>
            <w:pPr>
              <w:jc w:val="center"/>
              <w:ind w:right="4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ind w:right="3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ind w:right="3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54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gridSpan w:val="2"/>
          </w:tcPr>
          <w:p>
            <w:pPr>
              <w:jc w:val="center"/>
              <w:ind w:right="6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right w:val="single" w:sz="8" w:color="auto"/>
            </w:tcBorders>
            <w:gridSpan w:val="2"/>
          </w:tcPr>
          <w:p>
            <w:pPr>
              <w:jc w:val="center"/>
              <w:ind w:right="3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For BSBY Rate</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Borders>
              <w:left w:val="single" w:sz="8" w:color="auto"/>
            </w:tcBorders>
            <w:vMerge w:val="continue"/>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auto"/>
                <w:w w:val="71"/>
              </w:rPr>
              <w:t>Borrowing,</w:t>
            </w:r>
          </w:p>
        </w:tc>
        <w:tc>
          <w:tcPr>
            <w:tcW w:w="56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gridSpan w:val="3"/>
          </w:tcPr>
          <w:p>
            <w:pPr>
              <w:jc w:val="center"/>
              <w:ind w:right="40"/>
              <w:spacing w:after="0" w:line="183" w:lineRule="exact"/>
              <w:rPr>
                <w:sz w:val="20"/>
                <w:szCs w:val="20"/>
                <w:color w:val="auto"/>
              </w:rPr>
            </w:pPr>
            <w:r>
              <w:rPr>
                <w:rFonts w:ascii="Times New Roman" w:cs="Times New Roman" w:eastAsia="Times New Roman" w:hAnsi="Times New Roman"/>
                <w:sz w:val="20"/>
                <w:szCs w:val="20"/>
                <w:b w:val="1"/>
                <w:bCs w:val="1"/>
                <w:color w:val="auto"/>
                <w:w w:val="99"/>
              </w:rPr>
              <w:t>Borrower Name</w:t>
            </w:r>
          </w:p>
        </w:tc>
        <w:tc>
          <w:tcPr>
            <w:tcW w:w="1440" w:type="dxa"/>
            <w:vAlign w:val="bottom"/>
            <w:tcBorders>
              <w:right w:val="single" w:sz="8" w:color="auto"/>
            </w:tcBorders>
            <w:gridSpan w:val="3"/>
          </w:tcPr>
          <w:p>
            <w:pPr>
              <w:jc w:val="center"/>
              <w:ind w:right="40"/>
              <w:spacing w:after="0" w:line="183" w:lineRule="exact"/>
              <w:rPr>
                <w:sz w:val="20"/>
                <w:szCs w:val="20"/>
                <w:color w:val="auto"/>
              </w:rPr>
            </w:pPr>
            <w:r>
              <w:rPr>
                <w:rFonts w:ascii="Times New Roman" w:cs="Times New Roman" w:eastAsia="Times New Roman" w:hAnsi="Times New Roman"/>
                <w:sz w:val="20"/>
                <w:szCs w:val="20"/>
                <w:b w:val="1"/>
                <w:bCs w:val="1"/>
                <w:color w:val="auto"/>
                <w:w w:val="98"/>
              </w:rPr>
              <w:t>Requested</w:t>
            </w:r>
          </w:p>
        </w:tc>
        <w:tc>
          <w:tcPr>
            <w:tcW w:w="1900" w:type="dxa"/>
            <w:vAlign w:val="bottom"/>
            <w:tcBorders>
              <w:right w:val="single" w:sz="8" w:color="auto"/>
            </w:tcBorders>
            <w:gridSpan w:val="3"/>
          </w:tcPr>
          <w:p>
            <w:pPr>
              <w:jc w:val="center"/>
              <w:ind w:right="40"/>
              <w:spacing w:after="0" w:line="183" w:lineRule="exact"/>
              <w:rPr>
                <w:sz w:val="20"/>
                <w:szCs w:val="20"/>
                <w:color w:val="auto"/>
              </w:rPr>
            </w:pPr>
            <w:r>
              <w:rPr>
                <w:rFonts w:ascii="Times New Roman" w:cs="Times New Roman" w:eastAsia="Times New Roman" w:hAnsi="Times New Roman"/>
                <w:sz w:val="20"/>
                <w:szCs w:val="20"/>
                <w:b w:val="1"/>
                <w:bCs w:val="1"/>
                <w:color w:val="auto"/>
                <w:w w:val="99"/>
              </w:rPr>
              <w:t>BSBY Rate Loans</w:t>
            </w:r>
          </w:p>
        </w:tc>
        <w:tc>
          <w:tcPr>
            <w:tcW w:w="280" w:type="dxa"/>
            <w:vAlign w:val="bottom"/>
          </w:tcPr>
          <w:p>
            <w:pPr>
              <w:spacing w:after="0"/>
              <w:rPr>
                <w:sz w:val="15"/>
                <w:szCs w:val="15"/>
                <w:color w:val="auto"/>
              </w:rPr>
            </w:pPr>
          </w:p>
        </w:tc>
        <w:tc>
          <w:tcPr>
            <w:tcW w:w="1640" w:type="dxa"/>
            <w:vAlign w:val="bottom"/>
            <w:tcBorders>
              <w:right w:val="single" w:sz="8" w:color="auto"/>
            </w:tcBorders>
            <w:gridSpan w:val="2"/>
          </w:tcPr>
          <w:p>
            <w:pPr>
              <w:jc w:val="center"/>
              <w:ind w:right="320"/>
              <w:spacing w:after="0" w:line="183" w:lineRule="exact"/>
              <w:rPr>
                <w:sz w:val="20"/>
                <w:szCs w:val="20"/>
                <w:color w:val="auto"/>
              </w:rPr>
            </w:pPr>
            <w:r>
              <w:rPr>
                <w:rFonts w:ascii="Times New Roman" w:cs="Times New Roman" w:eastAsia="Times New Roman" w:hAnsi="Times New Roman"/>
                <w:sz w:val="20"/>
                <w:szCs w:val="20"/>
                <w:b w:val="1"/>
                <w:bCs w:val="1"/>
                <w:color w:val="auto"/>
                <w:w w:val="98"/>
              </w:rPr>
              <w:t>Loans Indicate:</w:t>
            </w:r>
          </w:p>
        </w:tc>
        <w:tc>
          <w:tcPr>
            <w:tcW w:w="0" w:type="dxa"/>
            <w:vAlign w:val="bottom"/>
          </w:tcPr>
          <w:p>
            <w:pPr>
              <w:spacing w:after="0"/>
              <w:rPr>
                <w:sz w:val="1"/>
                <w:szCs w:val="1"/>
                <w:color w:val="auto"/>
              </w:rPr>
            </w:pPr>
          </w:p>
        </w:tc>
      </w:tr>
      <w:tr>
        <w:trPr>
          <w:trHeight w:val="169"/>
        </w:trPr>
        <w:tc>
          <w:tcPr>
            <w:tcW w:w="1700" w:type="dxa"/>
            <w:vAlign w:val="bottom"/>
            <w:tcBorders>
              <w:left w:val="single" w:sz="8" w:color="auto"/>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9"/>
                <w:szCs w:val="19"/>
                <w:b w:val="1"/>
                <w:bCs w:val="1"/>
                <w:color w:val="auto"/>
              </w:rPr>
              <w:t>Conversion or</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360"/>
              <w:spacing w:after="0" w:line="169" w:lineRule="exact"/>
              <w:rPr>
                <w:sz w:val="20"/>
                <w:szCs w:val="20"/>
                <w:color w:val="auto"/>
              </w:rPr>
            </w:pPr>
            <w:r>
              <w:rPr>
                <w:rFonts w:ascii="Times New Roman" w:cs="Times New Roman" w:eastAsia="Times New Roman" w:hAnsi="Times New Roman"/>
                <w:sz w:val="19"/>
                <w:szCs w:val="19"/>
                <w:b w:val="1"/>
                <w:bCs w:val="1"/>
                <w:color w:val="auto"/>
              </w:rPr>
              <w:t>Amount</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Continuation</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Interest Period (e.g.,</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3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1, 3 or 6 month</w:t>
            </w:r>
          </w:p>
        </w:tc>
        <w:tc>
          <w:tcPr>
            <w:tcW w:w="0" w:type="dxa"/>
            <w:vAlign w:val="bottom"/>
          </w:tcPr>
          <w:p>
            <w:pPr>
              <w:spacing w:after="0"/>
              <w:rPr>
                <w:sz w:val="1"/>
                <w:szCs w:val="1"/>
                <w:color w:val="auto"/>
              </w:rPr>
            </w:pPr>
          </w:p>
        </w:tc>
      </w:tr>
      <w:tr>
        <w:trPr>
          <w:trHeight w:val="256"/>
        </w:trPr>
        <w:tc>
          <w:tcPr>
            <w:tcW w:w="46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interest period)</w:t>
            </w:r>
          </w:p>
        </w:tc>
        <w:tc>
          <w:tcPr>
            <w:tcW w:w="0" w:type="dxa"/>
            <w:vAlign w:val="bottom"/>
          </w:tcPr>
          <w:p>
            <w:pPr>
              <w:spacing w:after="0"/>
              <w:rPr>
                <w:sz w:val="1"/>
                <w:szCs w:val="1"/>
                <w:color w:val="auto"/>
              </w:rPr>
            </w:pPr>
          </w:p>
        </w:tc>
      </w:tr>
      <w:tr>
        <w:trPr>
          <w:trHeight w:val="318"/>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714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560" w:firstLine="8"/>
        <w:spacing w:after="0" w:line="195" w:lineRule="auto"/>
        <w:tabs>
          <w:tab w:leader="none" w:pos="103"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All requests submitted under a single Committed Loan Notice must be effective on the same date. If multiple effective dates are needed, multiple Committed Loan Notices will need to be prepared and signed.</w:t>
      </w:r>
    </w:p>
    <w:p>
      <w:pPr>
        <w:spacing w:after="0" w:line="1" w:lineRule="exact"/>
        <w:rPr>
          <w:rFonts w:ascii="Times New Roman" w:cs="Times New Roman" w:eastAsia="Times New Roman" w:hAnsi="Times New Roman"/>
          <w:sz w:val="23"/>
          <w:szCs w:val="23"/>
          <w:color w:val="auto"/>
          <w:vertAlign w:val="superscript"/>
        </w:rPr>
      </w:pPr>
    </w:p>
    <w:p>
      <w:pPr>
        <w:ind w:right="260"/>
        <w:spacing w:after="0" w:line="19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For multiple borrowings, conversions and/or continuations for a particular facility, fill out a new row for each borrowing/conversion and/or 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1240"/>
          </w:cols>
          <w:pgMar w:left="320" w:top="1399" w:right="339" w:bottom="1440" w:gutter="0" w:footer="0" w:header="0"/>
        </w:sectPr>
      </w:pPr>
    </w:p>
    <w:bookmarkStart w:id="42" w:name="page43"/>
    <w:bookmarkEnd w:id="42"/>
    <w:p>
      <w:pPr>
        <w:spacing w:after="0" w:line="3" w:lineRule="exact"/>
        <w:rPr>
          <w:sz w:val="20"/>
          <w:szCs w:val="20"/>
          <w:color w:val="auto"/>
        </w:rPr>
      </w:pPr>
    </w:p>
    <w:tbl>
      <w:tblPr>
        <w:tblLayout w:type="fixed"/>
        <w:tblInd w:w="870" w:type="dxa"/>
        <w:tblCellMar>
          <w:top w:w="0" w:type="dxa"/>
          <w:left w:w="0" w:type="dxa"/>
          <w:bottom w:w="0" w:type="dxa"/>
          <w:right w:w="0" w:type="dxa"/>
        </w:tblCellMar>
      </w:tblPr>
      <w:tr>
        <w:trPr>
          <w:trHeight w:val="216"/>
        </w:trPr>
        <w:tc>
          <w:tcPr>
            <w:tcW w:w="460" w:type="dxa"/>
            <w:vAlign w:val="bottom"/>
            <w:tcBorders>
              <w:top w:val="single" w:sz="8" w:color="auto"/>
              <w:left w:val="single" w:sz="8" w:color="auto"/>
            </w:tcBorders>
          </w:tcPr>
          <w:p>
            <w:pPr>
              <w:spacing w:after="0"/>
              <w:rPr>
                <w:sz w:val="18"/>
                <w:szCs w:val="18"/>
                <w:color w:val="auto"/>
              </w:rPr>
            </w:pPr>
          </w:p>
        </w:tc>
        <w:tc>
          <w:tcPr>
            <w:tcW w:w="1240" w:type="dxa"/>
            <w:vAlign w:val="bottom"/>
            <w:tcBorders>
              <w:top w:val="single" w:sz="8" w:color="auto"/>
              <w:right w:val="single" w:sz="8" w:color="auto"/>
            </w:tcBorders>
            <w:gridSpan w:val="2"/>
          </w:tcPr>
          <w:p>
            <w:pPr>
              <w:jc w:val="center"/>
              <w:ind w:right="4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ind w:right="3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2"/>
          </w:tcPr>
          <w:p>
            <w:pPr>
              <w:jc w:val="center"/>
              <w:ind w:right="36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54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gridSpan w:val="2"/>
          </w:tcPr>
          <w:p>
            <w:pPr>
              <w:jc w:val="center"/>
              <w:ind w:right="600"/>
              <w:spacing w:after="0" w:line="216"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right w:val="single" w:sz="8" w:color="auto"/>
            </w:tcBorders>
            <w:gridSpan w:val="2"/>
          </w:tcPr>
          <w:p>
            <w:pPr>
              <w:jc w:val="center"/>
              <w:ind w:right="3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For BSBY Rate</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 w:type="dxa"/>
            <w:vAlign w:val="bottom"/>
            <w:tcBorders>
              <w:left w:val="single" w:sz="8" w:color="auto"/>
            </w:tcBorders>
            <w:vMerge w:val="continue"/>
          </w:tcPr>
          <w:p>
            <w:pPr>
              <w:spacing w:after="0"/>
              <w:rPr>
                <w:sz w:val="15"/>
                <w:szCs w:val="15"/>
                <w:color w:val="auto"/>
              </w:rPr>
            </w:pPr>
          </w:p>
        </w:tc>
        <w:tc>
          <w:tcPr>
            <w:tcW w:w="680" w:type="dxa"/>
            <w:vAlign w:val="bottom"/>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71"/>
              </w:rPr>
              <w:t>Borrowing,</w:t>
            </w:r>
          </w:p>
        </w:tc>
        <w:tc>
          <w:tcPr>
            <w:tcW w:w="56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9"/>
                <w:szCs w:val="19"/>
                <w:b w:val="1"/>
                <w:bCs w:val="1"/>
                <w:color w:val="auto"/>
              </w:rPr>
              <w:t>Borrower Name</w:t>
            </w:r>
          </w:p>
        </w:tc>
        <w:tc>
          <w:tcPr>
            <w:tcW w:w="144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9"/>
                <w:szCs w:val="19"/>
                <w:b w:val="1"/>
                <w:bCs w:val="1"/>
                <w:color w:val="auto"/>
              </w:rPr>
              <w:t>Requested</w:t>
            </w:r>
          </w:p>
        </w:tc>
        <w:tc>
          <w:tcPr>
            <w:tcW w:w="190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9"/>
                <w:szCs w:val="19"/>
                <w:b w:val="1"/>
                <w:bCs w:val="1"/>
                <w:color w:val="auto"/>
              </w:rPr>
              <w:t>BSBY Rate Loans</w:t>
            </w:r>
          </w:p>
        </w:tc>
        <w:tc>
          <w:tcPr>
            <w:tcW w:w="280" w:type="dxa"/>
            <w:vAlign w:val="bottom"/>
          </w:tcPr>
          <w:p>
            <w:pPr>
              <w:spacing w:after="0"/>
              <w:rPr>
                <w:sz w:val="15"/>
                <w:szCs w:val="15"/>
                <w:color w:val="auto"/>
              </w:rPr>
            </w:pPr>
          </w:p>
        </w:tc>
        <w:tc>
          <w:tcPr>
            <w:tcW w:w="1640" w:type="dxa"/>
            <w:vAlign w:val="bottom"/>
            <w:tcBorders>
              <w:right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9"/>
                <w:szCs w:val="19"/>
                <w:b w:val="1"/>
                <w:bCs w:val="1"/>
                <w:color w:val="auto"/>
              </w:rPr>
              <w:t>Loans Indicate:</w:t>
            </w:r>
          </w:p>
        </w:tc>
        <w:tc>
          <w:tcPr>
            <w:tcW w:w="0" w:type="dxa"/>
            <w:vAlign w:val="bottom"/>
          </w:tcPr>
          <w:p>
            <w:pPr>
              <w:spacing w:after="0"/>
              <w:rPr>
                <w:sz w:val="1"/>
                <w:szCs w:val="1"/>
                <w:color w:val="auto"/>
              </w:rPr>
            </w:pPr>
          </w:p>
        </w:tc>
      </w:tr>
      <w:tr>
        <w:trPr>
          <w:trHeight w:val="162"/>
        </w:trPr>
        <w:tc>
          <w:tcPr>
            <w:tcW w:w="1700" w:type="dxa"/>
            <w:vAlign w:val="bottom"/>
            <w:tcBorders>
              <w:left w:val="single" w:sz="8" w:color="auto"/>
              <w:right w:val="single" w:sz="8" w:color="auto"/>
            </w:tcBorders>
            <w:gridSpan w:val="3"/>
          </w:tcPr>
          <w:p>
            <w:pPr>
              <w:jc w:val="center"/>
              <w:ind w:right="20"/>
              <w:spacing w:after="0" w:line="163" w:lineRule="exact"/>
              <w:rPr>
                <w:sz w:val="20"/>
                <w:szCs w:val="20"/>
                <w:color w:val="auto"/>
              </w:rPr>
            </w:pPr>
            <w:r>
              <w:rPr>
                <w:rFonts w:ascii="Times New Roman" w:cs="Times New Roman" w:eastAsia="Times New Roman" w:hAnsi="Times New Roman"/>
                <w:sz w:val="18"/>
                <w:szCs w:val="18"/>
                <w:b w:val="1"/>
                <w:bCs w:val="1"/>
                <w:color w:val="auto"/>
              </w:rPr>
              <w:t>Conversion or</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360"/>
              <w:spacing w:after="0" w:line="163" w:lineRule="exact"/>
              <w:rPr>
                <w:sz w:val="20"/>
                <w:szCs w:val="20"/>
                <w:color w:val="auto"/>
              </w:rPr>
            </w:pPr>
            <w:r>
              <w:rPr>
                <w:rFonts w:ascii="Times New Roman" w:cs="Times New Roman" w:eastAsia="Times New Roman" w:hAnsi="Times New Roman"/>
                <w:sz w:val="18"/>
                <w:szCs w:val="18"/>
                <w:b w:val="1"/>
                <w:bCs w:val="1"/>
                <w:color w:val="auto"/>
              </w:rPr>
              <w:t>Amount</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Continuation</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Interest Period (e.g.,</w:t>
            </w: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3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1, 3 or 6 month</w:t>
            </w:r>
          </w:p>
        </w:tc>
        <w:tc>
          <w:tcPr>
            <w:tcW w:w="0" w:type="dxa"/>
            <w:vAlign w:val="bottom"/>
          </w:tcPr>
          <w:p>
            <w:pPr>
              <w:spacing w:after="0"/>
              <w:rPr>
                <w:sz w:val="1"/>
                <w:szCs w:val="1"/>
                <w:color w:val="auto"/>
              </w:rPr>
            </w:pPr>
          </w:p>
        </w:tc>
      </w:tr>
      <w:tr>
        <w:trPr>
          <w:trHeight w:val="256"/>
        </w:trPr>
        <w:tc>
          <w:tcPr>
            <w:tcW w:w="46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interest period)</w:t>
            </w:r>
          </w:p>
        </w:tc>
        <w:tc>
          <w:tcPr>
            <w:tcW w:w="0" w:type="dxa"/>
            <w:vAlign w:val="bottom"/>
          </w:tcPr>
          <w:p>
            <w:pPr>
              <w:spacing w:after="0"/>
              <w:rPr>
                <w:sz w:val="1"/>
                <w:szCs w:val="1"/>
                <w:color w:val="auto"/>
              </w:rPr>
            </w:pPr>
          </w:p>
        </w:tc>
      </w:tr>
      <w:tr>
        <w:trPr>
          <w:trHeight w:val="318"/>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Borrowing, if any, requested herein complies with the requirements set forth in the Agreement.</w:t>
      </w: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POWELL INDUSTRIES, INC.,</w:t>
      </w: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ind w:left="4300"/>
        <w:spacing w:after="0" w:line="211" w:lineRule="auto"/>
        <w:rPr>
          <w:sz w:val="20"/>
          <w:szCs w:val="20"/>
          <w:color w:val="auto"/>
        </w:rPr>
      </w:pPr>
      <w:r>
        <w:rPr>
          <w:rFonts w:ascii="Times New Roman" w:cs="Times New Roman" w:eastAsia="Times New Roman" w:hAnsi="Times New Roman"/>
          <w:sz w:val="20"/>
          <w:szCs w:val="20"/>
          <w:color w:val="auto"/>
        </w:rPr>
        <w:t>Name: [Type Signatory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-127000</wp:posOffset>
            </wp:positionV>
            <wp:extent cx="125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0"/>
          <w:szCs w:val="20"/>
          <w:color w:val="auto"/>
        </w:rPr>
        <w:t>Title: [Type Signatory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CHAR2\2703453v1</w:t>
      </w:r>
    </w:p>
    <w:p>
      <w:pPr>
        <w:sectPr>
          <w:pgSz w:w="11900" w:h="16838" w:orient="portrait"/>
          <w:cols w:equalWidth="0" w:num="1">
            <w:col w:w="10139"/>
          </w:cols>
          <w:pgMar w:left="320" w:top="1440"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2023</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2023</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December 31, 2022, as filed with the Securities and Exchange Commission on the date hereof, I, Brett A. Cope, Chief Executive Officer of the Company, certify, pursuant to 18 U.S.C. Section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2023</w:t>
      </w:r>
    </w:p>
    <w:p>
      <w:pPr>
        <w:sectPr>
          <w:pgSz w:w="11900" w:h="16838" w:orient="portrait"/>
          <w:cols w:equalWidth="0" w:num="1">
            <w:col w:w="11240"/>
          </w:cols>
          <w:pgMar w:left="320" w:top="89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2022,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lvl w:ilvl="1">
      <w:lvlJc w:val="left"/>
      <w:lvlText w:val="(%2)"/>
      <w:numFmt w:val="lowerLetter"/>
      <w:start w:val="1"/>
    </w:lvl>
  </w:abstractNum>
  <w:abstractNum w:abstractNumId="10">
    <w:nsid w:val="3F2DBA31"/>
    <w:multiLevelType w:val="hybridMultilevel"/>
    <w:lvl w:ilvl="0">
      <w:lvlJc w:val="left"/>
      <w:lvlText w:val="(%1)"/>
      <w:numFmt w:val="lowerLetter"/>
      <w:start w:val="3"/>
    </w:lvl>
    <w:lvl w:ilvl="1">
      <w:lvlJc w:val="left"/>
      <w:lvlText w:val="(%2)"/>
      <w:numFmt w:val="lowerRoman"/>
      <w:start w:val="1"/>
    </w:lvl>
  </w:abstractNum>
  <w:abstractNum w:abstractNumId="11">
    <w:nsid w:val="7C83E458"/>
    <w:multiLevelType w:val="hybridMultilevel"/>
    <w:lvl w:ilvl="0">
      <w:lvlJc w:val="left"/>
      <w:lvlText w:val="(%1)"/>
      <w:numFmt w:val="lowerLetter"/>
      <w:start w:val="5"/>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
    <w:nsid w:val="628C895D"/>
    <w:multiLevelType w:val="hybridMultilevel"/>
    <w:lvl w:ilvl="0">
      <w:lvlJc w:val="left"/>
      <w:lvlText w:val="(%1)"/>
      <w:numFmt w:val="lowerLetter"/>
      <w:start w:val="4"/>
    </w:lvl>
    <w:lvl w:ilvl="1">
      <w:lvlJc w:val="left"/>
      <w:lvlText w:val="(%2)"/>
      <w:numFmt w:val="lowerRoman"/>
      <w:start w:val="1"/>
    </w:lvl>
  </w:abstractNum>
  <w:abstractNum w:abstractNumId="16">
    <w:nsid w:val="333AB105"/>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lvl w:ilvl="3">
      <w:lvlJc w:val="left"/>
      <w:lvlText w:val="(%4)"/>
      <w:numFmt w:val="lowerRoman"/>
      <w:start w:val="1"/>
    </w:lvl>
    <w:lvl w:ilvl="4">
      <w:lvlJc w:val="left"/>
      <w:lvlText w:val="(%5)"/>
      <w:numFmt w:val="lowerLetter"/>
      <w:start w:val="35"/>
    </w:lvl>
  </w:abstractNum>
  <w:abstractNum w:abstractNumId="17">
    <w:nsid w:val="721DA317"/>
    <w:multiLevelType w:val="hybridMultilevel"/>
    <w:lvl w:ilvl="0">
      <w:lvlJc w:val="left"/>
      <w:lvlText w:val="%1"/>
      <w:numFmt w:val="lowerLetter"/>
      <w:start w:val="1"/>
    </w:lvl>
    <w:lvl w:ilvl="1">
      <w:lvlJc w:val="left"/>
      <w:lvlText w:val="(%2)"/>
      <w:numFmt w:val="lowerLetter"/>
      <w:start w:val="61"/>
    </w:lvl>
  </w:abstractNum>
  <w:abstractNum w:abstractNumId="18">
    <w:nsid w:val="2443A858"/>
    <w:multiLevelType w:val="hybridMultilevel"/>
    <w:lvl w:ilvl="0">
      <w:lvlJc w:val="left"/>
      <w:lvlText w:val="(%1)"/>
      <w:numFmt w:val="lowerLetter"/>
      <w:start w:val="24"/>
    </w:lvl>
    <w:lvl w:ilvl="1">
      <w:lvlJc w:val="left"/>
      <w:lvlText w:val="(%2)"/>
      <w:numFmt w:val="lowerLetter"/>
      <w:start w:val="25"/>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8"/>
    </w:lvl>
  </w:abstractNum>
  <w:abstractNum w:abstractNumId="21">
    <w:nsid w:val="75A2A8D4"/>
    <w:multiLevelType w:val="hybridMultilevel"/>
    <w:lvl w:ilvl="0">
      <w:lvlJc w:val="left"/>
      <w:lvlText w:val="1"/>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2" Type="http://schemas.openxmlformats.org/officeDocument/2006/relationships/hyperlink" Target="http://www.sec.gov/Archives/edgar/data/80420/000008042004000044/exhibit3_1.htm" TargetMode="External"/><Relationship Id="rId44" Type="http://schemas.openxmlformats.org/officeDocument/2006/relationships/hyperlink" Target="http://www.sec.gov/Archives/edgar/data/80420/000119312512421889/d424375dex31.htm" TargetMode="External"/><Relationship Id="rId45"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2023-02-01T13:40:28Z</dcterms:created>
  <dcterms:modified xsi:type="dcterms:W3CDTF">2023-02-01T13:40:28Z</dcterms:modified>
</cp:coreProperties>
</file>