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328295</wp:posOffset>
            </wp:positionH>
            <wp:positionV relativeFrom="page">
              <wp:posOffset>1031875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1005840</wp:posOffset>
            </wp:positionV>
            <wp:extent cx="6900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77470</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104775</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700" w:right="20" w:hanging="674"/>
        <w:spacing w:after="0" w:line="238"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2025</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700" w:right="40" w:hanging="674"/>
        <w:spacing w:after="0" w:line="238"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7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97155</wp:posOffset>
            </wp:positionV>
            <wp:extent cx="2091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Powell Industries,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21590</wp:posOffset>
            </wp:positionV>
            <wp:extent cx="2091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76" w:lineRule="exact"/>
        <w:rPr>
          <w:sz w:val="24"/>
          <w:szCs w:val="24"/>
          <w:color w:val="auto"/>
        </w:rPr>
      </w:pPr>
    </w:p>
    <w:tbl>
      <w:tblPr>
        <w:tblLayout w:type="fixed"/>
        <w:tblInd w:w="1540" w:type="dxa"/>
        <w:tblCellMar>
          <w:top w:w="0" w:type="dxa"/>
          <w:left w:w="0" w:type="dxa"/>
          <w:bottom w:w="0" w:type="dxa"/>
          <w:right w:w="0" w:type="dxa"/>
        </w:tblCellMar>
      </w:tblPr>
      <w:tr>
        <w:trPr>
          <w:trHeight w:val="238"/>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88-0106100</w:t>
            </w:r>
          </w:p>
        </w:tc>
      </w:tr>
      <w:tr>
        <w:trPr>
          <w:trHeight w:val="202"/>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3"/>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8550 Mosley Road</w:t>
            </w:r>
          </w:p>
        </w:tc>
        <w:tc>
          <w:tcPr>
            <w:tcW w:w="1280" w:type="dxa"/>
            <w:vAlign w:val="bottom"/>
          </w:tcPr>
          <w:p>
            <w:pPr>
              <w:spacing w:after="0"/>
              <w:rPr>
                <w:sz w:val="20"/>
                <w:szCs w:val="20"/>
                <w:color w:val="auto"/>
              </w:rPr>
            </w:pPr>
          </w:p>
        </w:tc>
      </w:tr>
      <w:tr>
        <w:trPr>
          <w:trHeight w:val="23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1280" w:type="dxa"/>
            <w:vAlign w:val="bottom"/>
          </w:tcPr>
          <w:p>
            <w:pPr>
              <w:spacing w:after="0"/>
              <w:rPr>
                <w:sz w:val="19"/>
                <w:szCs w:val="19"/>
                <w:color w:val="auto"/>
              </w:rPr>
            </w:pPr>
          </w:p>
        </w:tc>
      </w:tr>
      <w:tr>
        <w:trPr>
          <w:trHeight w:val="227"/>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77075-1180</w:t>
            </w:r>
          </w:p>
        </w:tc>
      </w:tr>
      <w:tr>
        <w:trPr>
          <w:trHeight w:val="19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6"/>
        </w:trPr>
        <w:tc>
          <w:tcPr>
            <w:tcW w:w="6240" w:type="dxa"/>
            <w:vAlign w:val="bottom"/>
            <w:gridSpan w:val="3"/>
          </w:tcPr>
          <w:p>
            <w:pPr>
              <w:jc w:val="center"/>
              <w:ind w:left="1836"/>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80" w:type="dxa"/>
            <w:vAlign w:val="bottom"/>
          </w:tcPr>
          <w:p>
            <w:pPr>
              <w:spacing w:after="0"/>
              <w:rPr>
                <w:sz w:val="24"/>
                <w:szCs w:val="24"/>
                <w:color w:val="auto"/>
              </w:rPr>
            </w:pPr>
          </w:p>
        </w:tc>
      </w:tr>
      <w:tr>
        <w:trPr>
          <w:trHeight w:val="238"/>
        </w:trPr>
        <w:tc>
          <w:tcPr>
            <w:tcW w:w="57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(713) 944-6900</w:t>
            </w: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bl>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Trading Symbol</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POWL</w:t>
            </w:r>
          </w:p>
        </w:tc>
        <w:tc>
          <w:tcPr>
            <w:tcW w:w="32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39"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Large accelerated</w:t>
            </w:r>
          </w:p>
        </w:tc>
        <w:tc>
          <w:tcPr>
            <w:tcW w:w="5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2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Accelerated</w:t>
            </w:r>
          </w:p>
        </w:tc>
        <w:tc>
          <w:tcPr>
            <w:tcW w:w="56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Non-accelerated</w:t>
            </w:r>
          </w:p>
        </w:tc>
        <w:tc>
          <w:tcPr>
            <w:tcW w:w="60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58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Emerging growth</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filer</w:t>
            </w:r>
          </w:p>
        </w:tc>
        <w:tc>
          <w:tcPr>
            <w:tcW w:w="560" w:type="dxa"/>
            <w:vAlign w:val="bottom"/>
            <w:vMerge w:val="continue"/>
          </w:tcPr>
          <w:p>
            <w:pPr>
              <w:spacing w:after="0"/>
              <w:rPr>
                <w:sz w:val="22"/>
                <w:szCs w:val="22"/>
                <w:color w:val="auto"/>
              </w:rPr>
            </w:pPr>
          </w:p>
        </w:tc>
        <w:tc>
          <w:tcPr>
            <w:tcW w:w="12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filer</w:t>
            </w:r>
          </w:p>
        </w:tc>
        <w:tc>
          <w:tcPr>
            <w:tcW w:w="560" w:type="dxa"/>
            <w:vAlign w:val="bottom"/>
            <w:vMerge w:val="continue"/>
          </w:tcPr>
          <w:p>
            <w:pPr>
              <w:spacing w:after="0"/>
              <w:rPr>
                <w:sz w:val="22"/>
                <w:szCs w:val="22"/>
                <w:color w:val="auto"/>
              </w:rPr>
            </w:pPr>
          </w:p>
        </w:tc>
        <w:tc>
          <w:tcPr>
            <w:tcW w:w="1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filer</w:t>
            </w:r>
          </w:p>
        </w:tc>
        <w:tc>
          <w:tcPr>
            <w:tcW w:w="600" w:type="dxa"/>
            <w:vAlign w:val="bottom"/>
            <w:vMerge w:val="continue"/>
          </w:tcPr>
          <w:p>
            <w:pPr>
              <w:spacing w:after="0"/>
              <w:rPr>
                <w:sz w:val="22"/>
                <w:szCs w:val="22"/>
                <w:color w:val="auto"/>
              </w:rPr>
            </w:pP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company</w:t>
            </w:r>
          </w:p>
        </w:tc>
        <w:tc>
          <w:tcPr>
            <w:tcW w:w="580" w:type="dxa"/>
            <w:vAlign w:val="bottom"/>
            <w:vMerge w:val="continue"/>
          </w:tcPr>
          <w:p>
            <w:pPr>
              <w:spacing w:after="0"/>
              <w:rPr>
                <w:sz w:val="22"/>
                <w:szCs w:val="22"/>
                <w:color w:val="auto"/>
              </w:rPr>
            </w:pPr>
          </w:p>
        </w:tc>
        <w:tc>
          <w:tcPr>
            <w:tcW w:w="1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company</w:t>
            </w:r>
          </w:p>
        </w:tc>
        <w:tc>
          <w:tcPr>
            <w:tcW w:w="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10"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left="500" w:right="124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At February 2, 2026, there were 12,142,283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103505</wp:posOffset>
            </wp:positionV>
            <wp:extent cx="69005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77470</wp:posOffset>
            </wp:positionV>
            <wp:extent cx="6900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ectPr>
          <w:pgSz w:w="11900" w:h="16838" w:orient="portrait"/>
          <w:cols w:equalWidth="0" w:num="1">
            <w:col w:w="11240"/>
          </w:cols>
          <w:pgMar w:left="320" w:top="1440" w:right="339" w:bottom="673" w:gutter="0" w:footer="0" w:header="0"/>
        </w:sectPr>
      </w:pP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673"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4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040" w:type="dxa"/>
            <w:vAlign w:val="bottom"/>
            <w:gridSpan w:val="10"/>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0000FF"/>
            </w:tcBorders>
            <w:gridSpan w:val="10"/>
            <w:vMerge w:val="continue"/>
          </w:tcPr>
          <w:p>
            <w:pPr>
              <w:spacing w:after="0"/>
              <w:rPr>
                <w:sz w:val="15"/>
                <w:szCs w:val="15"/>
                <w:color w:val="auto"/>
              </w:rPr>
            </w:pPr>
          </w:p>
        </w:tc>
        <w:tc>
          <w:tcPr>
            <w:tcW w:w="8040" w:type="dxa"/>
            <w:vAlign w:val="bottom"/>
            <w:gridSpan w:val="10"/>
            <w:vMerge w:val="continue"/>
          </w:tcPr>
          <w:p>
            <w:pPr>
              <w:spacing w:after="0"/>
              <w:rPr>
                <w:sz w:val="15"/>
                <w:szCs w:val="15"/>
                <w:color w:val="auto"/>
              </w:rPr>
            </w:pPr>
          </w:p>
        </w:tc>
        <w:tc>
          <w:tcPr>
            <w:tcW w:w="600" w:type="dxa"/>
            <w:vAlign w:val="bottom"/>
            <w:gridSpan w:val="2"/>
          </w:tcPr>
          <w:p>
            <w:pPr>
              <w:spacing w:after="0"/>
              <w:rPr>
                <w:sz w:val="15"/>
                <w:szCs w:val="15"/>
                <w:color w:val="auto"/>
              </w:rPr>
            </w:pPr>
          </w:p>
        </w:tc>
        <w:tc>
          <w:tcPr>
            <w:tcW w:w="100" w:type="dxa"/>
            <w:vAlign w:val="bottom"/>
            <w:tcBorders>
              <w:bottom w:val="single" w:sz="8" w:color="0000FF"/>
            </w:tcBorders>
          </w:tcPr>
          <w:p>
            <w:pPr>
              <w:jc w:val="right"/>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6300" w:type="dxa"/>
            <w:vAlign w:val="bottom"/>
            <w:gridSpan w:val="8"/>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20" w:type="dxa"/>
            <w:vAlign w:val="bottom"/>
            <w:tcBorders>
              <w:top w:val="single" w:sz="8" w:color="0000FF"/>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(Unaudited)</w:t>
            </w:r>
          </w:p>
        </w:tc>
        <w:tc>
          <w:tcPr>
            <w:tcW w:w="180" w:type="dxa"/>
            <w:vAlign w:val="bottom"/>
            <w:tcBorders>
              <w:top w:val="single" w:sz="8" w:color="0000FF"/>
            </w:tcBorders>
          </w:tcPr>
          <w:p>
            <w:pPr>
              <w:spacing w:after="0"/>
              <w:rPr>
                <w:sz w:val="18"/>
                <w:szCs w:val="18"/>
                <w:color w:val="auto"/>
              </w:rPr>
            </w:pPr>
          </w:p>
        </w:tc>
        <w:tc>
          <w:tcPr>
            <w:tcW w:w="466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5520" w:type="dxa"/>
            <w:vAlign w:val="bottom"/>
            <w:gridSpan w:val="6"/>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5240" w:type="dxa"/>
            <w:vAlign w:val="bottom"/>
            <w:gridSpan w:val="4"/>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0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3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49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gridSpan w:val="4"/>
          </w:tcPr>
          <w:p>
            <w:pPr>
              <w:spacing w:after="0"/>
              <w:rPr>
                <w:sz w:val="18"/>
                <w:szCs w:val="18"/>
                <w:color w:val="auto"/>
              </w:rPr>
            </w:pPr>
          </w:p>
        </w:tc>
        <w:tc>
          <w:tcPr>
            <w:tcW w:w="33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8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4"/>
          </w:tcPr>
          <w:p>
            <w:pPr>
              <w:spacing w:after="0"/>
              <w:rPr>
                <w:sz w:val="18"/>
                <w:szCs w:val="18"/>
                <w:color w:val="auto"/>
              </w:rPr>
            </w:pPr>
          </w:p>
        </w:tc>
        <w:tc>
          <w:tcPr>
            <w:tcW w:w="5440" w:type="dxa"/>
            <w:vAlign w:val="bottom"/>
            <w:gridSpan w:val="5"/>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2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824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240" w:type="dxa"/>
            <w:vAlign w:val="bottom"/>
            <w:gridSpan w:val="2"/>
          </w:tcPr>
          <w:p>
            <w:pPr>
              <w:spacing w:after="0"/>
              <w:rPr>
                <w:sz w:val="18"/>
                <w:szCs w:val="18"/>
                <w:color w:val="auto"/>
              </w:rPr>
            </w:pPr>
          </w:p>
        </w:tc>
        <w:tc>
          <w:tcPr>
            <w:tcW w:w="8240" w:type="dxa"/>
            <w:vAlign w:val="bottom"/>
            <w:gridSpan w:val="11"/>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80" w:type="dxa"/>
            <w:vAlign w:val="bottom"/>
            <w:tcBorders>
              <w:left w:val="single" w:sz="8" w:color="0000FF"/>
            </w:tcBorders>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80" w:type="dxa"/>
            <w:vAlign w:val="bottom"/>
          </w:tcPr>
          <w:p>
            <w:pPr>
              <w:spacing w:after="0"/>
              <w:rPr>
                <w:sz w:val="18"/>
                <w:szCs w:val="18"/>
                <w:color w:val="auto"/>
              </w:rPr>
            </w:pP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4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200" w:type="dxa"/>
            <w:vAlign w:val="bottom"/>
            <w:gridSpan w:val="15"/>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32"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5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35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490,631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450,739</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$456 and $368, respectively</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217,065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assets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136,679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84,719</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w:t>
            </w:r>
          </w:p>
        </w:tc>
        <w:tc>
          <w:tcPr>
            <w:tcW w:w="0" w:type="dxa"/>
            <w:vAlign w:val="bottom"/>
          </w:tcPr>
          <w:p>
            <w:pPr>
              <w:spacing w:after="0"/>
              <w:rPr>
                <w:sz w:val="1"/>
                <w:szCs w:val="1"/>
                <w:color w:val="auto"/>
              </w:rPr>
            </w:pPr>
          </w:p>
        </w:tc>
      </w:tr>
      <w:tr>
        <w:trPr>
          <w:trHeight w:val="207"/>
        </w:trPr>
        <w:tc>
          <w:tcPr>
            <w:tcW w:w="7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920,086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931,716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111,049</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6,125</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33,440</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18,852</w:t>
            </w:r>
          </w:p>
        </w:tc>
        <w:tc>
          <w:tcPr>
            <w:tcW w:w="0" w:type="dxa"/>
            <w:vAlign w:val="bottom"/>
          </w:tcPr>
          <w:p>
            <w:pPr>
              <w:spacing w:after="0"/>
              <w:rPr>
                <w:sz w:val="1"/>
                <w:szCs w:val="1"/>
                <w:color w:val="auto"/>
              </w:rPr>
            </w:pPr>
          </w:p>
        </w:tc>
      </w:tr>
      <w:tr>
        <w:trPr>
          <w:trHeight w:val="234"/>
        </w:trPr>
        <w:tc>
          <w:tcPr>
            <w:tcW w:w="76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1,094,368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1,108,984</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48,213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67,080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297,949</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39,184</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product warranty</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6,356</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11,028</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24,945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23,908</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446,387</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425,482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468,214</w:t>
            </w:r>
          </w:p>
        </w:tc>
        <w:tc>
          <w:tcPr>
            <w:tcW w:w="0" w:type="dxa"/>
            <w:vAlign w:val="bottom"/>
          </w:tcPr>
          <w:p>
            <w:pPr>
              <w:spacing w:after="0"/>
              <w:rPr>
                <w:sz w:val="1"/>
                <w:szCs w:val="1"/>
                <w:color w:val="auto"/>
              </w:rPr>
            </w:pPr>
          </w:p>
        </w:tc>
      </w:tr>
      <w:tr>
        <w:trPr>
          <w:trHeight w:val="19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G)</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$0.01; 5,000,000 shares authorized; none issued</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64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par value $0.01; 30,000,000 shares authorized;</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Shares issued: 12,946,501 and 12,876,196, respectively</w:t>
            </w:r>
          </w:p>
        </w:tc>
        <w:tc>
          <w:tcPr>
            <w:tcW w:w="1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outstanding: 12,140,483 and 12,070,178, respectively</w:t>
            </w:r>
          </w:p>
        </w:tc>
        <w:tc>
          <w:tcPr>
            <w:tcW w:w="1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62,834</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667,941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629,848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806,018 shares at cost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(24,906)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(27,042)</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668,886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640,770</w:t>
            </w:r>
          </w:p>
        </w:tc>
        <w:tc>
          <w:tcPr>
            <w:tcW w:w="0" w:type="dxa"/>
            <w:vAlign w:val="bottom"/>
          </w:tcPr>
          <w:p>
            <w:pPr>
              <w:spacing w:after="0"/>
              <w:rPr>
                <w:sz w:val="1"/>
                <w:szCs w:val="1"/>
                <w:color w:val="auto"/>
              </w:rPr>
            </w:pPr>
          </w:p>
        </w:tc>
      </w:tr>
      <w:tr>
        <w:trPr>
          <w:trHeight w:val="207"/>
        </w:trPr>
        <w:tc>
          <w:tcPr>
            <w:tcW w:w="76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1,094,368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1,108,984</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00"/>
          </w:cols>
          <w:pgMar w:left="320" w:top="133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251,184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241,431</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179,766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181,907</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59,524</w:t>
            </w:r>
          </w:p>
        </w:tc>
        <w:tc>
          <w:tcPr>
            <w:tcW w:w="0" w:type="dxa"/>
            <w:vAlign w:val="bottom"/>
          </w:tcPr>
          <w:p>
            <w:pPr>
              <w:spacing w:after="0"/>
              <w:rPr>
                <w:sz w:val="1"/>
                <w:szCs w:val="1"/>
                <w:color w:val="auto"/>
              </w:rPr>
            </w:pPr>
          </w:p>
        </w:tc>
      </w:tr>
      <w:tr>
        <w:trPr>
          <w:trHeight w:val="257"/>
        </w:trPr>
        <w:tc>
          <w:tcPr>
            <w:tcW w:w="7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21,476</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35,572</w:t>
            </w:r>
          </w:p>
        </w:tc>
        <w:tc>
          <w:tcPr>
            <w:tcW w:w="0" w:type="dxa"/>
            <w:vAlign w:val="bottom"/>
          </w:tcPr>
          <w:p>
            <w:pPr>
              <w:spacing w:after="0"/>
              <w:rPr>
                <w:sz w:val="1"/>
                <w:szCs w:val="1"/>
                <w:color w:val="auto"/>
              </w:rPr>
            </w:pPr>
          </w:p>
        </w:tc>
      </w:tr>
      <w:tr>
        <w:trPr>
          <w:trHeight w:val="256"/>
        </w:trPr>
        <w:tc>
          <w:tcPr>
            <w:tcW w:w="76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39,437</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41,390</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34,763</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8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ind w:right="855"/>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ind w:right="853"/>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per share</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0.2675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0.2650</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 w:name="page5"/>
    <w:bookmarkEnd w:id="4"/>
    <w:p>
      <w:pPr>
        <w:jc w:val="center"/>
        <w:ind w:left="340" w:right="2700"/>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Comprehensive Income (Unaudited) (In thousands)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9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4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6"/>
        </w:trPr>
        <w:tc>
          <w:tcPr>
            <w:tcW w:w="76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r>
      <w:tr>
        <w:trPr>
          <w:trHeight w:val="23"/>
        </w:trPr>
        <w:tc>
          <w:tcPr>
            <w:tcW w:w="76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34,763</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(8,069)</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26,694</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 w:name="page6"/>
    <w:bookmarkEnd w:id="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Stockholders’ Equity (Unaudited)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9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2"/>
                <w:szCs w:val="2"/>
                <w:color w:val="auto"/>
              </w:rPr>
            </w:pP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00" w:type="dxa"/>
            <w:vAlign w:val="bottom"/>
          </w:tcPr>
          <w:p>
            <w:pPr>
              <w:spacing w:after="0"/>
              <w:rPr>
                <w:sz w:val="2"/>
                <w:szCs w:val="2"/>
                <w:color w:val="auto"/>
              </w:rPr>
            </w:pPr>
          </w:p>
        </w:tc>
        <w:tc>
          <w:tcPr>
            <w:tcW w:w="8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2025</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62,834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629,848</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(27,042)</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640,770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41,390</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41,390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70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2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(14,036)</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withholding</w:t>
            </w:r>
          </w:p>
        </w:tc>
        <w:tc>
          <w:tcPr>
            <w:tcW w:w="20" w:type="dxa"/>
            <w:vAlign w:val="bottom"/>
            <w:shd w:val="clear" w:color="auto" w:fill="CCEEFF"/>
          </w:tcPr>
          <w:p>
            <w:pPr>
              <w:spacing w:after="0"/>
              <w:rPr>
                <w:sz w:val="17"/>
                <w:szCs w:val="17"/>
                <w:color w:val="auto"/>
              </w:rPr>
            </w:pPr>
          </w:p>
        </w:tc>
        <w:tc>
          <w:tcPr>
            <w:tcW w:w="9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2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2025</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667,941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668,886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9"/>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9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2"/>
                <w:szCs w:val="2"/>
                <w:color w:val="auto"/>
              </w:rPr>
            </w:pPr>
          </w:p>
        </w:tc>
        <w:tc>
          <w:tcPr>
            <w:tcW w:w="9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00" w:type="dxa"/>
            <w:vAlign w:val="bottom"/>
          </w:tcPr>
          <w:p>
            <w:pPr>
              <w:spacing w:after="0"/>
              <w:rPr>
                <w:sz w:val="2"/>
                <w:szCs w:val="2"/>
                <w:color w:val="auto"/>
              </w:rPr>
            </w:pPr>
          </w:p>
        </w:tc>
        <w:tc>
          <w:tcPr>
            <w:tcW w:w="8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2024</w:t>
            </w:r>
          </w:p>
        </w:tc>
        <w:tc>
          <w:tcPr>
            <w:tcW w:w="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12,795</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70,111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462,194</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(24,361)</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483,073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34,763</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2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withholding</w:t>
            </w:r>
          </w:p>
        </w:tc>
        <w:tc>
          <w:tcPr>
            <w:tcW w:w="20" w:type="dxa"/>
            <w:vAlign w:val="bottom"/>
            <w:shd w:val="clear" w:color="auto" w:fill="CCEEFF"/>
          </w:tcPr>
          <w:p>
            <w:pPr>
              <w:spacing w:after="0"/>
              <w:rPr>
                <w:sz w:val="17"/>
                <w:szCs w:val="17"/>
                <w:color w:val="auto"/>
              </w:rPr>
            </w:pPr>
          </w:p>
        </w:tc>
        <w:tc>
          <w:tcPr>
            <w:tcW w:w="9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2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59,959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493,673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(32,430)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32" w:right="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54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8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68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6"/>
                <w:szCs w:val="16"/>
                <w:color w:val="auto"/>
              </w:rPr>
            </w:pPr>
          </w:p>
        </w:tc>
      </w:tr>
      <w:tr>
        <w:trPr>
          <w:trHeight w:val="23"/>
        </w:trPr>
        <w:tc>
          <w:tcPr>
            <w:tcW w:w="68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41,390</w:t>
            </w:r>
          </w:p>
        </w:tc>
        <w:tc>
          <w:tcPr>
            <w:tcW w:w="100" w:type="dxa"/>
            <w:vAlign w:val="bottom"/>
          </w:tcPr>
          <w:p>
            <w:pPr>
              <w:spacing w:after="0"/>
              <w:rPr>
                <w:sz w:val="19"/>
                <w:szCs w:val="19"/>
                <w:color w:val="auto"/>
              </w:rPr>
            </w:pPr>
          </w:p>
        </w:tc>
        <w:tc>
          <w:tcPr>
            <w:tcW w:w="1320" w:type="dxa"/>
            <w:vAlign w:val="bottom"/>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34,763</w:t>
            </w:r>
          </w:p>
        </w:tc>
      </w:tr>
      <w:tr>
        <w:trPr>
          <w:trHeight w:val="22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mark-to-market loss (gain) on derivative contracts</w:t>
            </w:r>
          </w:p>
        </w:tc>
        <w:tc>
          <w:tcPr>
            <w:tcW w:w="13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Bad debt expense (recovery), net</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19,042</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Contract assets and liabilities, net</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liabilities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(20,797)</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net</w:t>
            </w:r>
          </w:p>
        </w:tc>
        <w:tc>
          <w:tcPr>
            <w:tcW w:w="1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r>
      <w:tr>
        <w:trPr>
          <w:trHeight w:val="223"/>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43,638</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37,072</w:t>
            </w: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3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(19,828)</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w:t>
            </w:r>
          </w:p>
        </w:tc>
      </w:tr>
      <w:tr>
        <w:trPr>
          <w:trHeight w:val="230"/>
        </w:trPr>
        <w:tc>
          <w:tcPr>
            <w:tcW w:w="6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w:t>
            </w:r>
          </w:p>
        </w:tc>
      </w:tr>
      <w:tr>
        <w:trPr>
          <w:trHeight w:val="223"/>
        </w:trPr>
        <w:tc>
          <w:tcPr>
            <w:tcW w:w="6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Shares withheld in lieu of employee tax withholding</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r>
      <w:tr>
        <w:trPr>
          <w:trHeight w:val="230"/>
        </w:trPr>
        <w:tc>
          <w:tcPr>
            <w:tcW w:w="6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w:t>
            </w:r>
          </w:p>
        </w:tc>
      </w:tr>
      <w:tr>
        <w:trPr>
          <w:trHeight w:val="223"/>
        </w:trPr>
        <w:tc>
          <w:tcPr>
            <w:tcW w:w="6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39,291</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12,398</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29"/>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450,739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315,331</w:t>
            </w:r>
          </w:p>
        </w:tc>
      </w:tr>
      <w:tr>
        <w:trPr>
          <w:trHeight w:val="248"/>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490,631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325,598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332"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Overview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Powell Industries, Inc. (we, us, our, Powell or the Company) is a Delaware corporation founded by William E. Powell in 1947. We develop, design, manufacture and service custom-engineered equipment and systems that distribute, control and monitor the flow of electrical energy and provide protection to motors, transformers and other electrically powered equipment. Our major subsidiaries, all of which are wholly owned, include Powell Electrical Systems, Inc.; Powell Canada Inc.; Powell (UK) Limited; and Powell Industries International Limited.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headquartered in Houston, Texas, and primarily serve the oil and gas and petrochemical markets, the electric utility market, and commercial and 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Powell and our wholly-owned subsidiaries. All intercompany accounts and transactions have been eliminated in consolidation.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should be read in conjunction with the audited consolidated financial statements and notes thereto of Powell and its subsidiaries included in Powell’s Annual Report on Form 10-K for the year ended September 30, 2025, which was filed with the Securities and Exchange Commission (SEC) on November 19,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2026 and Fiscal 2025 used throughout this report shall mean the current fiscal year ending September 30, 2026 and the prior fiscal year ended September 30, 2025,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allowance for credit losses, provision for excess and obsolete inventory, warranty accruals and income taxes. The amounts recorded for warranties, legal, income taxes, impairment of long-lived assets, intangible assets and goodwill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basis for recognition of deferred tax assets requires estimates related to future income and other assumptions regarding timing and future profitability because the ultimate realization of net deferred tax assets is dependent on the generation of future taxable income during periods in which temporary differences become deductible. Estimates routinely change as new events occur, additional information becomes available or operating environments change. Actual results may differ from our prior estimates.</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 Update</w:t>
      </w:r>
    </w:p>
    <w:p>
      <w:pPr>
        <w:spacing w:after="0" w:line="80"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The Company adopted the Financial Accounting Standard Board (FASB) Accounting Standards Update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effective October 1, 2024, on a retrospective basis. This standard requires expanded annual and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disclosures, including significant segment expenses regularly reviewed by the chief operating decision maker (CODM), along with disclosure of the CODM’s title and how segment information is used in evaluating performance and allocating resources. It also clarifies that entities with a single reportable segment must provide all required Topic 280 disclosures. Adoption of the standard did not have a material impact on the unaudited condensed consolidated financial statements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Additional details are included in Note K. Segment Information.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Issued but Not Yet Adopted</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enhances the transparency of income tax disclosures. It requires greater disaggregation of information in the tax rate reconciliation and income taxes paid disaggregated by jurisdiction. This ASU is effective for fiscal years beginning after December 15, 2024, and should be applied on a prospective basis. Retrospective application and early adoption were permitted. We are currently evaluating the impacts of the new standard.</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Reporting Comprehensive Income – Expense Disaggregation Disclosures</w:t>
      </w:r>
      <w:r>
        <w:rPr>
          <w:rFonts w:ascii="Times New Roman" w:cs="Times New Roman" w:eastAsia="Times New Roman" w:hAnsi="Times New Roman"/>
          <w:sz w:val="18"/>
          <w:szCs w:val="18"/>
          <w:color w:val="auto"/>
        </w:rPr>
        <w:t>, which requires additional qualitative and quantitative information about specific expense categories in the notes to financial statements for both interim and annual reporting periods. In January 2025, the FASB further clarified the effective date for interim reporting periods. This ASU is effective for fiscal years beginning after December 15, 2026 and interim periods within those fiscal years beginning after December 15, 2027, with early adoption permitted. We are currently evaluating the impacts of the new standard.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Earnings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 average number of common shares outstanding during the period. Diluted earnings per common and potential common share include the weighted average of additional shares associated with the incremental effect of dilutive restricted stock and restricted stock units.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basic and diluted weighted average shares used in the computation of earnings per share (in thousands, except per share data):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60" w:type="dxa"/>
            <w:vAlign w:val="bottom"/>
          </w:tcPr>
          <w:p>
            <w:pPr>
              <w:spacing w:after="0"/>
              <w:rPr>
                <w:sz w:val="16"/>
                <w:szCs w:val="16"/>
                <w:color w:val="auto"/>
              </w:rPr>
            </w:pPr>
          </w:p>
        </w:tc>
      </w:tr>
      <w:tr>
        <w:trPr>
          <w:trHeight w:val="23"/>
        </w:trPr>
        <w:tc>
          <w:tcPr>
            <w:tcW w:w="60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6"/>
        </w:trPr>
        <w:tc>
          <w:tcPr>
            <w:tcW w:w="60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60" w:type="dxa"/>
            <w:vAlign w:val="bottom"/>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0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tcBorders>
              <w:bottom w:val="single" w:sz="8" w:color="auto"/>
            </w:tcBorders>
          </w:tcPr>
          <w:p>
            <w:pPr>
              <w:jc w:val="right"/>
              <w:ind w:right="125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41,390</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34,763</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1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12,037</w:t>
            </w: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restricted stock and restricted stock units</w:t>
            </w:r>
          </w:p>
        </w:tc>
        <w:tc>
          <w:tcPr>
            <w:tcW w:w="1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1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12,152</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w:t>
            </w:r>
          </w:p>
        </w:tc>
        <w:tc>
          <w:tcPr>
            <w:tcW w:w="1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tcBorders>
              <w:bottom w:val="single" w:sz="8" w:color="auto"/>
            </w:tcBorders>
          </w:tcPr>
          <w:p>
            <w:pPr>
              <w:jc w:val="right"/>
              <w:ind w:right="125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8"/>
        </w:trPr>
        <w:tc>
          <w:tcPr>
            <w:tcW w:w="6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tcBorders>
              <w:bottom w:val="single" w:sz="8" w:color="auto"/>
            </w:tcBorders>
            <w:shd w:val="clear" w:color="auto" w:fill="CCEEFF"/>
          </w:tcPr>
          <w:p>
            <w:pPr>
              <w:jc w:val="right"/>
              <w:ind w:right="125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 w:name="page10"/>
    <w:bookmarkEnd w:id="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Detail of Selected Balance Sheet Accounts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are summarized below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3"/>
        </w:trPr>
        <w:tc>
          <w:tcPr>
            <w:tcW w:w="596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 parts and sub-assemblies</w:t>
            </w:r>
          </w:p>
        </w:tc>
        <w:tc>
          <w:tcPr>
            <w:tcW w:w="4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91,038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excess and obsolete inventories</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4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5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are summarized below (in thousands):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3"/>
        </w:trPr>
        <w:tc>
          <w:tcPr>
            <w:tcW w:w="59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24,510</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24,436</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133,759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100,412</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99,840</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3,284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4,041</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266,006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(154,174)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(151,848)</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111,832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111,049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assets under finance lease as of December 31, 2025 or September 30, 2025.</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Product Warranty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product warranty accrual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6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6"/>
        </w:trPr>
        <w:tc>
          <w:tcPr>
            <w:tcW w:w="60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60" w:type="dxa"/>
            <w:vAlign w:val="bottom"/>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060" w:type="dxa"/>
            <w:vAlign w:val="bottom"/>
            <w:tcBorders>
              <w:bottom w:val="single" w:sz="8" w:color="CFF0FC"/>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60" w:type="dxa"/>
            <w:vAlign w:val="bottom"/>
            <w:shd w:val="clear" w:color="auto" w:fill="CFF0FC"/>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5,822</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to warranty expense</w:t>
            </w:r>
          </w:p>
        </w:tc>
        <w:tc>
          <w:tcPr>
            <w:tcW w:w="1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30"/>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Deduction for warranty charges</w:t>
            </w:r>
          </w:p>
        </w:tc>
        <w:tc>
          <w:tcPr>
            <w:tcW w:w="14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30"/>
        </w:trPr>
        <w:tc>
          <w:tcPr>
            <w:tcW w:w="60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1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8"/>
        </w:trPr>
        <w:tc>
          <w:tcPr>
            <w:tcW w:w="6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60" w:type="dxa"/>
            <w:vAlign w:val="bottom"/>
            <w:tcBorders>
              <w:bottom w:val="single" w:sz="8" w:color="auto"/>
            </w:tcBorders>
            <w:shd w:val="clear" w:color="auto" w:fill="CFF0FC"/>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1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6,106</w:t>
            </w:r>
          </w:p>
        </w:tc>
      </w:tr>
      <w:tr>
        <w:trPr>
          <w:trHeight w:val="20"/>
        </w:trPr>
        <w:tc>
          <w:tcPr>
            <w:tcW w:w="606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custom-engineered modules or electrical houses (E-Houses). Some contracts may also include the installation and the commissioning of these enclosures.</w:t>
      </w:r>
    </w:p>
    <w:p>
      <w:pPr>
        <w:spacing w:after="0" w:line="1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 w:name="page11"/>
    <w:bookmarkEnd w:id="1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contracts to provide field service inspection, installation, commissioning, modification, and repair services,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that we have the right to invoice. Our performance obligations are satisfied as the work progresses. Revenues from our custom-engineered products and value-added services transferred to customers over time accounted for approximately 94% and 97% of revenues for the three months ended December 31, 2025 and December 31, 2024, respectively.</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6% and 3% of revenues for the three months ended December 31, 2025 and December 31, 2024, respectively.</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As of December 31, 2025, we had backlog of $1.6 billion, of which approximately $933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1" w:name="page12"/>
    <w:bookmarkEnd w:id="11"/>
    <w:p>
      <w:pPr>
        <w:spacing w:after="0" w:line="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December 31, 2025 and 2024, our operating results were positively impacted by $10.5 million and $2.4 million, respectively, as a result of net changes in contract estimates related to projects in progress at the beginning of the respective period. These changes in estimates resulted primarily from favorable project execution, reduced cost estimates and negotiations of variable consideration, discussed below, as well as revenue recognized from project cancellations and other changes in facts and circumstances during these periods. Gross unfavorable changes in contract estimates were immaterial for both the three months ended December 31,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Condensed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of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as of December 31, 2025 and September 30, 2025 are summarized below (in thousands):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7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rPr>
              <w:t>121,543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rPr>
              <w:t>136,679</w:t>
            </w:r>
          </w:p>
        </w:tc>
      </w:tr>
      <w:tr>
        <w:trPr>
          <w:trHeight w:val="229"/>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635"/>
              <w:spacing w:after="0"/>
              <w:rPr>
                <w:sz w:val="20"/>
                <w:szCs w:val="20"/>
                <w:color w:val="auto"/>
              </w:rPr>
            </w:pPr>
            <w:r>
              <w:rPr>
                <w:rFonts w:ascii="Times New Roman" w:cs="Times New Roman" w:eastAsia="Times New Roman" w:hAnsi="Times New Roman"/>
                <w:sz w:val="18"/>
                <w:szCs w:val="18"/>
                <w:color w:val="auto"/>
                <w:w w:val="99"/>
              </w:rPr>
              <w:t>(302,143)</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655"/>
              <w:spacing w:after="0"/>
              <w:rPr>
                <w:sz w:val="20"/>
                <w:szCs w:val="20"/>
                <w:color w:val="auto"/>
              </w:rPr>
            </w:pPr>
            <w:r>
              <w:rPr>
                <w:rFonts w:ascii="Times New Roman" w:cs="Times New Roman" w:eastAsia="Times New Roman" w:hAnsi="Times New Roman"/>
                <w:sz w:val="18"/>
                <w:szCs w:val="18"/>
                <w:color w:val="auto"/>
                <w:w w:val="99"/>
              </w:rPr>
              <w:t>(297,949)</w:t>
            </w: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9"/>
              </w:rPr>
              <w:t>(180,600)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w w:val="99"/>
              </w:rPr>
              <w:t>(161,270)</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contract billing position remained a net liability at both December 31, 2025 and September 30, 2025, primarily due to favorable contract billing milestones. We typically allocate a significant percentage of the progress billing to the early stages of the contract. To determine the amount of revenue recognized during the period from contract liabilities, we first allocate revenue to the individual contract liability balance outstanding at the beginning of the period until the revenue exceeds that balance. During the three months ended December 31, 2025, we recognized revenue of $120.3 million that was related to contract liabilities outstanding at September 30, 2025.</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timing of our invoice process is typically dependent on the completion of certain milestones and contract terms and is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allow customers to withhold a small percentage of billings pursuant to retainage provisions, and such amounts are generally due upon completion of the contract and acceptance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the project by the customer. Based on our experience in recent years, the majority of these retainage balances are expected to be collected within approximately twelve months. As of December 31, 2025 and September 30, 2025, we had retention amounts of $7.2 million and $8.1 million, respectively. Of the retained amount at December 31, 2025, $7.0 million is expected to be collected in the next twelve months and is recorded in accounts receivable. The remaining $0.2 million is recorded in other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disaggregated revenue by geographic destination and market sector for the three months ended December 31, 2025 and 2024 (in thousands):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6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60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6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194,878</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197,772</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31,694</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Middle East and Africa</w:t>
            </w:r>
          </w:p>
        </w:tc>
        <w:tc>
          <w:tcPr>
            <w:tcW w:w="1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2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1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48"/>
        </w:trPr>
        <w:tc>
          <w:tcPr>
            <w:tcW w:w="6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 by geographic destination</w:t>
            </w:r>
          </w:p>
        </w:tc>
        <w:tc>
          <w:tcPr>
            <w:tcW w:w="1460" w:type="dxa"/>
            <w:vAlign w:val="bottom"/>
            <w:tcBorders>
              <w:bottom w:val="single" w:sz="8" w:color="auto"/>
            </w:tcBorders>
            <w:shd w:val="clear" w:color="auto" w:fill="CCEEFF"/>
          </w:tcPr>
          <w:p>
            <w:pPr>
              <w:jc w:val="right"/>
              <w:ind w:right="12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251,184</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241,431</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598"/>
        </w:trPr>
        <w:tc>
          <w:tcPr>
            <w:tcW w:w="6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60" w:type="dxa"/>
            <w:vAlign w:val="bottom"/>
          </w:tcPr>
          <w:p>
            <w:pPr>
              <w:spacing w:after="0"/>
              <w:rPr>
                <w:sz w:val="24"/>
                <w:szCs w:val="24"/>
                <w:color w:val="auto"/>
              </w:rPr>
            </w:pPr>
          </w:p>
        </w:tc>
      </w:tr>
      <w:tr>
        <w:trPr>
          <w:trHeight w:val="23"/>
        </w:trPr>
        <w:tc>
          <w:tcPr>
            <w:tcW w:w="60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60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gas (excludes petrochemical)</w:t>
            </w:r>
          </w:p>
        </w:tc>
        <w:tc>
          <w:tcPr>
            <w:tcW w:w="146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97,889</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95,679</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utility</w:t>
            </w:r>
          </w:p>
        </w:tc>
        <w:tc>
          <w:tcPr>
            <w:tcW w:w="1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69,273</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51,240</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other industrial</w:t>
            </w:r>
          </w:p>
        </w:tc>
        <w:tc>
          <w:tcPr>
            <w:tcW w:w="1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40,625</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44,300</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1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22,778</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33,183</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Light rail traction power</w:t>
            </w:r>
          </w:p>
        </w:tc>
        <w:tc>
          <w:tcPr>
            <w:tcW w:w="1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w:t>
            </w:r>
          </w:p>
        </w:tc>
      </w:tr>
      <w:tr>
        <w:trPr>
          <w:trHeight w:val="22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1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8,801</w:t>
            </w:r>
          </w:p>
        </w:tc>
      </w:tr>
      <w:tr>
        <w:trPr>
          <w:trHeight w:val="248"/>
        </w:trPr>
        <w:tc>
          <w:tcPr>
            <w:tcW w:w="6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 by market sector</w:t>
            </w:r>
          </w:p>
        </w:tc>
        <w:tc>
          <w:tcPr>
            <w:tcW w:w="1460" w:type="dxa"/>
            <w:vAlign w:val="bottom"/>
            <w:tcBorders>
              <w:bottom w:val="single" w:sz="8" w:color="auto"/>
            </w:tcBorders>
            <w:shd w:val="clear" w:color="auto" w:fill="CCEEFF"/>
          </w:tcPr>
          <w:p>
            <w:pPr>
              <w:jc w:val="right"/>
              <w:ind w:right="12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251,184</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241,431</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E. Goodwill and Other Intangible Assets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intangible assets include goodwill of $6.1 million, which is not being amortized, and other intangible assets of $5.9 million being amortized over their estimated useful lives. No impairment expense has been recorded for the last three fiscal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 xml:space="preserve">The changes in the carrying amount of goodwill for the three months ended December 31, 2025 </w:t>
      </w:r>
      <w:r>
        <w:rPr>
          <w:rFonts w:ascii="Arial" w:cs="Arial" w:eastAsia="Arial" w:hAnsi="Arial"/>
          <w:sz w:val="14"/>
          <w:szCs w:val="14"/>
          <w:color w:val="auto"/>
        </w:rPr>
        <w:t>for</w:t>
      </w:r>
      <w:r>
        <w:rPr>
          <w:rFonts w:ascii="Times New Roman" w:cs="Times New Roman" w:eastAsia="Times New Roman" w:hAnsi="Times New Roman"/>
          <w:sz w:val="18"/>
          <w:szCs w:val="18"/>
          <w:color w:val="auto"/>
        </w:rPr>
        <w:t xml:space="preserve"> our single reporting segment are as follows (in thousands):</w:t>
      </w:r>
    </w:p>
    <w:tbl>
      <w:tblPr>
        <w:tblLayout w:type="fixed"/>
        <w:tblInd w:w="40" w:type="dxa"/>
        <w:tblCellMar>
          <w:top w:w="0" w:type="dxa"/>
          <w:left w:w="0" w:type="dxa"/>
          <w:bottom w:w="0" w:type="dxa"/>
          <w:right w:w="0" w:type="dxa"/>
        </w:tblCellMar>
      </w:tblPr>
      <w:tr>
        <w:trPr>
          <w:trHeight w:val="190"/>
        </w:trPr>
        <w:tc>
          <w:tcPr>
            <w:tcW w:w="9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9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balances, subject to amortization, at December 31, 2025 and September 30, 2025 consisted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6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80" w:type="dxa"/>
            <w:vAlign w:val="bottom"/>
          </w:tcPr>
          <w:p>
            <w:pPr>
              <w:spacing w:after="0"/>
              <w:rPr>
                <w:sz w:val="11"/>
                <w:szCs w:val="11"/>
                <w:color w:val="auto"/>
              </w:rPr>
            </w:pPr>
          </w:p>
        </w:tc>
        <w:tc>
          <w:tcPr>
            <w:tcW w:w="172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340" w:type="dxa"/>
            <w:vAlign w:val="bottom"/>
          </w:tcPr>
          <w:p>
            <w:pPr>
              <w:spacing w:after="0"/>
              <w:rPr>
                <w:sz w:val="11"/>
                <w:szCs w:val="11"/>
                <w:color w:val="auto"/>
              </w:rPr>
            </w:pPr>
          </w:p>
        </w:tc>
        <w:tc>
          <w:tcPr>
            <w:tcW w:w="1420" w:type="dxa"/>
            <w:vAlign w:val="bottom"/>
            <w:gridSpan w:val="2"/>
          </w:tcPr>
          <w:p>
            <w:pPr>
              <w:jc w:val="center"/>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1"/>
                <w:szCs w:val="11"/>
                <w:color w:val="auto"/>
              </w:rPr>
            </w:pPr>
          </w:p>
        </w:tc>
        <w:tc>
          <w:tcPr>
            <w:tcW w:w="1320" w:type="dxa"/>
            <w:vAlign w:val="bottom"/>
          </w:tcPr>
          <w:p>
            <w:pPr>
              <w:jc w:val="center"/>
              <w:ind w:right="217"/>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Useful Lives</w:t>
            </w:r>
          </w:p>
        </w:tc>
        <w:tc>
          <w:tcPr>
            <w:tcW w:w="34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340" w:type="dxa"/>
            <w:vAlign w:val="bottom"/>
          </w:tcPr>
          <w:p>
            <w:pPr>
              <w:spacing w:after="0"/>
              <w:rPr>
                <w:sz w:val="17"/>
                <w:szCs w:val="17"/>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7"/>
                <w:szCs w:val="17"/>
                <w:color w:val="auto"/>
              </w:rPr>
            </w:pPr>
          </w:p>
        </w:tc>
        <w:tc>
          <w:tcPr>
            <w:tcW w:w="132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9"/>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Technologies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1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80" w:type="dxa"/>
            <w:vAlign w:val="bottom"/>
          </w:tcPr>
          <w:p>
            <w:pPr>
              <w:spacing w:after="0"/>
              <w:rPr>
                <w:sz w:val="11"/>
                <w:szCs w:val="11"/>
                <w:color w:val="auto"/>
              </w:rPr>
            </w:pPr>
          </w:p>
        </w:tc>
        <w:tc>
          <w:tcPr>
            <w:tcW w:w="172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340" w:type="dxa"/>
            <w:vAlign w:val="bottom"/>
          </w:tcPr>
          <w:p>
            <w:pPr>
              <w:spacing w:after="0"/>
              <w:rPr>
                <w:sz w:val="11"/>
                <w:szCs w:val="11"/>
                <w:color w:val="auto"/>
              </w:rPr>
            </w:pPr>
          </w:p>
        </w:tc>
        <w:tc>
          <w:tcPr>
            <w:tcW w:w="1420" w:type="dxa"/>
            <w:vAlign w:val="bottom"/>
            <w:gridSpan w:val="2"/>
          </w:tcPr>
          <w:p>
            <w:pPr>
              <w:jc w:val="center"/>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1"/>
                <w:szCs w:val="11"/>
                <w:color w:val="auto"/>
              </w:rPr>
            </w:pPr>
          </w:p>
        </w:tc>
        <w:tc>
          <w:tcPr>
            <w:tcW w:w="1320" w:type="dxa"/>
            <w:vAlign w:val="bottom"/>
          </w:tcPr>
          <w:p>
            <w:pPr>
              <w:jc w:val="center"/>
              <w:ind w:right="217"/>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Useful Lives</w:t>
            </w:r>
          </w:p>
        </w:tc>
        <w:tc>
          <w:tcPr>
            <w:tcW w:w="34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340" w:type="dxa"/>
            <w:vAlign w:val="bottom"/>
          </w:tcPr>
          <w:p>
            <w:pPr>
              <w:spacing w:after="0"/>
              <w:rPr>
                <w:sz w:val="17"/>
                <w:szCs w:val="17"/>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7"/>
                <w:szCs w:val="17"/>
                <w:color w:val="auto"/>
              </w:rPr>
            </w:pPr>
          </w:p>
        </w:tc>
        <w:tc>
          <w:tcPr>
            <w:tcW w:w="132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9"/>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Technologies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1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additional technology intangible asset of $0.5 million associated with an intellectual property acquired in December 2023 which has not yet been subject to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 w:name="page15"/>
    <w:bookmarkEnd w:id="14"/>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2025, the estimated future amortization expense of intangible assets is as follows (in thousands):</w:t>
            </w: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621"/>
        </w:trPr>
        <w:tc>
          <w:tcPr>
            <w:tcW w:w="9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29"/>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30"/>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48"/>
        </w:trPr>
        <w:tc>
          <w:tcPr>
            <w:tcW w:w="9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Long-Term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credit agreement with Bank of America, N.A. and Texas Capital Bank with an aggregate commitment of $150.0 million, consisting of $100.0 million committed by Bank of America and $50.0 million committed by Texas Capital Bank (the U.S. Revolver). The U.S. Revolver has an expiration date of October 4, 2028.</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no amounts borrowed under the U.S. Revolver, and letters of credit outstanding were $65.1 million. There was $84.9 million available for the issuance of letters of credit and borrowings under the U.S. Revolver as of December 31,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were in compliance with all of the financial covenants of the U.S. Revolver.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Bank Guarantees and Bonds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$65.1 million as of December 31, 2025. We also had surety bonds totaling $433.8 million that were outstanding, with additional bonding capacity of $766.2 million available, at December 31, 2025. We have strong surety relationships; however, a change in market conditions or the sureties’ assessment of our financial position could cause the sureties to require cash collateralization for undischarged liabilities under the bonds.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$20.2 million facility agreement (Facility Agreement) between Powell (UK) Limited and a large international bank that provides Powell (UK) Limited the ability to enter into bank guarantees as well as forward exchange contracts and currency options. At December 31, 2025, we had outstanding guarantees totaling $7.6 million, with an additional capacity of $12.6 million available under this Facility Agreement. The Facility Agreement provides for customary events of default and carries cross-default provisions with the U.S. Revolver.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December 31, 2025, we were in compliance with all of the financial covenants of the Facility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Liquidated Damages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December 31, 2025, certain contracts had a probable exposure to liquidated damages claims of $4.0 million, which could possibly increase to $4.5 million under certain circumstances. Based on our actual or projected failure to meet these various contractual commitments, $3.1 million has been recorded as a reduction to revenue. We will attempt to obtain change orders, contract extensions or accelerate project completion, which may resolve the potential for any unrecorded liquidated damages claims. Should we fail to achieve relief on some or all of these contractual obligations, we could be required to pay additional liquidated damages, which could negatively impact our future operating results.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our Annual Report on Form 10-K for the fiscal year ended September 30, 2025 for a full description of our existing stock-based compensation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issue restricted stock units (RSUs) to certain officers and key employees of the Company. The fair value of the RSUs is based on the price of our common stock as reported on the NASDAQ Global Market during a specified period prior to the grant dates. Typically, these grants vest over a three-year period from the date of issuance and are a blend of time-based and performance-based shares. The portion of the grant that is time-based typically vests over a three-year period on each anniversary of the grant date, based on continued employment. The performance-based shares vest based on the three-year revenue growth, earnings and safety performance of the Company following the grant date. At December 31, 2025, there were 54,504 RSUs outstanding. The RSUs do not have voting rights but do receive dividend equivalents upon vesting, which are accrued quarterly. Additionally, the shares of common stock underlying the RSUs are not considered issued and outstanding until vested and common stock is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RSU activity (number of shares) for the three months ended December 31, 2025 is summarized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7"/>
        </w:trPr>
        <w:tc>
          <w:tcPr>
            <w:tcW w:w="826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1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8"/>
        </w:trPr>
        <w:tc>
          <w:tcPr>
            <w:tcW w:w="82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Grant Value</w:t>
            </w:r>
          </w:p>
        </w:tc>
      </w:tr>
      <w:tr>
        <w:trPr>
          <w:trHeight w:val="190"/>
        </w:trPr>
        <w:tc>
          <w:tcPr>
            <w:tcW w:w="82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826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116,886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64.79</w:t>
            </w: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287.28</w:t>
            </w:r>
          </w:p>
        </w:tc>
      </w:tr>
      <w:tr>
        <w:trPr>
          <w:trHeight w:val="230"/>
        </w:trPr>
        <w:tc>
          <w:tcPr>
            <w:tcW w:w="8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(77,877)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w:t>
            </w:r>
          </w:p>
        </w:tc>
      </w:tr>
      <w:tr>
        <w:trPr>
          <w:trHeight w:val="230"/>
        </w:trPr>
        <w:tc>
          <w:tcPr>
            <w:tcW w:w="82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Forfeited/canceled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54,504</w:t>
            </w:r>
          </w:p>
        </w:tc>
        <w:tc>
          <w:tcPr>
            <w:tcW w:w="3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173.93</w:t>
            </w:r>
          </w:p>
        </w:tc>
      </w:tr>
      <w:tr>
        <w:trPr>
          <w:trHeight w:val="20"/>
        </w:trPr>
        <w:tc>
          <w:tcPr>
            <w:tcW w:w="8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and 2024, we recorded compensation expense of $1.4 million and $1.3 million, respectively, related to the RSUs.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year, every non-employee director receives restricted shares of the Company’s common stock with a grant-date value of $0.1 million. The number of granted shares is calculated by dividing the $0.1 million by the average of high and low prices of our common stock on the grant date. The shares shall vest on the earlier of the grant anniversary date or the date of the next annual meeting of stockholders, whichever occurs first. During both the three months ended December 31, 2025 and 2024, we recorded compensation expense of $0.2 million related to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data and require the reporting entity to develop its own assumptions.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December 31, 2025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1"/>
                <w:szCs w:val="11"/>
                <w:color w:val="auto"/>
              </w:rPr>
            </w:pPr>
          </w:p>
        </w:tc>
        <w:tc>
          <w:tcPr>
            <w:tcW w:w="1760" w:type="dxa"/>
            <w:vAlign w:val="bottom"/>
            <w:gridSpan w:val="3"/>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680" w:type="dxa"/>
            <w:vAlign w:val="bottom"/>
            <w:gridSpan w:val="3"/>
          </w:tcPr>
          <w:p>
            <w:pPr>
              <w:jc w:val="center"/>
              <w:ind w:right="58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4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76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8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1760" w:type="dxa"/>
            <w:vAlign w:val="bottom"/>
            <w:gridSpan w:val="3"/>
          </w:tcPr>
          <w:p>
            <w:pPr>
              <w:jc w:val="center"/>
              <w:ind w:right="52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80" w:type="dxa"/>
            <w:vAlign w:val="bottom"/>
            <w:gridSpan w:val="3"/>
          </w:tcPr>
          <w:p>
            <w:pPr>
              <w:jc w:val="center"/>
              <w:ind w:right="60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7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490,631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Rabbi trust assets</w:t>
            </w: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15,394</w:t>
            </w: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Contingent future payments related to the acquisition of</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Remsdaq</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7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2025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2025</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680" w:type="dxa"/>
            <w:vAlign w:val="bottom"/>
            <w:gridSpan w:val="3"/>
          </w:tcPr>
          <w:p>
            <w:pPr>
              <w:jc w:val="center"/>
              <w:ind w:right="54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6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7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80" w:type="dxa"/>
            <w:vAlign w:val="bottom"/>
            <w:gridSpan w:val="3"/>
          </w:tcPr>
          <w:p>
            <w:pPr>
              <w:jc w:val="center"/>
              <w:ind w:right="5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6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7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450,739</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Rabbi trust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Contingent future payments related to the acquisition of</w:t>
            </w: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Remsdaq</w:t>
            </w:r>
          </w:p>
        </w:tc>
        <w:tc>
          <w:tcPr>
            <w:tcW w:w="1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17" w:name="page18"/>
    <w:bookmarkEnd w:id="17"/>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Condensed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Rabbi trust assets and deferred compensation </w:t>
      </w:r>
      <w:r>
        <w:rPr>
          <w:rFonts w:ascii="Times New Roman" w:cs="Times New Roman" w:eastAsia="Times New Roman" w:hAnsi="Times New Roman"/>
          <w:sz w:val="18"/>
          <w:szCs w:val="18"/>
          <w:color w:val="auto"/>
        </w:rPr>
        <w:t>– We hold investments in an irrevocable rabbi trust for our deferred compensation plan. The assets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82" w:lineRule="exact"/>
        <w:rPr>
          <w:sz w:val="20"/>
          <w:szCs w:val="20"/>
          <w:color w:val="auto"/>
        </w:rPr>
      </w:pPr>
    </w:p>
    <w:p>
      <w:pPr>
        <w:ind w:right="2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Contingent future payments related to the acquisition of Remsdaq </w:t>
      </w:r>
      <w:r>
        <w:rPr>
          <w:rFonts w:ascii="Times New Roman" w:cs="Times New Roman" w:eastAsia="Times New Roman" w:hAnsi="Times New Roman"/>
          <w:sz w:val="18"/>
          <w:szCs w:val="18"/>
          <w:color w:val="auto"/>
        </w:rPr>
        <w:t>– The contingent future payments were calculated using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probability outcome model based on internally developed assumptions; accordingly, they are categorized as Level 3 in the fair value measurement hierarchy.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within the fair value measurement hierarchy during the quarter ended December 31, 2025.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Leases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leases consist primarily of office and warehouse space and construction equipment. All of our future lease obligations are related to non-cancelable operating leases. The following table provides a summary of lease cost components for the three months ended December 31, 2025 and 2024, respectively (in thousands):</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0" w:type="dxa"/>
            <w:vAlign w:val="bottom"/>
            <w:gridSpan w:val="4"/>
          </w:tcPr>
          <w:p>
            <w:pPr>
              <w:jc w:val="right"/>
              <w:ind w:right="1094"/>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6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8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0"/>
        </w:trPr>
        <w:tc>
          <w:tcPr>
            <w:tcW w:w="66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(2)</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23"/>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represents common area maintenance charges related to our Canadian office space lease.</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Short-term lease cost includes leases and rentals with initial terms of one year or less.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Condensed Consolidated Balance Sheets. The following table provides a summary of the operating lease assets and operating lease liabilities included in our Condensed Consolidated Balance Sheets as of December 31, 2025 and September 30, 2025, respectively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40" w:type="dxa"/>
            <w:vAlign w:val="bottom"/>
          </w:tcPr>
          <w:p>
            <w:pPr>
              <w:spacing w:after="0"/>
              <w:rPr>
                <w:sz w:val="20"/>
                <w:szCs w:val="20"/>
                <w:color w:val="auto"/>
              </w:rPr>
            </w:pPr>
          </w:p>
        </w:tc>
        <w:tc>
          <w:tcPr>
            <w:tcW w:w="1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r>
      <w:tr>
        <w:trPr>
          <w:trHeight w:val="223"/>
        </w:trPr>
        <w:tc>
          <w:tcPr>
            <w:tcW w:w="64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29"/>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0" w:type="dxa"/>
            <w:vAlign w:val="bottom"/>
          </w:tcPr>
          <w:p>
            <w:pPr>
              <w:spacing w:after="0"/>
              <w:rPr>
                <w:sz w:val="19"/>
                <w:szCs w:val="19"/>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4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9"/>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0" w:type="dxa"/>
            <w:vAlign w:val="bottom"/>
          </w:tcPr>
          <w:p>
            <w:pPr>
              <w:spacing w:after="0"/>
              <w:rPr>
                <w:sz w:val="19"/>
                <w:szCs w:val="19"/>
                <w:color w:val="auto"/>
              </w:rPr>
            </w:pPr>
          </w:p>
        </w:tc>
      </w:tr>
      <w:tr>
        <w:trPr>
          <w:trHeight w:val="229"/>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0" w:type="dxa"/>
            <w:vAlign w:val="bottom"/>
            <w:tcBorders>
              <w:bottom w:val="single" w:sz="8" w:color="auto"/>
            </w:tcBorders>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33"/>
        </w:trPr>
        <w:tc>
          <w:tcPr>
            <w:tcW w:w="8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provides the maturities of our operating lease liabilities as of December 31, 2025 (in thousands):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r>
      <w:tr>
        <w:trPr>
          <w:trHeight w:val="223"/>
        </w:trPr>
        <w:tc>
          <w:tcPr>
            <w:tcW w:w="40" w:type="dxa"/>
            <w:vAlign w:val="bottom"/>
          </w:tcPr>
          <w:p>
            <w:pPr>
              <w:spacing w:after="0"/>
              <w:rPr>
                <w:sz w:val="19"/>
                <w:szCs w:val="19"/>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24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present value discount (imputed interest)</w:t>
            </w:r>
          </w:p>
        </w:tc>
        <w:tc>
          <w:tcPr>
            <w:tcW w:w="24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discount rate as of December 31, 2025 and 2024 were 7.15% and 6.13%, respectively. The weighted average remaining lease term was 1.92 years and 2.46 years, respectively, at December 31, 2025 and 2024.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Segment Information</w:t>
      </w:r>
    </w:p>
    <w:p>
      <w:pPr>
        <w:spacing w:after="0" w:line="256" w:lineRule="exact"/>
        <w:rPr>
          <w:sz w:val="20"/>
          <w:szCs w:val="20"/>
          <w:color w:val="auto"/>
        </w:rPr>
      </w:pPr>
    </w:p>
    <w:p>
      <w:pPr>
        <w:jc w:val="both"/>
        <w:ind w:right="2140"/>
        <w:spacing w:after="0" w:line="266" w:lineRule="auto"/>
        <w:rPr>
          <w:sz w:val="20"/>
          <w:szCs w:val="20"/>
          <w:color w:val="auto"/>
        </w:rPr>
      </w:pPr>
      <w:r>
        <w:rPr>
          <w:rFonts w:ascii="Times New Roman" w:cs="Times New Roman" w:eastAsia="Times New Roman" w:hAnsi="Times New Roman"/>
          <w:sz w:val="18"/>
          <w:szCs w:val="18"/>
          <w:color w:val="auto"/>
        </w:rPr>
        <w:t>We manage our business as one reportable operating segment and our revenues are primarily generated from the development, design, manufacturing and servicing of custom-engineered equipment and systems for the distribution, control and monitoring of electrical energy.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chief operating decision maker (“CODM”) is our chief executive officer. The CODM manages and allocates resources on a</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total consolidated basis by assessing performance of revenues and earnings before interest and taxes (“EBIT”) using actual-to-actual, actual-to-plan and actual-to-forecast variance analysis. The measure of segment profit and loss regularly provided to the</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CODM that is most consistent with GAAP is consolidated net income, as presented in our Consolidated Statements of Operations. The CODM does not manage cost components by product, customer type or service type, nor does the CODM regularly receive disaggregated information at this level.</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9" w:name="page20"/>
    <w:bookmarkEnd w:id="19"/>
    <w:p>
      <w:pPr>
        <w:spacing w:after="0" w:line="270" w:lineRule="auto"/>
        <w:rPr>
          <w:sz w:val="20"/>
          <w:szCs w:val="20"/>
          <w:color w:val="auto"/>
        </w:rPr>
      </w:pPr>
      <w:r>
        <w:rPr>
          <w:rFonts w:ascii="Times New Roman" w:cs="Times New Roman" w:eastAsia="Times New Roman" w:hAnsi="Times New Roman"/>
          <w:sz w:val="18"/>
          <w:szCs w:val="18"/>
          <w:color w:val="auto"/>
        </w:rPr>
        <w:t>For the three months ended December 31, 2025 and 2024, the summary of segment net income, including segment expenses, for our single reportable segment were as follows (in thousands):</w:t>
      </w: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800" w:type="dxa"/>
            <w:vAlign w:val="bottom"/>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6"/>
        </w:trPr>
        <w:tc>
          <w:tcPr>
            <w:tcW w:w="6640" w:type="dxa"/>
            <w:vAlign w:val="bottom"/>
          </w:tcPr>
          <w:p>
            <w:pPr>
              <w:spacing w:after="0"/>
              <w:rPr>
                <w:sz w:val="16"/>
                <w:szCs w:val="16"/>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251,184</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241,431</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179,766</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181,907</w:t>
            </w:r>
          </w:p>
        </w:tc>
      </w:tr>
      <w:tr>
        <w:trPr>
          <w:trHeight w:val="22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17,292</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14,851</w:t>
            </w:r>
          </w:p>
        </w:tc>
      </w:tr>
      <w:tr>
        <w:trPr>
          <w:trHeight w:val="23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w:t>
            </w:r>
          </w:p>
        </w:tc>
      </w:tr>
      <w:tr>
        <w:trPr>
          <w:trHeight w:val="22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r>
      <w:tr>
        <w:trPr>
          <w:trHeight w:val="230"/>
        </w:trPr>
        <w:tc>
          <w:tcPr>
            <w:tcW w:w="66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 expense (income)</w:t>
            </w:r>
            <w:r>
              <w:rPr>
                <w:rFonts w:ascii="Times New Roman" w:cs="Times New Roman" w:eastAsia="Times New Roman" w:hAnsi="Times New Roman"/>
                <w:sz w:val="23"/>
                <w:szCs w:val="23"/>
                <w:color w:val="auto"/>
                <w:vertAlign w:val="superscript"/>
              </w:rPr>
              <w:t>(1)</w:t>
            </w: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66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208,413</w:t>
            </w:r>
          </w:p>
        </w:tc>
        <w:tc>
          <w:tcPr>
            <w:tcW w:w="2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205,859</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 EBIT</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42,771</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35,572</w:t>
            </w:r>
          </w:p>
        </w:tc>
      </w:tr>
      <w:tr>
        <w:trPr>
          <w:trHeight w:val="22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r>
      <w:tr>
        <w:trPr>
          <w:trHeight w:val="22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2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income</w:t>
            </w:r>
          </w:p>
        </w:tc>
        <w:tc>
          <w:tcPr>
            <w:tcW w:w="1400" w:type="dxa"/>
            <w:vAlign w:val="bottom"/>
            <w:tcBorders>
              <w:bottom w:val="single" w:sz="8" w:color="auto"/>
            </w:tcBorders>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41,390</w:t>
            </w:r>
          </w:p>
        </w:tc>
        <w:tc>
          <w:tcPr>
            <w:tcW w:w="220" w:type="dxa"/>
            <w:vAlign w:val="bottom"/>
          </w:tcPr>
          <w:p>
            <w:pPr>
              <w:spacing w:after="0"/>
              <w:rPr>
                <w:sz w:val="19"/>
                <w:szCs w:val="19"/>
                <w:color w:val="auto"/>
              </w:rPr>
            </w:pPr>
          </w:p>
        </w:tc>
        <w:tc>
          <w:tcPr>
            <w:tcW w:w="138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34,763</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3"/>
        </w:trPr>
        <w:tc>
          <w:tcPr>
            <w:tcW w:w="66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71,418</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59,524</w:t>
            </w:r>
          </w:p>
        </w:tc>
      </w:tr>
    </w:tbl>
    <w:p>
      <w:pPr>
        <w:spacing w:after="0" w:line="80" w:lineRule="exact"/>
        <w:rPr>
          <w:sz w:val="20"/>
          <w:szCs w:val="20"/>
          <w:color w:val="auto"/>
        </w:rPr>
      </w:pPr>
    </w:p>
    <w:p>
      <w:pPr>
        <w:ind w:left="200" w:hanging="174"/>
        <w:spacing w:after="0"/>
        <w:tabs>
          <w:tab w:leader="none" w:pos="20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expense includes realized currency loss (gain) of $0.1 million and $(0.1) million, respectively.</w:t>
      </w:r>
    </w:p>
    <w:p>
      <w:pPr>
        <w:spacing w:after="0" w:line="200" w:lineRule="exact"/>
        <w:rPr>
          <w:sz w:val="20"/>
          <w:szCs w:val="20"/>
          <w:color w:val="auto"/>
        </w:rPr>
      </w:pPr>
    </w:p>
    <w:p>
      <w:pPr>
        <w:spacing w:after="0" w:line="3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Revenues by country represent sales to unaffiliated customers as determined by the ultimate destination of our products and services, summarized for the three months ended December 31, 2025 and 2024 (in thousands):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6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60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6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194,878</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197,772</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31,694</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Middle East and Africa</w:t>
            </w:r>
          </w:p>
        </w:tc>
        <w:tc>
          <w:tcPr>
            <w:tcW w:w="1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1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48"/>
        </w:trPr>
        <w:tc>
          <w:tcPr>
            <w:tcW w:w="6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460" w:type="dxa"/>
            <w:vAlign w:val="bottom"/>
            <w:tcBorders>
              <w:bottom w:val="single" w:sz="8" w:color="auto"/>
            </w:tcBorders>
            <w:shd w:val="clear" w:color="auto" w:fill="CCEEFF"/>
          </w:tcPr>
          <w:p>
            <w:pPr>
              <w:jc w:val="right"/>
              <w:ind w:right="12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251,184</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241,431</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Long-lived assets by country consist of property, plant and equipment, net of accumulated depreciation and are determined based on the location of the tangible assets, summarized below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6"/>
                <w:szCs w:val="16"/>
                <w:color w:val="auto"/>
              </w:rPr>
            </w:pPr>
          </w:p>
        </w:tc>
        <w:tc>
          <w:tcPr>
            <w:tcW w:w="18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71,437</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70,699</w:t>
            </w: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32,744</w:t>
            </w:r>
          </w:p>
        </w:tc>
      </w:tr>
      <w:tr>
        <w:trPr>
          <w:trHeight w:val="230"/>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7,606</w:t>
            </w:r>
          </w:p>
        </w:tc>
      </w:tr>
      <w:tr>
        <w:trPr>
          <w:trHeight w:val="248"/>
        </w:trPr>
        <w:tc>
          <w:tcPr>
            <w:tcW w:w="6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111,049</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L.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the effective tax rate is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Pr>
          <w:p>
            <w:pPr>
              <w:spacing w:after="0"/>
              <w:rPr>
                <w:sz w:val="17"/>
                <w:szCs w:val="17"/>
                <w:color w:val="auto"/>
              </w:rPr>
            </w:pPr>
          </w:p>
        </w:tc>
        <w:tc>
          <w:tcPr>
            <w:tcW w:w="394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 December 31,</w:t>
            </w:r>
          </w:p>
        </w:tc>
        <w:tc>
          <w:tcPr>
            <w:tcW w:w="860" w:type="dxa"/>
            <w:vAlign w:val="bottom"/>
            <w:tcBorders>
              <w:bottom w:val="single" w:sz="8" w:color="auto"/>
            </w:tcBorders>
          </w:tcPr>
          <w:p>
            <w:pPr>
              <w:spacing w:after="0"/>
              <w:rPr>
                <w:sz w:val="17"/>
                <w:szCs w:val="17"/>
                <w:color w:val="auto"/>
              </w:rPr>
            </w:pPr>
          </w:p>
        </w:tc>
      </w:tr>
      <w:tr>
        <w:trPr>
          <w:trHeight w:val="187"/>
        </w:trPr>
        <w:tc>
          <w:tcPr>
            <w:tcW w:w="6440" w:type="dxa"/>
            <w:vAlign w:val="bottom"/>
          </w:tcPr>
          <w:p>
            <w:pPr>
              <w:spacing w:after="0"/>
              <w:rPr>
                <w:sz w:val="16"/>
                <w:szCs w:val="16"/>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Pr>
          <w:p>
            <w:pPr>
              <w:spacing w:after="0"/>
              <w:rPr>
                <w:sz w:val="16"/>
                <w:szCs w:val="16"/>
                <w:color w:val="auto"/>
              </w:rPr>
            </w:pPr>
          </w:p>
        </w:tc>
      </w:tr>
      <w:tr>
        <w:trPr>
          <w:trHeight w:val="23"/>
        </w:trPr>
        <w:tc>
          <w:tcPr>
            <w:tcW w:w="64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4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47,036</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39,437</w:t>
            </w:r>
          </w:p>
        </w:tc>
      </w:tr>
      <w:tr>
        <w:trPr>
          <w:trHeight w:val="216"/>
        </w:trPr>
        <w:tc>
          <w:tcPr>
            <w:tcW w:w="6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5,646</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4,674</w:t>
            </w:r>
          </w:p>
        </w:tc>
      </w:tr>
      <w:tr>
        <w:trPr>
          <w:trHeight w:val="162"/>
        </w:trPr>
        <w:tc>
          <w:tcPr>
            <w:tcW w:w="644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41,390</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34,763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2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income tax provision reflects an effective tax rate on pre-tax income of 12% for both the three months ended December 31, 2025 and 2024. The effective tax rates for the first quarters of Fiscal 2026 and Fiscal 2025 were favorably impacted by discrete items related to the vesting of RSUs and the estimated Research and Development (R&amp;D) Tax Credit, which were partially offset by the tax expense related to certain nondeductible items.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Dividend Declared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3, 2026, our Board of Directors approved an increase to the quarterly cash dividend on our common stock to $0.27 per share, equating to an annualized dividend of $1.08 per share from the current amount of $1.07 per share. The dividend is payable on March 18, 2026 to shareholders of record at the close of business on February 18, 2026.</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references to “we,” “us,” “our,” “Powell” or “the Company” include Powell Industries, Inc. and its consolidated subsidiaries.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(the Exchange Act). All statements, other than statements of historical fact, included in this report are forward-looking statements. Such forward-looking statements include, but are not limited to, projections and estimates of the timing and success of specific projects and our future backlog, revenues, income, acquisitions, liquidity and capital expenditures, the effect of tariffs, as well as other statements that are not historical facts contained in or incorporated by reference into this report. Statements that contain words such as “believes,” “expects,” “anticipates,” “intends,” “estimates,” “continue,” “should,” “could,” “may,” “plan,” “project,” “predict,” “potential,” “possible,” “would,” “outlook,” “will” or similar expressions are forward-looking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report. We disclaim any obligation to update or revise these statements unless required by applicable law, whether as a result of new information, future events or otherwise. We caution you not to unduly rely on them. We have based these forward-looking statements on expectations and assumptions of management at the time the statements were made. While our management considers these expectations and assumptions to be reasonable, they are inherently subject to significant business, economic, competitive, regulatory and other risks, contingencies and uncertainties that could cause actual results to differ materially from those included in this report, most of which are difficult to predict and many of which are beyond our control. These risks, contingencies and uncertainties include, but are not limited to, the potential failure to adequately predict costs (including in connection with our fixed-price contracts) and prevent cost overruns, including the impacts of inflation, the effect of tariffs, potentially disruptive or unanticipated changes in suppliers, the availability of cash on hand and other sources of liquidity to fund our operating expenses and capital expenditures, the impacts of future legislative and regulatory initiatives, the potential effects of ongoing military disputes, electronic, cyber or physical security breaches, and other factors detailed herein and in our other SEC filings. Additional important risks, uncertainties and other factors are detailed below.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Business and Industry</w:t>
      </w:r>
    </w:p>
    <w:p>
      <w:pPr>
        <w:spacing w:after="0" w:line="121" w:lineRule="exact"/>
        <w:rPr>
          <w:sz w:val="20"/>
          <w:szCs w:val="20"/>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cyclical nature of the end markets that we serve. This cyclicality has had, and may continue to have, an adverse effect on our operating results.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is subject to unexpected adjustments, cancellations and scope reductions and, therefore, may not be a reliable indicator of our future earnings.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place competitive bids and adequately project future costs may result in losses on our fixed-price contracts with customers.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concentration and limited supplier capacity may adversely impact our business and results of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requires skilled and unskilled labor, and we may be unable to attract and retain qualified employees.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recognized over time from our fixed-price contracts could result in volatility in our results of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relating to the use of subcontractors.</w:t>
      </w:r>
    </w:p>
    <w:p>
      <w:pPr>
        <w:spacing w:after="0" w:line="117" w:lineRule="exact"/>
        <w:rPr>
          <w:rFonts w:ascii="Times New Roman" w:cs="Times New Roman" w:eastAsia="Times New Roman" w:hAnsi="Times New Roman"/>
          <w:sz w:val="18"/>
          <w:szCs w:val="18"/>
          <w:color w:val="auto"/>
        </w:rPr>
      </w:pPr>
    </w:p>
    <w:p>
      <w:pPr>
        <w:jc w:val="both"/>
        <w:ind w:left="620" w:hanging="329"/>
        <w:spacing w:after="0" w:line="266"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may make existing products and production methods obsolete. The development or use of Artificial Intelligence (AI) by our competitors or other third parties may impair our ability to compete effectively and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AI initiatives, which could adversely affect our business, reputation, and results of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with expansions, relocations, or consolidations of existing facilities could adversely affect our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with our products could harm our reputation and erode our competitive position.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contracts contain performance obligations that may subject us to penalties or additional liabilities.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and product diversification through strategic acquisitions involve a number of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Misconduct by our employees or subcontractors, or a failure to </w:t>
      </w:r>
      <w:r>
        <w:rPr>
          <w:rFonts w:ascii="Times New Roman" w:cs="Times New Roman" w:eastAsia="Times New Roman" w:hAnsi="Times New Roman"/>
          <w:sz w:val="18"/>
          <w:szCs w:val="18"/>
          <w:color w:val="252525"/>
        </w:rPr>
        <w:t>comply with applicable laws or regulations, could harm our reputation, damage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relationships with customers and subject us to criminal and civil enforcement actions.</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22" w:name="page23"/>
    <w:bookmarkEnd w:id="22"/>
    <w:p>
      <w:pPr>
        <w:spacing w:after="0" w:line="5" w:lineRule="exact"/>
        <w:rPr>
          <w:sz w:val="20"/>
          <w:szCs w:val="20"/>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Unsatisfactory safety performance may subject us to penalties, negatively impact customer relationships, result in higher operating costs, and negatively impact employee morale and turnover.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Financial Condition and Markets</w:t>
      </w:r>
    </w:p>
    <w:p>
      <w:pPr>
        <w:spacing w:after="0" w:line="121" w:lineRule="exact"/>
        <w:rPr>
          <w:sz w:val="20"/>
          <w:szCs w:val="20"/>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and financial market conditions may impact our customer base, suppliers and backlog.</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and supply of materials used to manufacture our products may reduce our profits and could adversely impact our ability to meet commitments to our customers.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surety bonds, letters of credit, bank guarantees, or other financial assurances, may be necessary for us to successfully bid on and obtain certain contracts.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remain in compliance with covenants or obtain waivers or amendments under our credit agreement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 credit to customers in conjunction with our performance under fixed-price contracts which subjects us to potential credit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revenues may be concentrated among a small number of customers and may be subject to the risks of particular industries.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risks that are different from, or possibly greater than, the risks we are exposed to domestically and may adversely affect our operations.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credit and capital markets may be limited, which could adversely affect our liquidity, operations, and growth strategy.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Corporate Structure and our Common Stock</w:t>
      </w:r>
    </w:p>
    <w:p>
      <w:pPr>
        <w:spacing w:after="0" w:line="121" w:lineRule="exact"/>
        <w:rPr>
          <w:sz w:val="20"/>
          <w:szCs w:val="20"/>
          <w:color w:val="auto"/>
        </w:rPr>
      </w:pPr>
    </w:p>
    <w:p>
      <w:pPr>
        <w:ind w:left="6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 change in control of our company, even if that change would be beneficial to our shareholders.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personal liability of our directors and officers for monetary damages for breach of their fiduciary duty of care is limited by the Delaware General Corporation Law and by our certificate of incorporation.</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exclusive-forum provision contained in our bylaws could limit our stockholders’ ability to obtain a favorable judicial forum for disputes with us or our directors, officers or other employees.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decline or fluctuate significantly due to unforeseen circumstances that may be outside of our control. These fluctuations may cause our stockholders to incur losses.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declare or pay future dividends on our common stock.</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preferred stock on terms that could adversely affect the voting power or value of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Legal and Regulatory Matters</w:t>
      </w:r>
    </w:p>
    <w:p>
      <w:pPr>
        <w:spacing w:after="0" w:line="121" w:lineRule="exact"/>
        <w:rPr>
          <w:sz w:val="20"/>
          <w:szCs w:val="20"/>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could be adversely impacted by the effects of government regulations.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potential claims, lawsuits and proceedings could ultimately reduce our profitability and liquidity and weaken our financial condition.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may change our effective tax rate and could have a material effect on our financial results.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obtain, enforce, and protect intellectual property rights or third-party claims that we are infringing on their intellectual property could harm our business.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arising from tariffs and other economic proposals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weaknesses in our internal controls over financial reporting could adversely affect our ability to report on our financial condition and results of operations accurately or on a timely basis.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620" w:hanging="329"/>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carry insurance against many potential liabilities, but our management of risk may leave us exposed to unidentified or unanticipated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including natural disasters, health epidemics, acts of war and terrorism, climate change, among others, could disrupt our business.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5" w:lineRule="exact"/>
        <w:rPr>
          <w:sz w:val="20"/>
          <w:szCs w:val="20"/>
          <w:color w:val="auto"/>
        </w:rPr>
      </w:pPr>
    </w:p>
    <w:p>
      <w:pPr>
        <w:ind w:left="620" w:right="20" w:hanging="329"/>
        <w:spacing w:after="0" w:line="282" w:lineRule="auto"/>
        <w:tabs>
          <w:tab w:leader="none" w:pos="6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our business systems or cybersecurity attacks on any of our facilities, or those of third parties, could adversely affect our business, results of operations and reputation.</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data protection, and information security may require significant resources and present certain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Environmental, Social, and Governance (ESG) initiatives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key personnel could disrupt our business.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Refer to “Risk Factors” in Part I. Item 1A of our Annual Report on Form 10-K for the year ended September 30, 2025, which was filed with the SEC on November 19, 2025. We can provide no assurance that the forward-looking statements contained in this report will occur as expected, and actual results may differ materially from those included in this report.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should note that we announce material financial information in SEC filings, press releases and public conference calls. Based on guidance from the SEC, we may use the Investors section of our website to communicate with investors. It is possible that the financial and other information posted there could be deemed to be material information. The information on our website is not part of, and is not incorporated to,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in this Quarterly Report on Form 10-Q and with our Annual Report on Form 10-K for the fiscal year ended September 30, 2025, which was filed with the SEC on November 19, 2025 and is available on the SEC’s website at www.sec.gov.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that distribute, control and monitor the flow of electrical energy and provide protection to motors, transformers and other electrically powered equipment. We are headquartered in Houston, Texas and primarily serve the oil and gas and petrochemical markets, the electric utility market, and commercial and 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Fiscal 2026, we reported revenues of $251.2 million, net income of $41.4 million, and generated $43.6 million in cash from operating activities. As of December 31, 2025, we had total assets of $1.1 billion.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Outlook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backlog increased to $1.6 billion as of December 31, 2025, of which approximately $933 million is expected to be recognized as revenue within the next twelve months. </w:t>
      </w:r>
      <w:r>
        <w:rPr>
          <w:rFonts w:ascii="Times New Roman" w:cs="Times New Roman" w:eastAsia="Times New Roman" w:hAnsi="Times New Roman"/>
          <w:sz w:val="19"/>
          <w:szCs w:val="19"/>
          <w:color w:val="auto"/>
        </w:rPr>
        <w:t>C</w:t>
      </w:r>
      <w:r>
        <w:rPr>
          <w:rFonts w:ascii="Times New Roman" w:cs="Times New Roman" w:eastAsia="Times New Roman" w:hAnsi="Times New Roman"/>
          <w:sz w:val="18"/>
          <w:szCs w:val="18"/>
          <w:color w:val="auto"/>
        </w:rPr>
        <w:t>ommercial activity remained favorable during the first quarter of Fiscal 2026 across most of our key markets, with particularly strong demand across the Commercial and Other Industrial and Oil and Gas markets. During the quarter, we secured a large data center project in addition to a major Liquefied Natural Gas (LNG) project, underscoring continued investment and robust customer activity in these end markets. Despite this momentum, we continue to closely monitor macroeconomic conditions and ongoing geopolitical developments that may influence customer spending patterns or the timing of project awards. Although current demand indicators remain stable, these external factors could affect future levels of market activity.</w:t>
      </w:r>
    </w:p>
    <w:p>
      <w:pPr>
        <w:spacing w:after="0" w:line="298"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Oil and gas and petrochemical markets. </w:t>
      </w:r>
      <w:r>
        <w:rPr>
          <w:rFonts w:ascii="Times New Roman" w:cs="Times New Roman" w:eastAsia="Times New Roman" w:hAnsi="Times New Roman"/>
          <w:sz w:val="18"/>
          <w:szCs w:val="18"/>
          <w:color w:val="auto"/>
        </w:rPr>
        <w:t>The North American oil and gas end markets continue to exhibit strong commercial activity levels in response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rising global demand for LNG and gas-to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chemical processes that leverage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natural gas feedstocks. We believe the fundamentals of the U.S. natural gas market, through abundant supply and competitive cost, continue to support investments in LNG facilities and related gas processing infrastructure. As a result, these market dynamics have sustained our order activity, which includes a large LNG project award during the first fiscal quarter. Other oil and gas end markets related to production and downstream operations, and to a lesser extent, the Petrochemical market remain steady. Beyond traditional crude oil refining and other oil and gas downstream operations, we have broadened our end markets into hydrogen production, carbon capture as well as alternative fuels, such as biofuels and sustainable aviation fuel, aligned with growing demand for cleaner energy solutions.</w:t>
      </w:r>
    </w:p>
    <w:p>
      <w:pPr>
        <w:spacing w:after="0" w:line="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Electric utility market. </w:t>
      </w:r>
      <w:r>
        <w:rPr>
          <w:rFonts w:ascii="Times New Roman" w:cs="Times New Roman" w:eastAsia="Times New Roman" w:hAnsi="Times New Roman"/>
          <w:sz w:val="18"/>
          <w:szCs w:val="18"/>
          <w:color w:val="auto"/>
        </w:rPr>
        <w:t>Aligned with our strategy of end-market diversification, we seek to continue our focus and growth in electrical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substations, while also addressing a resurgence of power generation investment in this market.</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Commercial and other industrial markets. </w:t>
      </w:r>
      <w:r>
        <w:rPr>
          <w:rFonts w:ascii="Times New Roman" w:cs="Times New Roman" w:eastAsia="Times New Roman" w:hAnsi="Times New Roman"/>
          <w:sz w:val="18"/>
          <w:szCs w:val="18"/>
          <w:color w:val="auto"/>
        </w:rPr>
        <w:t>As a result of a mix of factors, we are experiencing strong growth in commercial facilities that provide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of various consumer goods and the expansion of data centers that support cloud computing and increasing investments in artificial intelligence. During the first quarter of Fiscal 2026, we were awarded projects in excess of $100 million attributable to data center infrastructure, of which one project had an order value of approximately $75 million. The commercial activity in this sector reflects the continued investment in this end market. We are also experiencing increased activity in other industrial end markets.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5" w:name="page26"/>
    <w:bookmarkEnd w:id="25"/>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and geopolitical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results are impacted by several factors such as the timing of new order awards, project backlog, changes in project cost estimates, customer approval of final engineering specifications and delays in customer construction schedules, all of which contribute to short-term earnings variability and the timing of project execution. Our operating results also have been, and may continue to be, impacted by the timing and resolution of change orders and the resolution of potential contract claims and liquidated damages, all of which could improve or deteriorate gross margins during the period in which these items are resolved with our customers. Disruptions in the global supply chain have negatively impacted and may continue to negatively impact our business and operating results due to the limited supply of, delays for and uncertainty in the timing of the receipt of key component parts and commodities. We continue to remain focused on the variables that impact our markets as well as cost management, labor availability and supply chain challenges.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inflation, which can cause increases in our costs of labor, indirect expenses and raw materials, primarily copper, aluminum and steel.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Fixed-price contracts can limit our ability to pass these increases to our customers, thus negatively impacting our earnings and operations in future periods.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first quarter of Fiscal 2026, we continued experiencing high volatility in commodity prices, and ongoing supply chain delays for specific engineered components remained a persistent challenge for us. Moreover, ongoing and recently proposed changes to U.S. global trade policy (including legal changes thereto), along with potential international retaliatory measures, and concerns over inflation, recession and slowing growth have continued to cause high volatility in global markets and uncertainty around short- and long-term economic impacts in the United States and other markets we serve. We continue to evaluate and monitor the potential impacts of these changes and measures, including the imposition of tariffs, on our business and operations. We could potentially face the challenge of increased costs of raw materials and engineered components as well as negative impacts on our margins; however, it is not possible to predict the impact, if any, of any changes or proposed changes to the U.S. global trade policy, or any international retaliatory measures, on our business and operations. In response to the rising cost environment and persistent supply chain challenges, we are taking strategic measures to effectively manage our product pricing, refine delivery schedules, and manage bid validity dates with our customers. Our supplier engagement includes improving forecasting and negotiating favorable terms that allow us to meet or exceed customer timelines. Additionally, we remain focused on enhancing factory efficiencies and improving project execution to mitigate risks and maintain customer satisfaction.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Ended December 31, 2025 Compared to the Quarter Ended December 31, 2024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increased by 4%, or $9.8 million, to $251.2 million in the first quarter of Fiscal 2026. Domestic revenues decreased by 1%, or $2.9 million, to $194.9 million in the first quarter of Fiscal 2026. International revenues increased by 29%, or $12.6 million, to $56.3 million in the first quarter of Fiscal 2026, primarily driven by increased activities in the Middle East and Africa region and the Asia/Pacific and Europe regions. Our international revenues include both revenues generated from our international facilities as well as revenues from export projects generated at our domestic facilities.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first quarter of Fiscal 2026, revenue from our electric utility market increased by 35%, or $18.0 million, to $69.3 million; revenue from our oil and gas market (excluding petrochemical) increased by 2%, or $2.2 million, to $97.9 million; and revenue from our light rail traction power market increased by 5%, or $0.4 million, to $8.6 million. These increases in revenue were primarily driven by our strategic effort to expand our business into electric utility and the improved market conditions in this end market. Revenue from our petrochemical market decreased by 31%, or $10.4 million, to $22.8 million; and commercial and other industrial market revenue decreased by 8%, or $3.7 million, to $40.6 million in the first quarter of Fiscal 2026. These decreases in revenue were primarily driven by the reduction in backlog within the petrochemical market as the business nears completion of the large petrochemical order secured in Fiscal 2023 and less booking activity in this market. Revenue from all other markets combined increased by 36%, or $3.2 million, to $12.0 million in the first quarter of Fiscal 2026.</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by 20%, or $11.9 million, to $71.4 million for the first quarter of Fiscal 2026. Gross profit as a percentage of revenues increased to 28% in the first quarter of Fiscal 2026, as compared to 25% in the first quarter of Fiscal 2025. The increase in gross profit was primarily driven by higher revenues and improved gross profit margin due to favorable volume leverage and strong project execution in a stable pricing environment.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17%, or $3.7 million, to $25.2 million in the first quarter of Fiscal 2026, primarily due to higher compensation costs and increased infrastructure expenses. Selling, general and administrative expenses as a percentage of revenues increased to 10% during the first quarter of Fiscal 2026, compared to 9% during the first quarter of Fiscal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an income tax provision of $5.6 million in the first quarter of Fiscal 2026, compared to an income tax provision of $4.7 million in the first quarter of Fiscal 2025 resulting in an effective tax rate of 12% for the first quarters of Fiscal 2026 and Fiscal 2025. For each of the three months ended December 31, 2025 and 2024, the effective tax rates were favorably impacted by discrete items related to the vesting of restricted stock units (RSUs) and the estimated Research and Development (R&amp;D) Tax Credit. The decreased effective tax rates were primarily driven by the higher stock prices associated with the vested RSUs. For further information regarding our income taxes, see Note L. Income Taxes of Notes to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2026, we recorded net income of $41.4 million, or $3.40 per diluted share, compared to net income of $34.8 million, or $2.86 per diluted share, in the first quarter of Fiscal 2025. The increase in net income was primarily driven by increased revenues and higher gross profit margin in the first quarter of Fiscal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order backlog, which is our remaining unsatisfied performance obligations, represents the estimated transaction price for goods and services for which we have a material right, but work has not been performed. The order backlog at December 31, 2025 was $1.6 billion, a 14% increase from our $1.4 billion backlog at September 30, 2025. This increase was mainly driven by commercial and other industrial as well as oil and gas markets. As of December 31, 2025, the oil and gas (excluding petrochemical) market accounted for 32% of our backlog, the electric utility market accounted for 30% of our backlog, and the commercial and other industrial market accounted for 22% of our backlog.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Bookings, net of cancellations and scope reductions, increased by 63% in the first quarter of Fiscal 2026 to $438.8 million, compared to $268.6 million in the first quarter of Fiscal 2025. This increase was primarily driven by improved bookings in the commercial and other industrial market.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current assets exceeded current liabilities by 2.3 times.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cash equivalents and short-term investments increased to $500.8 million at December 31, 2025, compared to $475.5 million at September 30, 2025. The increase in cash, cash equivalents and short-term investments was primarily driven by our strong earnings, partially offset by cash payments related to shares withheld in lieu of employee tax withholding and payments of dividends. We invest our cash, cash equivalents and short-term investments in accordance with the Company’s investment policy approved by the Board of Directors. We believe that our cash, cash equivalents and short-term investments, as well as available borrowings under our U.S. credit facility, will be sufficient to support our ongoing operating activities, dividend payments and future organic and inorganic business growth, as well as research and development initiatives for the next twelve months and beyond.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assess our capital allocation framework relative to our strategic objectives, we will continue to deploy capital to both organic and inorganic initiatives, as well as maintain a prudent approach to other methods that improve shareholder value. We regularly assess our capital allocation framework. Our current intention is to prioritize our working capital needs, fund research and development, capital expenditures and other organic growth opportunities, while also returning capital to shareholders and evaluating strategic inorganic opportunities as they arise. Our capital allocation plan depends upon a number of factors,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market conditions, our financial position and capital requirements, financial conditions, competing uses for cash, and other factors.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$92.7 million of our cash, cash equivalents and short-term investments at December 31, 2025 was held outside of the U.S. for our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credit agreement with Bank of America, N.A. and Texas Capital Bank with an aggregate commitment of $150.0 million, consisting of $100.0 million committed by Bank of America and $50.0 million committed by Texas Capital Bank (the U.S. Revolver). The U.S. Revolver has an expiration date of October 4, 2028.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no amounts borrowed under the U.S. Revolver, and letters of credit outstanding were $65.1 million. There was $84.9 million available for the issuance of letters of credit and borrowings under the U.S. Revolver as of December 31, 2025. For further information regarding our debt, see Notes F. Long-Term Debt and G. Commitments and Contingencies of Notes to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activities provided net cash of $43.6 million during the three months ended December 31, 2025 and provided net cash of $37.1 million during the same period in Fiscal 2025. Cash flow from operations is primarily influenced by project volume and margins, as well as working capital requirements, the timing of milestone payments from our customers, and payment terms with our suppliers. The increase in operating cash flow was primarily driven by improved earnings.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activities provided $12.9 million of cash during the three months ended December 31, 2025 and used $9.5 million of cash during the same period in Fiscal 2025. Cash provided by investing activities in the first three months of Fiscal 2026 was primarily due to maturities of short-term investments, partially offset by capital spending.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$17.3 million during the three months ended December 31, 2025 compared to $15.2 million used during the same period in Fiscal 2025. The increase in cash used in financing activities was primarily due to cash payments related to shares withheld in lieu of employee tax withholding, largely driven by the increase of our share price in the first quarter of Fiscal 2026 compared to the same period of Fiscal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our condensed consolidated financial statements requires management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be consistent with those estimates.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as disclosed in our Annual Report on Form 10-K for the fiscal year ended September 30, 2025, which was filed with the SEC on November 19,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market risks as of and for the three months ended December 31, 2025, as compared to the information previously reported under Part II, Item 7A within our Annual Report on Form 10-K for the fiscal year ended September 30,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and maintain a system of disclosure controls and procedures that are designed to provide reasonable assurance that information required to be disclosed in our reports filed with the SEC pursuant to the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Rules 13a-15 or 15d-15 of the Exchange Act that occurred during the first quarter of Fiscal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Annual Report on Form 10-K for the fiscal year ended September 30,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November 26, 2025, Brett A. Cope, President and Chief Executive Officer, adopted a “Rule 10b5-1 trading arrangement,” as the term is defined in Item 408(a) of Regulation S-K, for the sale of up to 8,900 shares of the Company’s common stock, subject to certain conditions, from March 12, 2026 through December 31, 2026.</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December 2, 2025, Michael W. Metcalf, Executive Vice President, Chief Financial and Principal Accounting Officer, adopted a “Rule 10b5-1 trading arrangement,” as the term is defined in Item 408(a) of Regulation S-K, for the sale of up to 4,500 shares of the Company’s common stock, subject to certain conditions, from March 31, 2026 through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85"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Exhibits</w:t>
      </w:r>
    </w:p>
    <w:p>
      <w:pPr>
        <w:spacing w:after="0" w:line="48"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tab/>
        <w:t>—</w:t>
      </w:r>
      <w:r>
        <w:rPr>
          <w:sz w:val="20"/>
          <w:szCs w:val="20"/>
          <w:color w:val="auto"/>
        </w:rPr>
        <w:tab/>
      </w:r>
      <w:hyperlink r:id="rId46">
        <w:r>
          <w:rPr>
            <w:rFonts w:ascii="Times New Roman" w:cs="Times New Roman" w:eastAsia="Times New Roman" w:hAnsi="Times New Roman"/>
            <w:sz w:val="17"/>
            <w:szCs w:val="17"/>
            <w:u w:val="single" w:color="auto"/>
            <w:color w:val="0000FF"/>
          </w:rPr>
          <w:t>Amended and Restated Certificate of Incorporation of Powell Industries, Inc. filed with the Secretary of State of the State 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ind w:left="1680" w:right="760"/>
        <w:spacing w:after="0" w:line="226" w:lineRule="auto"/>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u w:val="single" w:color="auto"/>
            <w:color w:val="0000FF"/>
          </w:rPr>
          <w:t>Delaware on February 19, 2025 (filed as Exhibit 3.1 to our Form 8-K filed February 19, 2025, and incorporated herein by</w:t>
        </w:r>
      </w:hyperlink>
      <w:r>
        <w:rPr>
          <w:rFonts w:ascii="Times New Roman" w:cs="Times New Roman" w:eastAsia="Times New Roman" w:hAnsi="Times New Roman"/>
          <w:sz w:val="18"/>
          <w:szCs w:val="18"/>
          <w:u w:val="single" w:color="auto"/>
          <w:color w:val="0000FF"/>
        </w:rPr>
        <w:t xml:space="preserve"> </w:t>
      </w:r>
      <w:hyperlink r:id="rId46">
        <w:r>
          <w:rPr>
            <w:rFonts w:ascii="Times New Roman" w:cs="Times New Roman" w:eastAsia="Times New Roman" w:hAnsi="Times New Roman"/>
            <w:sz w:val="18"/>
            <w:szCs w:val="18"/>
            <w:u w:val="single" w:color="auto"/>
            <w:color w:val="0000FF"/>
          </w:rPr>
          <w:t>reference)</w:t>
        </w:r>
        <w:r>
          <w:rPr>
            <w:rFonts w:ascii="Times New Roman" w:cs="Times New Roman" w:eastAsia="Times New Roman" w:hAnsi="Times New Roman"/>
            <w:sz w:val="18"/>
            <w:szCs w:val="18"/>
            <w:color w:val="000000"/>
          </w:rPr>
          <w:t>.</w:t>
        </w:r>
      </w:hyperlink>
    </w:p>
    <w:p>
      <w:pPr>
        <w:spacing w:after="0" w:line="157" w:lineRule="exact"/>
        <w:rPr>
          <w:sz w:val="20"/>
          <w:szCs w:val="20"/>
          <w:color w:val="auto"/>
        </w:rPr>
      </w:pPr>
    </w:p>
    <w:p>
      <w:pPr>
        <w:ind w:left="1340" w:hanging="773"/>
        <w:spacing w:after="0" w:line="250"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tab/>
        <w:t xml:space="preserve">— </w:t>
      </w:r>
      <w:hyperlink r:id="rId48">
        <w:r>
          <w:rPr>
            <w:rFonts w:ascii="Times New Roman" w:cs="Times New Roman" w:eastAsia="Times New Roman" w:hAnsi="Times New Roman"/>
            <w:sz w:val="18"/>
            <w:szCs w:val="18"/>
            <w:u w:val="single" w:color="auto"/>
            <w:color w:val="0000FF"/>
          </w:rPr>
          <w:t>Second Amended and Restated Bylaws of Powell Industries, Inc. (filed as Exhibit 3.1 to our Form 8-K filed February 24, 2025, and</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FF"/>
          </w:rPr>
          <w:t>incorporated herein by reference).</w:t>
        </w:r>
      </w:hyperlink>
    </w:p>
    <w:p>
      <w:pPr>
        <w:spacing w:after="0" w:line="149"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*31.1</w:t>
        <w:tab/>
        <w:t>—</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Rule 13a-14(a)/15d-14(a).</w:t>
      </w:r>
    </w:p>
    <w:p>
      <w:pPr>
        <w:spacing w:after="0" w:line="185"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*31.2</w:t>
        <w:tab/>
        <w:t>—</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Rule 13a-14(a)/15d-14(a).</w:t>
      </w:r>
    </w:p>
    <w:p>
      <w:pPr>
        <w:spacing w:after="0" w:line="185"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**32.1</w:t>
        <w:tab/>
        <w:t xml:space="preserve">— </w:t>
      </w:r>
      <w:r>
        <w:rPr>
          <w:rFonts w:ascii="Times New Roman" w:cs="Times New Roman" w:eastAsia="Times New Roman" w:hAnsi="Times New Roman"/>
          <w:sz w:val="18"/>
          <w:szCs w:val="18"/>
          <w:u w:val="single" w:color="auto"/>
          <w:color w:val="0000FF"/>
        </w:rPr>
        <w:t>Certification of Chief Executive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**32.2</w:t>
        <w:tab/>
        <w:t xml:space="preserve">— </w:t>
      </w:r>
      <w:r>
        <w:rPr>
          <w:rFonts w:ascii="Times New Roman" w:cs="Times New Roman" w:eastAsia="Times New Roman" w:hAnsi="Times New Roman"/>
          <w:sz w:val="18"/>
          <w:szCs w:val="18"/>
          <w:u w:val="single" w:color="auto"/>
          <w:color w:val="0000FF"/>
        </w:rPr>
        <w:t>Certification of Chief Financial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90" w:lineRule="exact"/>
        <w:rPr>
          <w:sz w:val="20"/>
          <w:szCs w:val="20"/>
          <w:color w:val="auto"/>
        </w:rPr>
      </w:pPr>
    </w:p>
    <w:p>
      <w:pPr>
        <w:ind w:left="6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*§10.1</w:t>
        <w:tab/>
        <w:t>—</w:t>
      </w:r>
      <w:r>
        <w:rPr>
          <w:sz w:val="20"/>
          <w:szCs w:val="20"/>
          <w:color w:val="auto"/>
        </w:rPr>
        <w:tab/>
      </w:r>
      <w:r>
        <w:rPr>
          <w:rFonts w:ascii="Times New Roman" w:cs="Times New Roman" w:eastAsia="Times New Roman" w:hAnsi="Times New Roman"/>
          <w:sz w:val="17"/>
          <w:szCs w:val="17"/>
          <w:u w:val="single" w:color="auto"/>
          <w:color w:val="0000FF"/>
        </w:rPr>
        <w:t>Amended Form of Restricted Stock Unit Award Agreement under 2014 Equity Incentive Plan.</w:t>
      </w:r>
    </w:p>
    <w:p>
      <w:pPr>
        <w:spacing w:after="0" w:line="225" w:lineRule="exact"/>
        <w:rPr>
          <w:sz w:val="20"/>
          <w:szCs w:val="20"/>
          <w:color w:val="auto"/>
        </w:rPr>
      </w:pPr>
    </w:p>
    <w:p>
      <w:pPr>
        <w:ind w:left="6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*§10.2</w:t>
        <w:tab/>
        <w:t>—</w:t>
      </w:r>
      <w:r>
        <w:rPr>
          <w:sz w:val="20"/>
          <w:szCs w:val="20"/>
          <w:color w:val="auto"/>
        </w:rPr>
        <w:tab/>
      </w:r>
      <w:r>
        <w:rPr>
          <w:rFonts w:ascii="Times New Roman" w:cs="Times New Roman" w:eastAsia="Times New Roman" w:hAnsi="Times New Roman"/>
          <w:sz w:val="17"/>
          <w:szCs w:val="17"/>
          <w:u w:val="single" w:color="auto"/>
          <w:color w:val="0000FF"/>
        </w:rPr>
        <w:t>Amended Form of Performance Unit Award Agreement under 2014 Equity Incentive Plan.</w:t>
      </w:r>
    </w:p>
    <w:p>
      <w:pPr>
        <w:spacing w:after="0" w:line="185" w:lineRule="exact"/>
        <w:rPr>
          <w:sz w:val="20"/>
          <w:szCs w:val="20"/>
          <w:color w:val="auto"/>
        </w:rPr>
      </w:pPr>
    </w:p>
    <w:p>
      <w:pPr>
        <w:ind w:left="1340" w:right="20" w:hanging="854"/>
        <w:spacing w:after="0" w:line="242" w:lineRule="auto"/>
        <w:tabs>
          <w:tab w:leader="none" w:pos="1320" w:val="left"/>
        </w:tabs>
        <w:rPr>
          <w:sz w:val="20"/>
          <w:szCs w:val="20"/>
          <w:color w:val="auto"/>
        </w:rPr>
      </w:pPr>
      <w:r>
        <w:rPr>
          <w:rFonts w:ascii="Times New Roman" w:cs="Times New Roman" w:eastAsia="Times New Roman" w:hAnsi="Times New Roman"/>
          <w:sz w:val="18"/>
          <w:szCs w:val="18"/>
          <w:color w:val="auto"/>
        </w:rPr>
        <w:t>*101</w:t>
        <w:tab/>
        <w:t>— The following financial statements from the Company’s Quarterly Report on Form 10-Q for the quarter ended December 31, 2025, formatted in Inline XBRL: (i) Condensed Consolidated Balance Sheets (Unaudited); (ii) Condensed Consolidated Statements of Operations (Unaudited); (iii) Condensed Consolidated Statements of Comprehensive Income (Unaudited); (iv) Condensed Consolidated Statements of Stockholders’ Equity (Unaudited); (v) Condensed Consolidated Statements of Cash Flows (Unaudited); and (vi) Notes to Condensed Consolidated Financial Statements (Unaudited), tagged as blocks of text and including detailed tags.</w:t>
      </w:r>
    </w:p>
    <w:p>
      <w:pPr>
        <w:spacing w:after="0" w:line="185" w:lineRule="exact"/>
        <w:rPr>
          <w:sz w:val="20"/>
          <w:szCs w:val="20"/>
          <w:color w:val="auto"/>
        </w:rPr>
      </w:pPr>
    </w:p>
    <w:p>
      <w:pPr>
        <w:ind w:left="1340" w:right="80" w:hanging="854"/>
        <w:spacing w:after="0" w:line="266" w:lineRule="auto"/>
        <w:tabs>
          <w:tab w:leader="none" w:pos="1320" w:val="left"/>
        </w:tabs>
        <w:rPr>
          <w:sz w:val="20"/>
          <w:szCs w:val="20"/>
          <w:color w:val="auto"/>
        </w:rPr>
      </w:pPr>
      <w:r>
        <w:rPr>
          <w:rFonts w:ascii="Times New Roman" w:cs="Times New Roman" w:eastAsia="Times New Roman" w:hAnsi="Times New Roman"/>
          <w:sz w:val="18"/>
          <w:szCs w:val="18"/>
          <w:color w:val="auto"/>
        </w:rPr>
        <w:t>*104</w:t>
        <w:tab/>
        <w:t>— The cover page from the Company’s Quarterly Report on Form 10-Q for the quarter ended December 31, 2025, formatted in Inline XBRL (included as Exhibit 101).</w:t>
      </w:r>
    </w:p>
    <w:p>
      <w:pPr>
        <w:spacing w:after="0" w:line="203" w:lineRule="exact"/>
        <w:rPr>
          <w:sz w:val="20"/>
          <w:szCs w:val="20"/>
          <w:color w:val="auto"/>
        </w:rPr>
      </w:pPr>
    </w:p>
    <w:p>
      <w:pPr>
        <w:ind w:left="20" w:right="6400" w:firstLine="6"/>
        <w:spacing w:after="0" w:line="268" w:lineRule="auto"/>
        <w:tabs>
          <w:tab w:leader="none" w:pos="1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compensatory plans or arrangements * Filed herewith</w:t>
      </w:r>
    </w:p>
    <w:p>
      <w:pPr>
        <w:spacing w:after="0" w:line="1"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2" w:right="39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77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POWELL INDUSTRIES, INC.</w:t>
            </w:r>
          </w:p>
        </w:tc>
      </w:tr>
      <w:tr>
        <w:trPr>
          <w:trHeight w:val="234"/>
        </w:trPr>
        <w:tc>
          <w:tcPr>
            <w:tcW w:w="3420" w:type="dxa"/>
            <w:vAlign w:val="bottom"/>
          </w:tcPr>
          <w:p>
            <w:pPr>
              <w:spacing w:after="0"/>
              <w:rPr>
                <w:sz w:val="20"/>
                <w:szCs w:val="20"/>
                <w:color w:val="auto"/>
              </w:rPr>
            </w:pPr>
          </w:p>
        </w:tc>
        <w:tc>
          <w:tcPr>
            <w:tcW w:w="77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4, 2026</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Brett A. Cope</w:t>
            </w:r>
          </w:p>
        </w:tc>
      </w:tr>
      <w:tr>
        <w:trPr>
          <w:trHeight w:val="218"/>
        </w:trPr>
        <w:tc>
          <w:tcPr>
            <w:tcW w:w="3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Brett A. Cope</w:t>
            </w:r>
          </w:p>
        </w:tc>
      </w:tr>
      <w:tr>
        <w:trPr>
          <w:trHeight w:val="230"/>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4, 2026</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W. Metcalf</w:t>
            </w:r>
          </w:p>
        </w:tc>
      </w:tr>
      <w:tr>
        <w:trPr>
          <w:trHeight w:val="218"/>
        </w:trPr>
        <w:tc>
          <w:tcPr>
            <w:tcW w:w="3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 Metcalf</w:t>
            </w:r>
          </w:p>
        </w:tc>
      </w:tr>
      <w:tr>
        <w:trPr>
          <w:trHeight w:val="230"/>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29"/>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and Principal Accounting Officer</w:t>
            </w:r>
          </w:p>
        </w:tc>
      </w:tr>
      <w:tr>
        <w:trPr>
          <w:trHeight w:val="234"/>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332" w:right="339" w:bottom="1440" w:gutter="0" w:footer="0" w:header="0"/>
        </w:sectPr>
      </w:pPr>
    </w:p>
    <w:bookmarkStart w:id="32" w:name="page33"/>
    <w:bookmarkEnd w:id="32"/>
    <w:p>
      <w:pPr>
        <w:ind w:left="10220"/>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highlight w:val="black"/>
        </w:rPr>
        <w:t>POWELL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color w:val="auto"/>
          <w:highlight w:val="black"/>
        </w:rPr>
        <w:t>2014 EQUITY INCENTIVE PLAN</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AMENDED NOTICE OF RESTRICTED STOCK UNIT AWARD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1"/>
          <w:szCs w:val="21"/>
          <w:color w:val="auto"/>
          <w:highlight w:val="black"/>
        </w:rPr>
        <w:t>(TIME-VESTING)</w:t>
      </w:r>
    </w:p>
    <w:p>
      <w:pPr>
        <w:spacing w:after="0" w:line="200" w:lineRule="exact"/>
        <w:rPr>
          <w:sz w:val="20"/>
          <w:szCs w:val="20"/>
          <w:color w:val="auto"/>
        </w:rPr>
      </w:pPr>
    </w:p>
    <w:p>
      <w:pPr>
        <w:spacing w:after="0" w:line="333"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21"/>
          <w:szCs w:val="21"/>
          <w:color w:val="auto"/>
        </w:rPr>
        <w:t>Subject to the terms and conditions of this Notice of Restricted Stock Unit Award (this “Notice”), the Restricted Stock Unit Award Agreement attached hereto (the “Award Agreement”), and the Powell Industries, Inc. 2014 Equity Incentive Plan (the “Plan”), the below individual (the “Participant”) is hereby granted the below number of Restricted Stock Units (the “RSUs”) in Powell Industries, Inc. (the “Company”). Unless otherwise specifically indicated, all terms used in this Notice shall have the meaning as set forth in the Award Agreement 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5702935</wp:posOffset>
            </wp:positionH>
            <wp:positionV relativeFrom="paragraph">
              <wp:posOffset>-684530</wp:posOffset>
            </wp:positionV>
            <wp:extent cx="3784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78460" cy="8255"/>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-521970</wp:posOffset>
            </wp:positionV>
            <wp:extent cx="10909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09093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-358775</wp:posOffset>
            </wp:positionV>
            <wp:extent cx="2552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5527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-358775</wp:posOffset>
            </wp:positionV>
            <wp:extent cx="6356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35635"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-196215</wp:posOffset>
            </wp:positionV>
            <wp:extent cx="3124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12420" cy="825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-196215</wp:posOffset>
            </wp:positionV>
            <wp:extent cx="5632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6324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color w:val="auto"/>
        </w:rPr>
        <w:t>Identifying Information:</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225"/>
        </w:trPr>
        <w:tc>
          <w:tcPr>
            <w:tcW w:w="1640" w:type="dxa"/>
            <w:vAlign w:val="bottom"/>
          </w:tcPr>
          <w:p>
            <w:pPr>
              <w:jc w:val="right"/>
              <w:spacing w:after="0"/>
              <w:rPr>
                <w:sz w:val="20"/>
                <w:szCs w:val="20"/>
                <w:color w:val="auto"/>
              </w:rPr>
            </w:pPr>
            <w:r>
              <w:rPr>
                <w:rFonts w:ascii="Arial" w:cs="Arial" w:eastAsia="Arial" w:hAnsi="Arial"/>
                <w:sz w:val="19"/>
                <w:szCs w:val="19"/>
                <w:color w:val="auto"/>
              </w:rPr>
              <w:t>Participant Name:</w:t>
            </w:r>
          </w:p>
        </w:tc>
        <w:tc>
          <w:tcPr>
            <w:tcW w:w="3040" w:type="dxa"/>
            <w:vAlign w:val="bottom"/>
            <w:tcBorders>
              <w:bottom w:val="single" w:sz="8" w:color="auto"/>
            </w:tcBorders>
          </w:tcPr>
          <w:p>
            <w:pPr>
              <w:spacing w:after="0"/>
              <w:rPr>
                <w:sz w:val="19"/>
                <w:szCs w:val="19"/>
                <w:color w:val="auto"/>
              </w:rPr>
            </w:pPr>
          </w:p>
        </w:tc>
        <w:tc>
          <w:tcPr>
            <w:tcW w:w="3600" w:type="dxa"/>
            <w:vAlign w:val="bottom"/>
          </w:tcPr>
          <w:p>
            <w:pPr>
              <w:jc w:val="right"/>
              <w:spacing w:after="0"/>
              <w:rPr>
                <w:sz w:val="20"/>
                <w:szCs w:val="20"/>
                <w:color w:val="auto"/>
              </w:rPr>
            </w:pPr>
            <w:r>
              <w:rPr>
                <w:rFonts w:ascii="Arial" w:cs="Arial" w:eastAsia="Arial" w:hAnsi="Arial"/>
                <w:sz w:val="19"/>
                <w:szCs w:val="19"/>
                <w:color w:val="auto"/>
              </w:rPr>
              <w:t>Date of Grant:</w:t>
            </w:r>
          </w:p>
        </w:tc>
      </w:tr>
      <w:tr>
        <w:trPr>
          <w:trHeight w:val="230"/>
        </w:trPr>
        <w:tc>
          <w:tcPr>
            <w:tcW w:w="1640" w:type="dxa"/>
            <w:vAlign w:val="bottom"/>
          </w:tcPr>
          <w:p>
            <w:pPr>
              <w:jc w:val="right"/>
              <w:spacing w:after="0"/>
              <w:rPr>
                <w:sz w:val="20"/>
                <w:szCs w:val="20"/>
                <w:color w:val="auto"/>
              </w:rPr>
            </w:pPr>
            <w:r>
              <w:rPr>
                <w:rFonts w:ascii="Arial" w:cs="Arial" w:eastAsia="Arial" w:hAnsi="Arial"/>
                <w:sz w:val="19"/>
                <w:szCs w:val="19"/>
                <w:color w:val="auto"/>
              </w:rPr>
              <w:t>Address:</w:t>
            </w:r>
          </w:p>
        </w:tc>
        <w:tc>
          <w:tcPr>
            <w:tcW w:w="3040" w:type="dxa"/>
            <w:vAlign w:val="bottom"/>
          </w:tcPr>
          <w:p>
            <w:pPr>
              <w:spacing w:after="0"/>
              <w:rPr>
                <w:sz w:val="19"/>
                <w:szCs w:val="19"/>
                <w:color w:val="auto"/>
              </w:rPr>
            </w:pPr>
          </w:p>
        </w:tc>
        <w:tc>
          <w:tcPr>
            <w:tcW w:w="3600" w:type="dxa"/>
            <w:vAlign w:val="bottom"/>
          </w:tcPr>
          <w:p>
            <w:pPr>
              <w:jc w:val="right"/>
              <w:spacing w:after="0"/>
              <w:rPr>
                <w:sz w:val="20"/>
                <w:szCs w:val="20"/>
                <w:color w:val="auto"/>
              </w:rPr>
            </w:pPr>
            <w:r>
              <w:rPr>
                <w:rFonts w:ascii="Arial" w:cs="Arial" w:eastAsia="Arial" w:hAnsi="Arial"/>
                <w:sz w:val="19"/>
                <w:szCs w:val="19"/>
                <w:color w:val="auto"/>
              </w:rPr>
              <w:t>Number of RSUs:</w:t>
            </w:r>
          </w:p>
        </w:tc>
      </w:tr>
      <w:tr>
        <w:trPr>
          <w:trHeight w:val="270"/>
        </w:trPr>
        <w:tc>
          <w:tcPr>
            <w:tcW w:w="164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600" w:type="dxa"/>
            <w:vAlign w:val="bottom"/>
          </w:tcPr>
          <w:p>
            <w:pPr>
              <w:jc w:val="right"/>
              <w:spacing w:after="0"/>
              <w:rPr>
                <w:sz w:val="20"/>
                <w:szCs w:val="20"/>
                <w:color w:val="auto"/>
              </w:rPr>
            </w:pPr>
            <w:r>
              <w:rPr>
                <w:rFonts w:ascii="Arial" w:cs="Arial" w:eastAsia="Arial" w:hAnsi="Arial"/>
                <w:sz w:val="19"/>
                <w:szCs w:val="19"/>
                <w:color w:val="auto"/>
              </w:rPr>
              <w:t>Vesting Commencement Date:</w:t>
            </w:r>
          </w:p>
        </w:tc>
      </w:tr>
      <w:tr>
        <w:trPr>
          <w:trHeight w:val="27"/>
        </w:trPr>
        <w:tc>
          <w:tcPr>
            <w:tcW w:w="1640" w:type="dxa"/>
            <w:vAlign w:val="bottom"/>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-7620</wp:posOffset>
            </wp:positionV>
            <wp:extent cx="14319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4319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-179070</wp:posOffset>
            </wp:positionV>
            <wp:extent cx="14319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4319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-350520</wp:posOffset>
            </wp:positionV>
            <wp:extent cx="14319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1"/>
          <w:szCs w:val="21"/>
          <w:color w:val="auto"/>
          <w:highlight w:val="black"/>
        </w:rPr>
        <w:t>Vesting Schedule:</w:t>
      </w:r>
    </w:p>
    <w:p>
      <w:pPr>
        <w:spacing w:after="0" w:line="155" w:lineRule="exact"/>
        <w:rPr>
          <w:sz w:val="20"/>
          <w:szCs w:val="20"/>
          <w:color w:val="auto"/>
        </w:rPr>
      </w:pPr>
    </w:p>
    <w:p>
      <w:pPr>
        <w:jc w:val="both"/>
        <w:ind w:firstLine="486"/>
        <w:spacing w:after="0" w:line="239" w:lineRule="auto"/>
        <w:rPr>
          <w:sz w:val="20"/>
          <w:szCs w:val="20"/>
          <w:color w:val="auto"/>
        </w:rPr>
      </w:pPr>
      <w:r>
        <w:rPr>
          <w:rFonts w:ascii="Arial" w:cs="Arial" w:eastAsia="Arial" w:hAnsi="Arial"/>
          <w:sz w:val="21"/>
          <w:szCs w:val="21"/>
          <w:color w:val="auto"/>
        </w:rPr>
        <w:t>Subject to the Participant's Continuous Service with the Company or an Affiliate, and the terms of the Plan and the Agreement, the Covered Shares shall vest over a three-year period in accordance with the following schedule (the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-18415</wp:posOffset>
            </wp:positionV>
            <wp:extent cx="10255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5560"/>
        <w:spacing w:after="0"/>
        <w:rPr>
          <w:sz w:val="20"/>
          <w:szCs w:val="20"/>
          <w:color w:val="auto"/>
        </w:rPr>
      </w:pPr>
      <w:r>
        <w:rPr>
          <w:rFonts w:ascii="Arial" w:cs="Arial" w:eastAsia="Arial" w:hAnsi="Arial"/>
          <w:sz w:val="21"/>
          <w:szCs w:val="21"/>
          <w:color w:val="auto"/>
        </w:rPr>
        <w:t>[INSERT 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21"/>
          <w:szCs w:val="21"/>
          <w:color w:val="auto"/>
        </w:rPr>
        <w:t>Notwithstanding the above, the Number of RSUs shall automatically become fully vested upon the earlier of: (i) the Participant’s Disability; (ii) the Participant’s Death; and (iii) immediately prior to the closing of a Change of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 ON NEXT PAGE]</w:t>
      </w:r>
    </w:p>
    <w:p>
      <w:pPr>
        <w:sectPr>
          <w:pgSz w:w="11900" w:h="16838" w:orient="portrait"/>
          <w:cols w:equalWidth="0" w:num="1">
            <w:col w:w="11240"/>
          </w:cols>
          <w:pgMar w:left="320" w:top="110" w:right="339" w:bottom="1440" w:gutter="0" w:footer="0" w:header="0"/>
        </w:sectPr>
      </w:pPr>
    </w:p>
    <w:bookmarkStart w:id="33" w:name="page34"/>
    <w:bookmarkEnd w:id="33"/>
    <w:p>
      <w:pPr>
        <w:spacing w:after="0" w:line="357"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1"/>
          <w:szCs w:val="21"/>
          <w:color w:val="auto"/>
        </w:rPr>
        <w:t>By your signature and the signature of the Company’s representative below, the Participant and the Company agree that the RSUs granted are governed by the terms and conditions of this Notice, the Award Agreement and the Plan.</w:t>
      </w:r>
    </w:p>
    <w:p>
      <w:pPr>
        <w:spacing w:after="0" w:line="327" w:lineRule="exact"/>
        <w:rPr>
          <w:sz w:val="20"/>
          <w:szCs w:val="20"/>
          <w:color w:val="auto"/>
        </w:rPr>
      </w:pPr>
    </w:p>
    <w:p>
      <w:pPr>
        <w:ind w:left="280"/>
        <w:spacing w:after="0"/>
        <w:rPr>
          <w:sz w:val="20"/>
          <w:szCs w:val="20"/>
          <w:color w:val="auto"/>
        </w:rPr>
      </w:pPr>
      <w:r>
        <w:rPr>
          <w:rFonts w:ascii="Arial" w:cs="Arial" w:eastAsia="Arial" w:hAnsi="Arial"/>
          <w:sz w:val="21"/>
          <w:szCs w:val="21"/>
          <w:color w:val="auto"/>
          <w:highlight w:val="black"/>
        </w:rPr>
        <w:t>POWELL INDUSTRIES, INC.</w:t>
      </w:r>
    </w:p>
    <w:p>
      <w:pPr>
        <w:spacing w:after="0" w:line="272" w:lineRule="exact"/>
        <w:rPr>
          <w:sz w:val="20"/>
          <w:szCs w:val="20"/>
          <w:color w:val="auto"/>
        </w:rPr>
      </w:pPr>
    </w:p>
    <w:p>
      <w:pPr>
        <w:ind w:left="540"/>
        <w:spacing w:after="0"/>
        <w:rPr>
          <w:sz w:val="20"/>
          <w:szCs w:val="20"/>
          <w:color w:val="auto"/>
        </w:rPr>
      </w:pPr>
      <w:r>
        <w:rPr>
          <w:rFonts w:ascii="Arial" w:cs="Arial" w:eastAsia="Arial" w:hAnsi="Arial"/>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-19050</wp:posOffset>
            </wp:positionV>
            <wp:extent cx="1714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-19050</wp:posOffset>
            </wp:positionV>
            <wp:extent cx="3429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21"/>
          <w:szCs w:val="2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-19050</wp:posOffset>
            </wp:positionV>
            <wp:extent cx="3429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21"/>
          <w:szCs w:val="2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-19050</wp:posOffset>
            </wp:positionV>
            <wp:extent cx="3429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highlight w:val="black"/>
        </w:rPr>
        <w:t>PARTICIPANT ACKNOWLEDGMENT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2515235</wp:posOffset>
            </wp:positionH>
            <wp:positionV relativeFrom="paragraph">
              <wp:posOffset>-19050</wp:posOffset>
            </wp:positionV>
            <wp:extent cx="21120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112010" cy="8255"/>
                    </a:xfrm>
                    <a:prstGeom prst="rect">
                      <a:avLst/>
                    </a:prstGeom>
                    <a:noFill/>
                  </pic:spPr>
                </pic:pic>
              </a:graphicData>
            </a:graphic>
          </wp:anchor>
        </w:drawing>
      </w:r>
    </w:p>
    <w:p>
      <w:pPr>
        <w:spacing w:after="0" w:line="243"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1"/>
          <w:szCs w:val="21"/>
          <w:color w:val="auto"/>
        </w:rPr>
        <w:t>The Participant acknowledges receipt of a copy of this Notice, the Award Agreement and the Plan, and represents that he or she is familiar with the provisions thereof, and hereby accepts the RSUs subject to all of the terms and provisions hereof and thereof. The Participant has reviewed this Notice, the Award Agreement and the Plan in their entirety, has had an opportunity to obtain the advice of legal counsel prior to executing this Notice, the Award Agreement, and fully understands all provisions of this Notice, the Award Agreement and the Plan. The Participant hereby agrees that all questions of interpretation and administration relating to this Notice, the Award Agreement and the Plan shall be resolved by the Committee.</w:t>
      </w:r>
    </w:p>
    <w:p>
      <w:pPr>
        <w:spacing w:after="0" w:line="250" w:lineRule="exact"/>
        <w:rPr>
          <w:sz w:val="20"/>
          <w:szCs w:val="20"/>
          <w:color w:val="auto"/>
        </w:rPr>
      </w:pPr>
    </w:p>
    <w:p>
      <w:pPr>
        <w:jc w:val="both"/>
        <w:ind w:firstLine="441"/>
        <w:spacing w:after="0" w:line="251" w:lineRule="auto"/>
        <w:rPr>
          <w:sz w:val="20"/>
          <w:szCs w:val="20"/>
          <w:color w:val="auto"/>
        </w:rPr>
      </w:pPr>
      <w:r>
        <w:rPr>
          <w:rFonts w:ascii="Arial" w:cs="Arial" w:eastAsia="Arial" w:hAnsi="Arial"/>
          <w:sz w:val="21"/>
          <w:szCs w:val="21"/>
          <w:color w:val="auto"/>
        </w:rPr>
        <w:t>The Participant hereby acknowledges that he or she has had the opportunity to review with his or her own tax advisors the tax consequences of receiving this Notice, the Award Agreement and the Plan, and the transactions contemplated thereby, including any U.S. federal, state and local tax laws, and any other applicable taxing jurisdiction, prior to executing this Notice. The Participant attests that he or she is relying solely on such advisors and not on any statements or representations of the Company or any of its agents or affiliates. Further, the Participant hereby acknowledges and understands that he or she (and not the Company) shall be solely responsible for his or her tax liability that may arise as a result of receiving this Notice and the Award Agreement.</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21"/>
          <w:szCs w:val="21"/>
          <w:color w:val="auto"/>
          <w:highlight w:val="black"/>
        </w:rPr>
        <w:t>PARTICIPANT:</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-19050</wp:posOffset>
            </wp:positionV>
            <wp:extent cx="1714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-19050</wp:posOffset>
            </wp:positionV>
            <wp:extent cx="3429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-19050</wp:posOffset>
            </wp:positionV>
            <wp:extent cx="1714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RESTRICTED STOCK UNIT AWARD AGREEMENT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color w:val="auto"/>
          <w:highlight w:val="black"/>
        </w:rPr>
        <w:t>(TIME-VESTING)</w:t>
      </w:r>
    </w:p>
    <w:p>
      <w:pPr>
        <w:spacing w:after="0" w:line="263"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21"/>
          <w:szCs w:val="21"/>
          <w:color w:val="auto"/>
        </w:rPr>
        <w:t>Subject to the terms and conditions of the Notice of Restricted Stock Unit Award (the “Notice”), this Restricted Stock Unit Award Agreement (the “Award Agreement”), and the Powell Industries, Inc. 2014 Equity Incentive Plan (the “Plan”), the individual set forth in the Notice (the “Participant”) is hereby granted Restricted Stock Units (the “RSUs”) in Powell Industries, Inc. (the “Company”). Unless otherwise specifically indicated, all terms used in this Award Agreement shall have the meaning as set forth in the Notice 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5687695</wp:posOffset>
            </wp:positionH>
            <wp:positionV relativeFrom="paragraph">
              <wp:posOffset>-684530</wp:posOffset>
            </wp:positionV>
            <wp:extent cx="3784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78460" cy="8255"/>
                    </a:xfrm>
                    <a:prstGeom prst="rect">
                      <a:avLst/>
                    </a:prstGeom>
                    <a:noFill/>
                  </pic:spPr>
                </pic:pic>
              </a:graphicData>
            </a:graphic>
          </wp:anchor>
        </w:drawing>
        <w:drawing>
          <wp:anchor simplePos="0" relativeHeight="251657728" behindDoc="1" locked="0" layoutInCell="0" allowOverlap="1">
            <wp:simplePos x="0" y="0"/>
            <wp:positionH relativeFrom="column">
              <wp:posOffset>2202180</wp:posOffset>
            </wp:positionH>
            <wp:positionV relativeFrom="paragraph">
              <wp:posOffset>-513080</wp:posOffset>
            </wp:positionV>
            <wp:extent cx="10909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090930" cy="8255"/>
                    </a:xfrm>
                    <a:prstGeom prst="rect">
                      <a:avLst/>
                    </a:prstGeom>
                    <a:noFill/>
                  </pic:spPr>
                </pic:pic>
              </a:graphicData>
            </a:graphic>
          </wp:anchor>
        </w:drawing>
        <w:drawing>
          <wp:anchor simplePos="0" relativeHeight="251657728" behindDoc="1" locked="0" layoutInCell="0" allowOverlap="1">
            <wp:simplePos x="0" y="0"/>
            <wp:positionH relativeFrom="column">
              <wp:posOffset>358775</wp:posOffset>
            </wp:positionH>
            <wp:positionV relativeFrom="paragraph">
              <wp:posOffset>-350520</wp:posOffset>
            </wp:positionV>
            <wp:extent cx="2552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5527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-350520</wp:posOffset>
            </wp:positionV>
            <wp:extent cx="6356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35635" cy="889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-187325</wp:posOffset>
            </wp:positionV>
            <wp:extent cx="3124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1242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-187325</wp:posOffset>
            </wp:positionV>
            <wp:extent cx="5632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63245" cy="8255"/>
                    </a:xfrm>
                    <a:prstGeom prst="rect">
                      <a:avLst/>
                    </a:prstGeom>
                    <a:noFill/>
                  </pic:spPr>
                </pic:pic>
              </a:graphicData>
            </a:graphic>
          </wp:anchor>
        </w:drawing>
      </w:r>
    </w:p>
    <w:p>
      <w:pPr>
        <w:spacing w:after="0" w:line="203"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Vesting Schedule and Risk of Forfeiture.</w:t>
      </w:r>
    </w:p>
    <w:p>
      <w:pPr>
        <w:spacing w:after="0" w:line="276" w:lineRule="exact"/>
        <w:rPr>
          <w:rFonts w:ascii="Arial" w:cs="Arial" w:eastAsia="Arial" w:hAnsi="Arial"/>
          <w:sz w:val="21"/>
          <w:szCs w:val="21"/>
          <w:color w:val="auto"/>
        </w:rPr>
      </w:pPr>
    </w:p>
    <w:p>
      <w:pPr>
        <w:ind w:firstLine="1142"/>
        <w:spacing w:after="0" w:line="231" w:lineRule="auto"/>
        <w:tabs>
          <w:tab w:leader="none" w:pos="1939" w:val="left"/>
        </w:tabs>
        <w:numPr>
          <w:ilvl w:val="1"/>
          <w:numId w:val="13"/>
        </w:numPr>
        <w:rPr>
          <w:rFonts w:ascii="Arial" w:cs="Arial" w:eastAsia="Arial" w:hAnsi="Arial"/>
          <w:sz w:val="21"/>
          <w:szCs w:val="21"/>
          <w:color w:val="auto"/>
        </w:rPr>
      </w:pPr>
      <w:r>
        <w:rPr>
          <w:rFonts w:ascii="Arial" w:cs="Arial" w:eastAsia="Arial" w:hAnsi="Arial"/>
          <w:sz w:val="21"/>
          <w:szCs w:val="21"/>
          <w:color w:val="auto"/>
        </w:rPr>
        <w:t>Vesting Schedule. Subject to the Participant’s continuous service with the Company as a Service Provider, the RSUs shall vest in accordance with the Vesting Schedule provided in the Notice.</w:t>
      </w:r>
    </w:p>
    <w:p>
      <w:pPr>
        <w:spacing w:after="0" w:line="264" w:lineRule="exact"/>
        <w:rPr>
          <w:rFonts w:ascii="Arial" w:cs="Arial" w:eastAsia="Arial" w:hAnsi="Arial"/>
          <w:sz w:val="21"/>
          <w:szCs w:val="21"/>
          <w:color w:val="auto"/>
        </w:rPr>
      </w:pPr>
    </w:p>
    <w:p>
      <w:pPr>
        <w:jc w:val="both"/>
        <w:ind w:firstLine="1148"/>
        <w:spacing w:after="0" w:line="252" w:lineRule="auto"/>
        <w:tabs>
          <w:tab w:leader="none" w:pos="1938" w:val="left"/>
        </w:tabs>
        <w:numPr>
          <w:ilvl w:val="1"/>
          <w:numId w:val="13"/>
        </w:numPr>
        <w:rPr>
          <w:rFonts w:ascii="Arial" w:cs="Arial" w:eastAsia="Arial" w:hAnsi="Arial"/>
          <w:sz w:val="21"/>
          <w:szCs w:val="21"/>
          <w:color w:val="auto"/>
        </w:rPr>
      </w:pPr>
      <w:r>
        <w:rPr>
          <w:rFonts w:ascii="Arial" w:cs="Arial" w:eastAsia="Arial" w:hAnsi="Arial"/>
          <w:sz w:val="21"/>
          <w:szCs w:val="21"/>
          <w:color w:val="auto"/>
        </w:rPr>
        <w:t>Risk of Forfeiture. The RSUs shall be subject to a risk of forfeiture until such time the risk of forfeiture lapses in accordance with the above Vesting Schedule. All or any portion of the RSUs subject to a risk of forfeiture shall automatically be forfeited and immediately returned to the Company if Participant’s continuous status as a Service Provider is interrupted or terminated for any reason other than as permitted under the Plan. Additionally, and notwithstanding anything in the Notice or this Award Agreement to the contrary, the vested and unvested RSUs shall be forfeited if the Participant’s continuous service as a Service Provider is terminated for Cause or if the Participant breaches (as determined by the Board) any provisions of the Notice, this Award Agreement or the Plan. The Company shall implement any forfeiture under this Section 1 in a unilateral manner, without Participant’s consent, and with no payment to Participant, cash or otherwise, for the forfeited RSUs.</w:t>
      </w:r>
    </w:p>
    <w:p>
      <w:pPr>
        <w:spacing w:after="0" w:line="269" w:lineRule="exact"/>
        <w:rPr>
          <w:rFonts w:ascii="Arial" w:cs="Arial" w:eastAsia="Arial" w:hAnsi="Arial"/>
          <w:sz w:val="21"/>
          <w:szCs w:val="21"/>
          <w:color w:val="auto"/>
        </w:rPr>
      </w:pPr>
    </w:p>
    <w:p>
      <w:pPr>
        <w:jc w:val="both"/>
        <w:ind w:firstLine="656"/>
        <w:spacing w:after="0" w:line="244" w:lineRule="auto"/>
        <w:tabs>
          <w:tab w:leader="none" w:pos="1290" w:val="left"/>
        </w:tabs>
        <w:numPr>
          <w:ilvl w:val="0"/>
          <w:numId w:val="13"/>
        </w:numPr>
        <w:rPr>
          <w:rFonts w:ascii="Arial" w:cs="Arial" w:eastAsia="Arial" w:hAnsi="Arial"/>
          <w:sz w:val="21"/>
          <w:szCs w:val="21"/>
          <w:color w:val="auto"/>
        </w:rPr>
      </w:pPr>
      <w:r>
        <w:rPr>
          <w:rFonts w:ascii="Arial" w:cs="Arial" w:eastAsia="Arial" w:hAnsi="Arial"/>
          <w:sz w:val="21"/>
          <w:szCs w:val="21"/>
          <w:color w:val="auto"/>
        </w:rPr>
        <w:t>Conversion; Settlement of RSUs into Shares. Subject to the terms of this Award Agreement, on the Vesting Date, the portion of the RSUs that became vested shall automatically and immediately be converted into [one Share (or cash equivalent)] of the Company’s Common Stock and immediately thereafter shall be granted to Participant.</w:t>
      </w:r>
    </w:p>
    <w:p>
      <w:pPr>
        <w:spacing w:after="0" w:line="200" w:lineRule="exact"/>
        <w:rPr>
          <w:rFonts w:ascii="Arial" w:cs="Arial" w:eastAsia="Arial" w:hAnsi="Arial"/>
          <w:sz w:val="21"/>
          <w:szCs w:val="21"/>
          <w:color w:val="auto"/>
        </w:rPr>
      </w:pPr>
    </w:p>
    <w:p>
      <w:pPr>
        <w:spacing w:after="0" w:line="305" w:lineRule="exact"/>
        <w:rPr>
          <w:rFonts w:ascii="Arial" w:cs="Arial" w:eastAsia="Arial" w:hAnsi="Arial"/>
          <w:sz w:val="21"/>
          <w:szCs w:val="21"/>
          <w:color w:val="auto"/>
        </w:rPr>
      </w:pPr>
    </w:p>
    <w:p>
      <w:pPr>
        <w:jc w:val="both"/>
        <w:ind w:firstLine="656"/>
        <w:spacing w:after="0" w:line="245" w:lineRule="auto"/>
        <w:tabs>
          <w:tab w:leader="none" w:pos="1290" w:val="left"/>
        </w:tabs>
        <w:numPr>
          <w:ilvl w:val="0"/>
          <w:numId w:val="13"/>
        </w:numPr>
        <w:rPr>
          <w:rFonts w:ascii="Arial" w:cs="Arial" w:eastAsia="Arial" w:hAnsi="Arial"/>
          <w:sz w:val="21"/>
          <w:szCs w:val="21"/>
          <w:color w:val="auto"/>
        </w:rPr>
      </w:pPr>
      <w:r>
        <w:rPr>
          <w:rFonts w:ascii="Arial" w:cs="Arial" w:eastAsia="Arial" w:hAnsi="Arial"/>
          <w:sz w:val="21"/>
          <w:szCs w:val="21"/>
          <w:color w:val="auto"/>
        </w:rPr>
        <w:t>Dividends: A dividend equivalent shall be credited to the account of Participant in an amount equal to the value of dividends paid (payable date) on one Share of common stock for each RSU represented by this Award, settled pro-rata in accordance with Section 2.</w:t>
      </w:r>
    </w:p>
    <w:p>
      <w:pPr>
        <w:spacing w:after="0" w:line="259" w:lineRule="exact"/>
        <w:rPr>
          <w:rFonts w:ascii="Arial" w:cs="Arial" w:eastAsia="Arial" w:hAnsi="Arial"/>
          <w:sz w:val="21"/>
          <w:szCs w:val="21"/>
          <w:color w:val="auto"/>
        </w:rPr>
      </w:pPr>
    </w:p>
    <w:p>
      <w:pPr>
        <w:ind w:firstLine="656"/>
        <w:spacing w:after="0" w:line="231" w:lineRule="auto"/>
        <w:tabs>
          <w:tab w:leader="none" w:pos="1288" w:val="left"/>
        </w:tabs>
        <w:numPr>
          <w:ilvl w:val="0"/>
          <w:numId w:val="13"/>
        </w:numPr>
        <w:rPr>
          <w:rFonts w:ascii="Arial" w:cs="Arial" w:eastAsia="Arial" w:hAnsi="Arial"/>
          <w:sz w:val="21"/>
          <w:szCs w:val="21"/>
          <w:color w:val="auto"/>
        </w:rPr>
      </w:pPr>
      <w:r>
        <w:rPr>
          <w:rFonts w:ascii="Arial" w:cs="Arial" w:eastAsia="Arial" w:hAnsi="Arial"/>
          <w:sz w:val="21"/>
          <w:szCs w:val="21"/>
          <w:color w:val="auto"/>
        </w:rPr>
        <w:t>Taxes. The Participant hereby acknowledges and understands that he or she may suffer adverse tax consequences as a result of the Participant’s receipt of, vesting in, or disposition of, the RSUs.</w:t>
      </w:r>
    </w:p>
    <w:p>
      <w:pPr>
        <w:spacing w:after="0" w:line="264" w:lineRule="exact"/>
        <w:rPr>
          <w:rFonts w:ascii="Arial" w:cs="Arial" w:eastAsia="Arial" w:hAnsi="Arial"/>
          <w:sz w:val="21"/>
          <w:szCs w:val="21"/>
          <w:color w:val="auto"/>
        </w:rPr>
      </w:pPr>
    </w:p>
    <w:p>
      <w:pPr>
        <w:jc w:val="both"/>
        <w:ind w:firstLine="1148"/>
        <w:spacing w:after="0" w:line="245" w:lineRule="auto"/>
        <w:tabs>
          <w:tab w:leader="none" w:pos="1932" w:val="left"/>
        </w:tabs>
        <w:numPr>
          <w:ilvl w:val="1"/>
          <w:numId w:val="13"/>
        </w:numPr>
        <w:rPr>
          <w:rFonts w:ascii="Arial" w:cs="Arial" w:eastAsia="Arial" w:hAnsi="Arial"/>
          <w:sz w:val="21"/>
          <w:szCs w:val="21"/>
          <w:color w:val="auto"/>
        </w:rPr>
      </w:pPr>
      <w:r>
        <w:rPr>
          <w:rFonts w:ascii="Arial" w:cs="Arial" w:eastAsia="Arial" w:hAnsi="Arial"/>
          <w:sz w:val="21"/>
          <w:szCs w:val="21"/>
          <w:color w:val="auto"/>
        </w:rPr>
        <w:t>Representations. The Participant has reviewed with his or her own tax advisors the tax consequences of this Award Agreement and the RSUs granted hereunder, including any U.S. federal, state and local tax laws, and any other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-4632960</wp:posOffset>
            </wp:positionV>
            <wp:extent cx="23672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367280" cy="8255"/>
                    </a:xfrm>
                    <a:prstGeom prst="rect">
                      <a:avLst/>
                    </a:prstGeom>
                    <a:noFill/>
                  </pic:spPr>
                </pic:pic>
              </a:graphicData>
            </a:graphic>
          </wp:anchor>
        </w:drawing>
        <w:drawing>
          <wp:anchor simplePos="0" relativeHeight="251657728" behindDoc="1" locked="0" layoutInCell="0" allowOverlap="1">
            <wp:simplePos x="0" y="0"/>
            <wp:positionH relativeFrom="column">
              <wp:posOffset>1236345</wp:posOffset>
            </wp:positionH>
            <wp:positionV relativeFrom="paragraph">
              <wp:posOffset>-4324350</wp:posOffset>
            </wp:positionV>
            <wp:extent cx="1025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025525" cy="8255"/>
                    </a:xfrm>
                    <a:prstGeom prst="rect">
                      <a:avLst/>
                    </a:prstGeom>
                    <a:noFill/>
                  </pic:spPr>
                </pic:pic>
              </a:graphicData>
            </a:graphic>
          </wp:anchor>
        </w:drawing>
        <w:drawing>
          <wp:anchor simplePos="0" relativeHeight="251657728" behindDoc="1" locked="0" layoutInCell="0" allowOverlap="1">
            <wp:simplePos x="0" y="0"/>
            <wp:positionH relativeFrom="column">
              <wp:posOffset>1235710</wp:posOffset>
            </wp:positionH>
            <wp:positionV relativeFrom="paragraph">
              <wp:posOffset>-3861435</wp:posOffset>
            </wp:positionV>
            <wp:extent cx="10655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1065530" cy="8255"/>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-2241550</wp:posOffset>
            </wp:positionV>
            <wp:extent cx="27489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748915" cy="8255"/>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-1452880</wp:posOffset>
            </wp:positionV>
            <wp:extent cx="585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585470" cy="8255"/>
                    </a:xfrm>
                    <a:prstGeom prst="rect">
                      <a:avLst/>
                    </a:prstGeom>
                    <a:noFill/>
                  </pic:spPr>
                </pic:pic>
              </a:graphicData>
            </a:graphic>
          </wp:anchor>
        </w:drawing>
        <w:drawing>
          <wp:anchor simplePos="0" relativeHeight="251657728" behindDoc="1" locked="0" layoutInCell="0" allowOverlap="1">
            <wp:simplePos x="0" y="0"/>
            <wp:positionH relativeFrom="column">
              <wp:posOffset>822960</wp:posOffset>
            </wp:positionH>
            <wp:positionV relativeFrom="paragraph">
              <wp:posOffset>-818515</wp:posOffset>
            </wp:positionV>
            <wp:extent cx="3365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3655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-355600</wp:posOffset>
            </wp:positionV>
            <wp:extent cx="47466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47466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6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taxing jurisdiction. The Participant is relying solely on such advisors and not on any statements or representations of the Company or any of its agents. The Participant hereby acknowledges and understands that he or she (and not the Company) shall be responsible for his or her own tax liability that may arise as a result of his or her receiving this Award Agreement and the RSUs granted hereunder.</w:t>
      </w:r>
    </w:p>
    <w:p>
      <w:pPr>
        <w:spacing w:after="0" w:line="257" w:lineRule="exact"/>
        <w:rPr>
          <w:sz w:val="20"/>
          <w:szCs w:val="20"/>
          <w:color w:val="auto"/>
        </w:rPr>
      </w:pPr>
    </w:p>
    <w:p>
      <w:pPr>
        <w:jc w:val="both"/>
        <w:ind w:firstLine="1148"/>
        <w:spacing w:after="0" w:line="252" w:lineRule="auto"/>
        <w:tabs>
          <w:tab w:leader="none" w:pos="1938" w:val="left"/>
        </w:tabs>
        <w:numPr>
          <w:ilvl w:val="1"/>
          <w:numId w:val="14"/>
        </w:numPr>
        <w:rPr>
          <w:rFonts w:ascii="Arial" w:cs="Arial" w:eastAsia="Arial" w:hAnsi="Arial"/>
          <w:sz w:val="21"/>
          <w:szCs w:val="21"/>
          <w:color w:val="auto"/>
        </w:rPr>
      </w:pPr>
      <w:r>
        <w:rPr>
          <w:rFonts w:ascii="Arial" w:cs="Arial" w:eastAsia="Arial" w:hAnsi="Arial"/>
          <w:sz w:val="21"/>
          <w:szCs w:val="21"/>
          <w:color w:val="auto"/>
        </w:rPr>
        <w:t>Payment of Withholding Taxes. The Participant shall make appropriate arrangements with the Company for the satisfaction of all U.S. Federal, state, local and non-U.S. income and employment tax withholding requirements applicable to any RSUs that settle in Shares of Common Stock in accordance with Section 2. The Committee shall have the sole authority to determine whether a “net withholding” may be permitted or is required for purposes of Participant satisfying his or her obligations under this Section 4(b). Participant hereby acknowledges his or her understanding that the Company’s obligations under this Award Agreement are fully contingent on Participant first satisfying this Section 4(b). Therefore, a failure of Participant to reasonably satisfy this Section 3 in accordance with the Committee’s sole and absolute discretion shall result in the automatic termination and expiration of this Award Agreement and the Company’s obligations hereunder. Participant hereby agrees that a breach of this Section 3(b) shall be deemed to be a material breach of this Award Agreement.</w:t>
      </w:r>
    </w:p>
    <w:p>
      <w:pPr>
        <w:spacing w:after="0" w:line="272" w:lineRule="exact"/>
        <w:rPr>
          <w:rFonts w:ascii="Arial" w:cs="Arial" w:eastAsia="Arial" w:hAnsi="Arial"/>
          <w:sz w:val="21"/>
          <w:szCs w:val="21"/>
          <w:color w:val="auto"/>
        </w:rPr>
      </w:pPr>
    </w:p>
    <w:p>
      <w:pPr>
        <w:jc w:val="both"/>
        <w:ind w:firstLine="1148"/>
        <w:spacing w:after="0" w:line="251" w:lineRule="auto"/>
        <w:tabs>
          <w:tab w:leader="none" w:pos="1932" w:val="left"/>
        </w:tabs>
        <w:numPr>
          <w:ilvl w:val="1"/>
          <w:numId w:val="14"/>
        </w:numPr>
        <w:rPr>
          <w:rFonts w:ascii="Arial" w:cs="Arial" w:eastAsia="Arial" w:hAnsi="Arial"/>
          <w:sz w:val="21"/>
          <w:szCs w:val="21"/>
          <w:color w:val="auto"/>
        </w:rPr>
      </w:pPr>
      <w:r>
        <w:rPr>
          <w:rFonts w:ascii="Arial" w:cs="Arial" w:eastAsia="Arial" w:hAnsi="Arial"/>
          <w:sz w:val="21"/>
          <w:szCs w:val="21"/>
          <w:color w:val="auto"/>
        </w:rPr>
        <w:t>No Application of Section 409A. The RSUs and this Award Agreement are intended to avoid the application of Section 409A of the Code (“Section 409A”) because there is no deferral arrangement. Notwithstanding any other provision in the Plan or this Award Agreement to the contrary, the Committee shall have the right, in its sole discretion, to adopt such amendments to the Plan or this Award Agreement or take such other actions (including amendments and actions with retroactive effect) as the Committee determines are necessary or appropriate for the RSUs to comply with Section 409A.</w:t>
      </w:r>
    </w:p>
    <w:p>
      <w:pPr>
        <w:spacing w:after="0" w:line="253" w:lineRule="exact"/>
        <w:rPr>
          <w:rFonts w:ascii="Arial" w:cs="Arial" w:eastAsia="Arial" w:hAnsi="Arial"/>
          <w:sz w:val="21"/>
          <w:szCs w:val="21"/>
          <w:color w:val="auto"/>
        </w:rPr>
      </w:pPr>
    </w:p>
    <w:p>
      <w:pPr>
        <w:jc w:val="both"/>
        <w:ind w:firstLine="656"/>
        <w:spacing w:after="0" w:line="250" w:lineRule="auto"/>
        <w:tabs>
          <w:tab w:leader="none" w:pos="1290" w:val="left"/>
        </w:tabs>
        <w:numPr>
          <w:ilvl w:val="0"/>
          <w:numId w:val="15"/>
        </w:numPr>
        <w:rPr>
          <w:rFonts w:ascii="Arial" w:cs="Arial" w:eastAsia="Arial" w:hAnsi="Arial"/>
          <w:sz w:val="21"/>
          <w:szCs w:val="21"/>
          <w:color w:val="auto"/>
        </w:rPr>
      </w:pPr>
      <w:r>
        <w:rPr>
          <w:rFonts w:ascii="Arial" w:cs="Arial" w:eastAsia="Arial" w:hAnsi="Arial"/>
          <w:sz w:val="21"/>
          <w:szCs w:val="21"/>
          <w:color w:val="auto"/>
        </w:rPr>
        <w:t>Transferability of RSUs. The RSUs may not be transferred in any manner other than by will or by the laws of descent and distribution. Notwithstanding the foregoing, Participant may designate one or more beneficiaries of Participant’s RSUs in the event of Participant’s death on a beneficiary designation form provided by the Committee. The terms of this Award Agreement shall be binding upon the executors, administrators, heirs, successors and transferees of Participant.</w:t>
      </w:r>
    </w:p>
    <w:p>
      <w:pPr>
        <w:spacing w:after="0" w:line="254" w:lineRule="exact"/>
        <w:rPr>
          <w:rFonts w:ascii="Arial" w:cs="Arial" w:eastAsia="Arial" w:hAnsi="Arial"/>
          <w:sz w:val="21"/>
          <w:szCs w:val="21"/>
          <w:color w:val="auto"/>
        </w:rPr>
      </w:pPr>
    </w:p>
    <w:p>
      <w:pPr>
        <w:jc w:val="both"/>
        <w:ind w:firstLine="656"/>
        <w:spacing w:after="0" w:line="247" w:lineRule="auto"/>
        <w:tabs>
          <w:tab w:leader="none" w:pos="1290" w:val="left"/>
        </w:tabs>
        <w:numPr>
          <w:ilvl w:val="0"/>
          <w:numId w:val="15"/>
        </w:numPr>
        <w:rPr>
          <w:rFonts w:ascii="Arial" w:cs="Arial" w:eastAsia="Arial" w:hAnsi="Arial"/>
          <w:sz w:val="21"/>
          <w:szCs w:val="21"/>
          <w:color w:val="auto"/>
        </w:rPr>
      </w:pPr>
      <w:r>
        <w:rPr>
          <w:rFonts w:ascii="Arial" w:cs="Arial" w:eastAsia="Arial" w:hAnsi="Arial"/>
          <w:sz w:val="21"/>
          <w:szCs w:val="21"/>
          <w:color w:val="auto"/>
        </w:rPr>
        <w:t>Rights as a Shareholder of the Company. Participant’s receipt of the grant of RSUs pursuant to this Award Agreement shall provide and confer no rights to or status as a shareholder or equity holder of the Company. Without limiting the foregoing, the holding of RSUs shall NOT confer any right to: (i) vote; (ii) bring derivative actions; (iii) inspect books and records of the Company; (iv) receive dividends or other distributions except as provided in Section 2; or (v) have any other rights accorded owners of the Company’s shareholders or equity holders.</w:t>
      </w:r>
    </w:p>
    <w:p>
      <w:pPr>
        <w:spacing w:after="0" w:line="269" w:lineRule="exact"/>
        <w:rPr>
          <w:rFonts w:ascii="Arial" w:cs="Arial" w:eastAsia="Arial" w:hAnsi="Arial"/>
          <w:sz w:val="21"/>
          <w:szCs w:val="21"/>
          <w:color w:val="auto"/>
        </w:rPr>
      </w:pPr>
    </w:p>
    <w:p>
      <w:pPr>
        <w:ind w:firstLine="656"/>
        <w:spacing w:after="0" w:line="231" w:lineRule="auto"/>
        <w:tabs>
          <w:tab w:leader="none" w:pos="1274" w:val="left"/>
        </w:tabs>
        <w:numPr>
          <w:ilvl w:val="0"/>
          <w:numId w:val="15"/>
        </w:numPr>
        <w:rPr>
          <w:rFonts w:ascii="Arial" w:cs="Arial" w:eastAsia="Arial" w:hAnsi="Arial"/>
          <w:sz w:val="21"/>
          <w:szCs w:val="21"/>
          <w:color w:val="auto"/>
        </w:rPr>
      </w:pPr>
      <w:r>
        <w:rPr>
          <w:rFonts w:ascii="Arial" w:cs="Arial" w:eastAsia="Arial" w:hAnsi="Arial"/>
          <w:sz w:val="21"/>
          <w:szCs w:val="21"/>
          <w:color w:val="auto"/>
        </w:rPr>
        <w:t>Legality of Initial Issuance. No Shares of Common Stock shall be issued in accordance with Section 2 of this Award Agreement unless and until the Committee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-5007610</wp:posOffset>
            </wp:positionV>
            <wp:extent cx="18840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884045" cy="8890"/>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-3224530</wp:posOffset>
            </wp:positionV>
            <wp:extent cx="18973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897380" cy="8255"/>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-3061335</wp:posOffset>
            </wp:positionV>
            <wp:extent cx="7899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89940" cy="8890"/>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-2101215</wp:posOffset>
            </wp:positionV>
            <wp:extent cx="13830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1383030" cy="8890"/>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-1141095</wp:posOffset>
            </wp:positionV>
            <wp:extent cx="25596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559685" cy="8255"/>
                    </a:xfrm>
                    <a:prstGeom prst="rect">
                      <a:avLst/>
                    </a:prstGeom>
                    <a:noFill/>
                  </pic:spPr>
                </pic:pic>
              </a:graphicData>
            </a:graphic>
          </wp:anchor>
        </w:drawing>
        <w:drawing>
          <wp:anchor simplePos="0" relativeHeight="251657728" behindDoc="1" locked="0" layoutInCell="0" allowOverlap="1">
            <wp:simplePos x="0" y="0"/>
            <wp:positionH relativeFrom="column">
              <wp:posOffset>814070</wp:posOffset>
            </wp:positionH>
            <wp:positionV relativeFrom="paragraph">
              <wp:posOffset>-180975</wp:posOffset>
            </wp:positionV>
            <wp:extent cx="15913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59131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63"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determined that: (i) the Company and Participant have taken all actions required to register the Shares of Common Stock under the Securities Act or to perfect an exemption from the registration requirements thereof, if applicable; (ii) all applicable listing requirements of any stock exchange or other securities market on which the Shares of Common Stock are listed has been satisfied; and (iii) any other applicable provision of state or U.S. federal law or other applicable law has been satisfied.</w:t>
      </w:r>
    </w:p>
    <w:p>
      <w:pPr>
        <w:spacing w:after="0" w:line="254" w:lineRule="exact"/>
        <w:rPr>
          <w:sz w:val="20"/>
          <w:szCs w:val="20"/>
          <w:color w:val="auto"/>
        </w:rPr>
      </w:pPr>
    </w:p>
    <w:p>
      <w:pPr>
        <w:jc w:val="both"/>
        <w:ind w:firstLine="656"/>
        <w:spacing w:after="0" w:line="248" w:lineRule="auto"/>
        <w:tabs>
          <w:tab w:leader="none" w:pos="1290" w:val="left"/>
        </w:tabs>
        <w:numPr>
          <w:ilvl w:val="0"/>
          <w:numId w:val="16"/>
        </w:numPr>
        <w:rPr>
          <w:rFonts w:ascii="Arial" w:cs="Arial" w:eastAsia="Arial" w:hAnsi="Arial"/>
          <w:sz w:val="21"/>
          <w:szCs w:val="21"/>
          <w:color w:val="auto"/>
        </w:rPr>
      </w:pPr>
      <w:r>
        <w:rPr>
          <w:rFonts w:ascii="Arial" w:cs="Arial" w:eastAsia="Arial" w:hAnsi="Arial"/>
          <w:sz w:val="21"/>
          <w:szCs w:val="21"/>
          <w:color w:val="auto"/>
        </w:rPr>
        <w:t>Notice. Any notice required by the terms of this Award Agreement shall be given in writing and shall be deemed effective upon personal delivery or upon deposit with the U.S. Postal Service, by registered or certified mail, with postage and fees prepaid. Notice shall be addressed to the Company at its principal executive office and to the Participant at the address that he or she most recently provided to the Company.</w:t>
      </w:r>
    </w:p>
    <w:p>
      <w:pPr>
        <w:spacing w:after="0" w:line="257" w:lineRule="exact"/>
        <w:rPr>
          <w:rFonts w:ascii="Arial" w:cs="Arial" w:eastAsia="Arial" w:hAnsi="Arial"/>
          <w:sz w:val="21"/>
          <w:szCs w:val="21"/>
          <w:color w:val="auto"/>
        </w:rPr>
      </w:pPr>
    </w:p>
    <w:p>
      <w:pPr>
        <w:jc w:val="both"/>
        <w:ind w:firstLine="656"/>
        <w:spacing w:after="0" w:line="244" w:lineRule="auto"/>
        <w:tabs>
          <w:tab w:leader="none" w:pos="1290" w:val="left"/>
        </w:tabs>
        <w:numPr>
          <w:ilvl w:val="0"/>
          <w:numId w:val="16"/>
        </w:numPr>
        <w:rPr>
          <w:rFonts w:ascii="Arial" w:cs="Arial" w:eastAsia="Arial" w:hAnsi="Arial"/>
          <w:sz w:val="21"/>
          <w:szCs w:val="21"/>
          <w:color w:val="auto"/>
        </w:rPr>
      </w:pPr>
      <w:r>
        <w:rPr>
          <w:rFonts w:ascii="Arial" w:cs="Arial" w:eastAsia="Arial" w:hAnsi="Arial"/>
          <w:sz w:val="21"/>
          <w:szCs w:val="21"/>
          <w:color w:val="auto"/>
        </w:rPr>
        <w:t xml:space="preserve">Spousal Consent. To the extent Participant is married, Participant agrees to (i) provide Participant’s spouse with a copy of this Award Agreement prior to its execution by Participant and (ii) obtain such spouse’s consent to this Award Agreement as evidenced by such spouse’s execution of the Spousal Consent attached hereto as </w:t>
      </w:r>
      <w:r>
        <w:rPr>
          <w:rFonts w:ascii="Arial" w:cs="Arial" w:eastAsia="Arial" w:hAnsi="Arial"/>
          <w:sz w:val="21"/>
          <w:szCs w:val="21"/>
          <w:color w:val="auto"/>
          <w:highlight w:val="black"/>
        </w:rPr>
        <w:t>EXHIBIT A.</w:t>
      </w:r>
    </w:p>
    <w:p>
      <w:pPr>
        <w:spacing w:after="0" w:line="200" w:lineRule="exact"/>
        <w:rPr>
          <w:rFonts w:ascii="Arial" w:cs="Arial" w:eastAsia="Arial" w:hAnsi="Arial"/>
          <w:sz w:val="21"/>
          <w:szCs w:val="21"/>
          <w:color w:val="auto"/>
        </w:rPr>
      </w:pPr>
    </w:p>
    <w:p>
      <w:pPr>
        <w:spacing w:after="0" w:line="305" w:lineRule="exact"/>
        <w:rPr>
          <w:rFonts w:ascii="Arial" w:cs="Arial" w:eastAsia="Arial" w:hAnsi="Arial"/>
          <w:sz w:val="21"/>
          <w:szCs w:val="21"/>
          <w:color w:val="auto"/>
        </w:rPr>
      </w:pPr>
    </w:p>
    <w:p>
      <w:pPr>
        <w:jc w:val="both"/>
        <w:ind w:firstLine="656"/>
        <w:spacing w:after="0" w:line="247" w:lineRule="auto"/>
        <w:tabs>
          <w:tab w:leader="none" w:pos="1287" w:val="left"/>
        </w:tabs>
        <w:numPr>
          <w:ilvl w:val="0"/>
          <w:numId w:val="16"/>
        </w:numPr>
        <w:rPr>
          <w:rFonts w:ascii="Arial" w:cs="Arial" w:eastAsia="Arial" w:hAnsi="Arial"/>
          <w:sz w:val="21"/>
          <w:szCs w:val="21"/>
          <w:color w:val="auto"/>
        </w:rPr>
      </w:pPr>
      <w:r>
        <w:rPr>
          <w:rFonts w:ascii="Arial" w:cs="Arial" w:eastAsia="Arial" w:hAnsi="Arial"/>
          <w:sz w:val="21"/>
          <w:szCs w:val="21"/>
          <w:color w:val="auto"/>
        </w:rPr>
        <w:t>Successors and Assigns. Except as provided herein to the contrary, this Award Agreement shall be binding upon and inure to the benefit of the parties to this Award Agreement, their respective successors and permitted assigns.</w:t>
      </w:r>
    </w:p>
    <w:p>
      <w:pPr>
        <w:spacing w:after="0" w:line="200" w:lineRule="exact"/>
        <w:rPr>
          <w:rFonts w:ascii="Arial" w:cs="Arial" w:eastAsia="Arial" w:hAnsi="Arial"/>
          <w:sz w:val="21"/>
          <w:szCs w:val="21"/>
          <w:color w:val="auto"/>
        </w:rPr>
      </w:pPr>
    </w:p>
    <w:p>
      <w:pPr>
        <w:spacing w:after="0" w:line="301" w:lineRule="exact"/>
        <w:rPr>
          <w:rFonts w:ascii="Arial" w:cs="Arial" w:eastAsia="Arial" w:hAnsi="Arial"/>
          <w:sz w:val="21"/>
          <w:szCs w:val="21"/>
          <w:color w:val="auto"/>
        </w:rPr>
      </w:pPr>
    </w:p>
    <w:p>
      <w:pPr>
        <w:jc w:val="both"/>
        <w:ind w:firstLine="656"/>
        <w:spacing w:after="0" w:line="248" w:lineRule="auto"/>
        <w:tabs>
          <w:tab w:leader="none" w:pos="1287" w:val="left"/>
        </w:tabs>
        <w:numPr>
          <w:ilvl w:val="0"/>
          <w:numId w:val="16"/>
        </w:numPr>
        <w:rPr>
          <w:rFonts w:ascii="Arial" w:cs="Arial" w:eastAsia="Arial" w:hAnsi="Arial"/>
          <w:sz w:val="21"/>
          <w:szCs w:val="21"/>
          <w:color w:val="auto"/>
        </w:rPr>
      </w:pPr>
      <w:r>
        <w:rPr>
          <w:rFonts w:ascii="Arial" w:cs="Arial" w:eastAsia="Arial" w:hAnsi="Arial"/>
          <w:sz w:val="21"/>
          <w:szCs w:val="21"/>
          <w:color w:val="auto"/>
        </w:rPr>
        <w:t>No Assignment. Except as otherwise provided in this Award Agreement, Participant shall not assign any of his rights under this Award Agreement without the prior written consent of the Company, which consent may be withheld in its sole discretion. The Company shall be permitted to assign its rights or obligations under this Award Agreement, but no such assignment shall release the Company of any obligations pursuant to this Award Agreement.</w:t>
      </w:r>
    </w:p>
    <w:p>
      <w:pPr>
        <w:spacing w:after="0" w:line="257" w:lineRule="exact"/>
        <w:rPr>
          <w:rFonts w:ascii="Arial" w:cs="Arial" w:eastAsia="Arial" w:hAnsi="Arial"/>
          <w:sz w:val="21"/>
          <w:szCs w:val="21"/>
          <w:color w:val="auto"/>
        </w:rPr>
      </w:pPr>
    </w:p>
    <w:p>
      <w:pPr>
        <w:jc w:val="both"/>
        <w:ind w:firstLine="656"/>
        <w:spacing w:after="0" w:line="239" w:lineRule="auto"/>
        <w:tabs>
          <w:tab w:leader="none" w:pos="1287" w:val="left"/>
        </w:tabs>
        <w:numPr>
          <w:ilvl w:val="0"/>
          <w:numId w:val="16"/>
        </w:numPr>
        <w:rPr>
          <w:rFonts w:ascii="Arial" w:cs="Arial" w:eastAsia="Arial" w:hAnsi="Arial"/>
          <w:sz w:val="21"/>
          <w:szCs w:val="21"/>
          <w:color w:val="auto"/>
        </w:rPr>
      </w:pPr>
      <w:r>
        <w:rPr>
          <w:rFonts w:ascii="Arial" w:cs="Arial" w:eastAsia="Arial" w:hAnsi="Arial"/>
          <w:sz w:val="21"/>
          <w:szCs w:val="21"/>
          <w:color w:val="auto"/>
        </w:rPr>
        <w:t>Severability. The validity, legality or enforceability of the remainder of this Award Agreement shall not be affected even if one or more of the provisions of this Award Agreement shall be held to be invalid, illegal or unenforceable in any respect.</w:t>
      </w:r>
    </w:p>
    <w:p>
      <w:pPr>
        <w:spacing w:after="0" w:line="264" w:lineRule="exact"/>
        <w:rPr>
          <w:rFonts w:ascii="Arial" w:cs="Arial" w:eastAsia="Arial" w:hAnsi="Arial"/>
          <w:sz w:val="21"/>
          <w:szCs w:val="21"/>
          <w:color w:val="auto"/>
        </w:rPr>
      </w:pPr>
    </w:p>
    <w:p>
      <w:pPr>
        <w:jc w:val="both"/>
        <w:ind w:firstLine="656"/>
        <w:spacing w:after="0" w:line="245" w:lineRule="auto"/>
        <w:tabs>
          <w:tab w:leader="none" w:pos="1287" w:val="left"/>
        </w:tabs>
        <w:numPr>
          <w:ilvl w:val="0"/>
          <w:numId w:val="16"/>
        </w:numPr>
        <w:rPr>
          <w:rFonts w:ascii="Arial" w:cs="Arial" w:eastAsia="Arial" w:hAnsi="Arial"/>
          <w:sz w:val="21"/>
          <w:szCs w:val="21"/>
          <w:color w:val="auto"/>
        </w:rPr>
      </w:pPr>
      <w:r>
        <w:rPr>
          <w:rFonts w:ascii="Arial" w:cs="Arial" w:eastAsia="Arial" w:hAnsi="Arial"/>
          <w:sz w:val="21"/>
          <w:szCs w:val="21"/>
          <w:color w:val="auto"/>
        </w:rPr>
        <w:t>Amendment. Any provision of this Award Agreement may be amended and the observance thereof may be waived (either generally or in a particular instance and either retroactively or prospectively) only by a written instrument signed by the parties hereto.</w:t>
      </w:r>
    </w:p>
    <w:p>
      <w:pPr>
        <w:spacing w:after="0" w:line="259" w:lineRule="exact"/>
        <w:rPr>
          <w:rFonts w:ascii="Arial" w:cs="Arial" w:eastAsia="Arial" w:hAnsi="Arial"/>
          <w:sz w:val="21"/>
          <w:szCs w:val="21"/>
          <w:color w:val="auto"/>
        </w:rPr>
      </w:pPr>
    </w:p>
    <w:p>
      <w:pPr>
        <w:jc w:val="both"/>
        <w:ind w:firstLine="656"/>
        <w:spacing w:after="0" w:line="250" w:lineRule="auto"/>
        <w:tabs>
          <w:tab w:leader="none" w:pos="1285" w:val="left"/>
        </w:tabs>
        <w:numPr>
          <w:ilvl w:val="0"/>
          <w:numId w:val="16"/>
        </w:numPr>
        <w:rPr>
          <w:rFonts w:ascii="Arial" w:cs="Arial" w:eastAsia="Arial" w:hAnsi="Arial"/>
          <w:sz w:val="21"/>
          <w:szCs w:val="21"/>
          <w:color w:val="auto"/>
        </w:rPr>
      </w:pPr>
      <w:r>
        <w:rPr>
          <w:rFonts w:ascii="Arial" w:cs="Arial" w:eastAsia="Arial" w:hAnsi="Arial"/>
          <w:sz w:val="21"/>
          <w:szCs w:val="21"/>
          <w:color w:val="auto"/>
        </w:rPr>
        <w:t>Administration and Interpretation. Any determination by the Committee in connection with any question or issue arising under the Plan or this Award Agreement shall be final, conclusive and binding on Participant, the Company and all other persons. Any question or dispute regarding the interpretation of this Award Agreement or the receipt of the RSUs hereunder shall be submitted by Participant to the Committee. The resolution of such a dispute by the Committee shall be final and binding on all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-4962525</wp:posOffset>
            </wp:positionV>
            <wp:extent cx="3784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78460" cy="8255"/>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-4164965</wp:posOffset>
            </wp:positionV>
            <wp:extent cx="10255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1025525" cy="825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-3376295</wp:posOffset>
            </wp:positionV>
            <wp:extent cx="14700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1470025" cy="825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-2741930</wp:posOffset>
            </wp:positionV>
            <wp:extent cx="9067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906780" cy="8890"/>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-1945005</wp:posOffset>
            </wp:positionV>
            <wp:extent cx="6908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90880" cy="8890"/>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-1318895</wp:posOffset>
            </wp:positionV>
            <wp:extent cx="7315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31520" cy="8890"/>
                    </a:xfrm>
                    <a:prstGeom prst="rect">
                      <a:avLst/>
                    </a:prstGeom>
                    <a:noFill/>
                  </pic:spPr>
                </pic:pic>
              </a:graphicData>
            </a:graphic>
          </wp:anchor>
        </w:drawing>
        <w:drawing>
          <wp:anchor simplePos="0" relativeHeight="251657728" behindDoc="1" locked="0" layoutInCell="0" allowOverlap="1">
            <wp:simplePos x="0" y="0"/>
            <wp:positionH relativeFrom="column">
              <wp:posOffset>821055</wp:posOffset>
            </wp:positionH>
            <wp:positionV relativeFrom="paragraph">
              <wp:posOffset>-684530</wp:posOffset>
            </wp:positionV>
            <wp:extent cx="20142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63" w:lineRule="exact"/>
        <w:rPr>
          <w:sz w:val="20"/>
          <w:szCs w:val="20"/>
          <w:color w:val="auto"/>
        </w:rPr>
      </w:pPr>
    </w:p>
    <w:p>
      <w:pPr>
        <w:ind w:left="-656" w:firstLine="656"/>
        <w:spacing w:after="0" w:line="231" w:lineRule="auto"/>
        <w:tabs>
          <w:tab w:leader="none" w:pos="631" w:val="left"/>
        </w:tabs>
        <w:numPr>
          <w:ilvl w:val="0"/>
          <w:numId w:val="17"/>
        </w:numPr>
        <w:rPr>
          <w:rFonts w:ascii="Arial" w:cs="Arial" w:eastAsia="Arial" w:hAnsi="Arial"/>
          <w:sz w:val="21"/>
          <w:szCs w:val="21"/>
          <w:color w:val="auto"/>
        </w:rPr>
      </w:pPr>
      <w:r>
        <w:rPr>
          <w:rFonts w:ascii="Arial" w:cs="Arial" w:eastAsia="Arial" w:hAnsi="Arial"/>
          <w:sz w:val="21"/>
          <w:szCs w:val="21"/>
          <w:color w:val="auto"/>
        </w:rPr>
        <w:t>Headings. The section headings in this Award Agreement are inserted only as a matter of convenience, and in no way define, limit or interpret the scope of this Award Agreement or of any particular section.</w:t>
      </w:r>
    </w:p>
    <w:p>
      <w:pPr>
        <w:spacing w:after="0" w:line="264" w:lineRule="exact"/>
        <w:rPr>
          <w:rFonts w:ascii="Arial" w:cs="Arial" w:eastAsia="Arial" w:hAnsi="Arial"/>
          <w:sz w:val="21"/>
          <w:szCs w:val="21"/>
          <w:color w:val="auto"/>
        </w:rPr>
      </w:pPr>
    </w:p>
    <w:p>
      <w:pPr>
        <w:jc w:val="both"/>
        <w:ind w:left="-656" w:firstLine="656"/>
        <w:spacing w:after="0" w:line="248" w:lineRule="auto"/>
        <w:tabs>
          <w:tab w:leader="none" w:pos="631" w:val="left"/>
        </w:tabs>
        <w:numPr>
          <w:ilvl w:val="0"/>
          <w:numId w:val="17"/>
        </w:numPr>
        <w:rPr>
          <w:rFonts w:ascii="Arial" w:cs="Arial" w:eastAsia="Arial" w:hAnsi="Arial"/>
          <w:sz w:val="21"/>
          <w:szCs w:val="21"/>
          <w:color w:val="auto"/>
        </w:rPr>
      </w:pPr>
      <w:r>
        <w:rPr>
          <w:rFonts w:ascii="Arial" w:cs="Arial" w:eastAsia="Arial" w:hAnsi="Arial"/>
          <w:sz w:val="21"/>
          <w:szCs w:val="21"/>
          <w:color w:val="auto"/>
        </w:rPr>
        <w:t>Counterparts. The Notice may be executed simultaneously in two or more counterparts, each of which shall be deemed an original, but all of which together shall constitute one and the same instrument. Any counterpart or other signature delivered by facsimile shall be deemed for all purposes as being a good and valid execution and delivery of the Notice by that party.</w:t>
      </w:r>
    </w:p>
    <w:p>
      <w:pPr>
        <w:spacing w:after="0" w:line="257" w:lineRule="exact"/>
        <w:rPr>
          <w:rFonts w:ascii="Arial" w:cs="Arial" w:eastAsia="Arial" w:hAnsi="Arial"/>
          <w:sz w:val="21"/>
          <w:szCs w:val="21"/>
          <w:color w:val="auto"/>
        </w:rPr>
      </w:pPr>
    </w:p>
    <w:p>
      <w:pPr>
        <w:jc w:val="both"/>
        <w:ind w:left="-656" w:firstLine="656"/>
        <w:spacing w:after="0" w:line="251" w:lineRule="auto"/>
        <w:tabs>
          <w:tab w:leader="none" w:pos="615" w:val="left"/>
        </w:tabs>
        <w:numPr>
          <w:ilvl w:val="0"/>
          <w:numId w:val="17"/>
        </w:numPr>
        <w:rPr>
          <w:rFonts w:ascii="Arial" w:cs="Arial" w:eastAsia="Arial" w:hAnsi="Arial"/>
          <w:sz w:val="21"/>
          <w:szCs w:val="21"/>
          <w:color w:val="auto"/>
        </w:rPr>
      </w:pPr>
      <w:r>
        <w:rPr>
          <w:rFonts w:ascii="Arial" w:cs="Arial" w:eastAsia="Arial" w:hAnsi="Arial"/>
          <w:sz w:val="21"/>
          <w:szCs w:val="21"/>
          <w:color w:val="auto"/>
        </w:rPr>
        <w:t>Entire Agreement; Governing Law. Except as otherwise provided herein, this Award Agreement, together with the Notice and the Plan, constitute the entire agreement of the parties with respect to the subject matter hereof and supersede in their entirety all prior undertakings, representation and agreements of the Company and Participant (whether oral or written, and whether express or implied) with respect to the subject matter hereof. This Award Agreement, together with the Notice and the Plan, are to be construed in accordance with and governed by the federal laws of the United States of America and by the internal laws of the State of Texas without giving effect to any choice of law rule that would cause the application of the laws of any other jurisdiction.</w:t>
      </w:r>
    </w:p>
    <w:p>
      <w:pPr>
        <w:spacing w:after="0" w:line="257" w:lineRule="exact"/>
        <w:rPr>
          <w:rFonts w:ascii="Arial" w:cs="Arial" w:eastAsia="Arial" w:hAnsi="Arial"/>
          <w:sz w:val="21"/>
          <w:szCs w:val="21"/>
          <w:color w:val="auto"/>
        </w:rPr>
      </w:pPr>
    </w:p>
    <w:p>
      <w:pPr>
        <w:jc w:val="both"/>
        <w:ind w:left="-656" w:firstLine="656"/>
        <w:spacing w:after="0" w:line="254" w:lineRule="auto"/>
        <w:tabs>
          <w:tab w:leader="none" w:pos="631" w:val="left"/>
        </w:tabs>
        <w:numPr>
          <w:ilvl w:val="0"/>
          <w:numId w:val="17"/>
        </w:numPr>
        <w:rPr>
          <w:rFonts w:ascii="Arial" w:cs="Arial" w:eastAsia="Arial" w:hAnsi="Arial"/>
          <w:sz w:val="21"/>
          <w:szCs w:val="21"/>
          <w:color w:val="auto"/>
        </w:rPr>
      </w:pPr>
      <w:r>
        <w:rPr>
          <w:rFonts w:ascii="Arial" w:cs="Arial" w:eastAsia="Arial" w:hAnsi="Arial"/>
          <w:sz w:val="21"/>
          <w:szCs w:val="21"/>
          <w:color w:val="auto"/>
        </w:rPr>
        <w:t>Venue. The Company and Participant agree that any suit, action or proceeding arising out of or related to the Notice or this Award Agreement shall be brought in the United States District Court for the Southern District of Texas (or should such court lack jurisdiction to hear such action, suit or proceeding, in a Texas state court in Harris County), and that all parties shall submit to the jurisdiction of such court. The parties irrevocably waive, to the fullest extent permitted by law, any objection the party may have to the laying of venue for any such suit, action or proceeding brought in such court. If any one or more provisions of this Section 18 shall for any reason be held invalid or unenforceable, it is the specific intent of the parties that such provisions shall be modified to the minimum extent necessary to make it or its application valid and enforceable.</w:t>
      </w:r>
    </w:p>
    <w:p>
      <w:pPr>
        <w:spacing w:after="0" w:line="250" w:lineRule="exact"/>
        <w:rPr>
          <w:rFonts w:ascii="Arial" w:cs="Arial" w:eastAsia="Arial" w:hAnsi="Arial"/>
          <w:sz w:val="21"/>
          <w:szCs w:val="21"/>
          <w:color w:val="auto"/>
        </w:rPr>
      </w:pPr>
    </w:p>
    <w:p>
      <w:pPr>
        <w:jc w:val="both"/>
        <w:ind w:left="-656" w:firstLine="656"/>
        <w:spacing w:after="0" w:line="254" w:lineRule="auto"/>
        <w:tabs>
          <w:tab w:leader="none" w:pos="631" w:val="left"/>
        </w:tabs>
        <w:numPr>
          <w:ilvl w:val="0"/>
          <w:numId w:val="17"/>
        </w:numPr>
        <w:rPr>
          <w:rFonts w:ascii="Arial" w:cs="Arial" w:eastAsia="Arial" w:hAnsi="Arial"/>
          <w:sz w:val="21"/>
          <w:szCs w:val="21"/>
          <w:color w:val="auto"/>
        </w:rPr>
      </w:pPr>
      <w:r>
        <w:rPr>
          <w:rFonts w:ascii="Arial" w:cs="Arial" w:eastAsia="Arial" w:hAnsi="Arial"/>
          <w:sz w:val="21"/>
          <w:szCs w:val="21"/>
          <w:color w:val="auto"/>
        </w:rPr>
        <w:t>No Guarantee of Service Provider Status. PARTICIPANT ACKNOWLEDGES AND AGREES THAT THE VESTING OF RSUs PURSUANT TO THE VESTING SCHEDULE HEREOF IS EARNED ONLY BY CONTINUOUS SERVICE AS A SERVICE PROVIDER AND AT THE WILL OF THE COMPANY (NOT THROUGH THE ACT OF BEING HIRED, BEING GRANTED RSUs OR ACQUIRING COMMON STOCK HEREUNDER). PARTICIPANT FURTHER ACKNOWLEDGES AND AGREES THAT THIS AWARD AGREEMENT, THE RIGHT GRANTED HEREUNDER, THE TRANSACTIONS CONTEMPLATED HEREUNDER AND THE VESTING SCHEDULE SET FORTH IN THIS AWARD AGREEMENT DO NOT CONSTITUTE AN EXPRESS OR IMPLIED PROMISE OF CONTINUED ENGAGEMENT AS A SERVICE PROVIDER FOR THE VESTING PERIOD, FOR ANY PERIOD, OR AT ALL, AND SHALL NOT INTERFERE IN ANY WAY WITH PARTICIPANT’S RIGHT OR THE COMPANY’S/AFFILIATE’S RIGHT TO TERMINATE PARTICIPANT’S RELATIONSHIP AS A SERVICE PROVIDER AT ANY TIME,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-5512435</wp:posOffset>
            </wp:positionV>
            <wp:extent cx="5575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405765</wp:posOffset>
            </wp:positionH>
            <wp:positionV relativeFrom="paragraph">
              <wp:posOffset>-5049520</wp:posOffset>
            </wp:positionV>
            <wp:extent cx="7816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81685" cy="8255"/>
                    </a:xfrm>
                    <a:prstGeom prst="rect">
                      <a:avLst/>
                    </a:prstGeom>
                    <a:noFill/>
                  </pic:spPr>
                </pic:pic>
              </a:graphicData>
            </a:graphic>
          </wp:anchor>
        </w:drawing>
        <w:drawing>
          <wp:anchor simplePos="0" relativeHeight="251657728" behindDoc="1" locked="0" layoutInCell="0" allowOverlap="1">
            <wp:simplePos x="0" y="0"/>
            <wp:positionH relativeFrom="column">
              <wp:posOffset>395605</wp:posOffset>
            </wp:positionH>
            <wp:positionV relativeFrom="paragraph">
              <wp:posOffset>-4251960</wp:posOffset>
            </wp:positionV>
            <wp:extent cx="21907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190750" cy="8255"/>
                    </a:xfrm>
                    <a:prstGeom prst="rect">
                      <a:avLst/>
                    </a:prstGeom>
                    <a:noFill/>
                  </pic:spPr>
                </pic:pic>
              </a:graphicData>
            </a:graphic>
          </wp:anchor>
        </w:drawing>
        <w:drawing>
          <wp:anchor simplePos="0" relativeHeight="251657728" behindDoc="1" locked="0" layoutInCell="0" allowOverlap="1">
            <wp:simplePos x="0" y="0"/>
            <wp:positionH relativeFrom="column">
              <wp:posOffset>405765</wp:posOffset>
            </wp:positionH>
            <wp:positionV relativeFrom="paragraph">
              <wp:posOffset>-2966085</wp:posOffset>
            </wp:positionV>
            <wp:extent cx="3727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72745" cy="8255"/>
                    </a:xfrm>
                    <a:prstGeom prst="rect">
                      <a:avLst/>
                    </a:prstGeom>
                    <a:noFill/>
                  </pic:spPr>
                </pic:pic>
              </a:graphicData>
            </a:graphic>
          </wp:anchor>
        </w:drawing>
        <w:drawing>
          <wp:anchor simplePos="0" relativeHeight="251657728" behindDoc="1" locked="0" layoutInCell="0" allowOverlap="1">
            <wp:simplePos x="0" y="0"/>
            <wp:positionH relativeFrom="column">
              <wp:posOffset>405765</wp:posOffset>
            </wp:positionH>
            <wp:positionV relativeFrom="paragraph">
              <wp:posOffset>-1508760</wp:posOffset>
            </wp:positionV>
            <wp:extent cx="26022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2602230" cy="8890"/>
                    </a:xfrm>
                    <a:prstGeom prst="rect">
                      <a:avLst/>
                    </a:prstGeom>
                    <a:noFill/>
                  </pic:spPr>
                </pic:pic>
              </a:graphicData>
            </a:graphic>
          </wp:anchor>
        </w:drawing>
      </w:r>
    </w:p>
    <w:p>
      <w:pPr>
        <w:sectPr>
          <w:pgSz w:w="11900" w:h="16838" w:orient="portrait"/>
          <w:cols w:equalWidth="0" w:num="1">
            <w:col w:w="10584"/>
          </w:cols>
          <w:pgMar w:left="976" w:top="1440" w:right="339" w:bottom="1440" w:gutter="0" w:footer="0" w:header="0"/>
        </w:sectPr>
      </w:pPr>
    </w:p>
    <w:bookmarkStart w:id="38" w:name="page39"/>
    <w:bookmarkEnd w:id="38"/>
    <w:p>
      <w:pPr>
        <w:spacing w:after="0" w:line="263" w:lineRule="exact"/>
        <w:rPr>
          <w:sz w:val="20"/>
          <w:szCs w:val="20"/>
          <w:color w:val="auto"/>
        </w:rPr>
      </w:pPr>
    </w:p>
    <w:p>
      <w:pPr>
        <w:jc w:val="both"/>
        <w:ind w:left="-656" w:firstLine="656"/>
        <w:spacing w:after="0" w:line="250" w:lineRule="auto"/>
        <w:tabs>
          <w:tab w:leader="none" w:pos="631" w:val="left"/>
        </w:tabs>
        <w:numPr>
          <w:ilvl w:val="0"/>
          <w:numId w:val="18"/>
        </w:numPr>
        <w:rPr>
          <w:rFonts w:ascii="Arial" w:cs="Arial" w:eastAsia="Arial" w:hAnsi="Arial"/>
          <w:sz w:val="21"/>
          <w:szCs w:val="21"/>
          <w:color w:val="auto"/>
        </w:rPr>
      </w:pPr>
      <w:r>
        <w:rPr>
          <w:rFonts w:ascii="Arial" w:cs="Arial" w:eastAsia="Arial" w:hAnsi="Arial"/>
          <w:sz w:val="21"/>
          <w:szCs w:val="21"/>
          <w:color w:val="auto"/>
        </w:rPr>
        <w:t>Unsecured General Creditor. Participant shall have no legal or equitable rights, interests or claims in any property or assets of the Company due to the Notice, this Award Agreement and the grant of RSUs hereunder. For purposes of the payment of benefits under the Notice and this Award Agreement, Participant shall have no more rights than those of a general creditor of the Company. The Company’s obligation under the Notice and this Award Agreement shall be that of a conditional unfunded and unsecured promise to pay money or property in the future.</w:t>
      </w:r>
    </w:p>
    <w:p>
      <w:pPr>
        <w:spacing w:after="0" w:line="254" w:lineRule="exact"/>
        <w:rPr>
          <w:rFonts w:ascii="Arial" w:cs="Arial" w:eastAsia="Arial" w:hAnsi="Arial"/>
          <w:sz w:val="21"/>
          <w:szCs w:val="21"/>
          <w:color w:val="auto"/>
        </w:rPr>
      </w:pPr>
    </w:p>
    <w:p>
      <w:pPr>
        <w:jc w:val="both"/>
        <w:ind w:left="-656" w:firstLine="656"/>
        <w:spacing w:after="0" w:line="248" w:lineRule="auto"/>
        <w:tabs>
          <w:tab w:leader="none" w:pos="631" w:val="left"/>
        </w:tabs>
        <w:numPr>
          <w:ilvl w:val="0"/>
          <w:numId w:val="18"/>
        </w:numPr>
        <w:rPr>
          <w:rFonts w:ascii="Arial" w:cs="Arial" w:eastAsia="Arial" w:hAnsi="Arial"/>
          <w:sz w:val="21"/>
          <w:szCs w:val="21"/>
          <w:color w:val="auto"/>
        </w:rPr>
      </w:pPr>
      <w:r>
        <w:rPr>
          <w:rFonts w:ascii="Arial" w:cs="Arial" w:eastAsia="Arial" w:hAnsi="Arial"/>
          <w:sz w:val="21"/>
          <w:szCs w:val="21"/>
          <w:color w:val="auto"/>
        </w:rPr>
        <w:t>Waiver. Failure to insist upon strict compliance with any of the terms, covenants, or conditions hereof will not be deemed a waiver of such term, covenant, or condition, nor will any waiver or relinquishment of, or failure to insist upon strict compliance with, any right or power hereunder at any one or more times be deemed a waiver or relinquishment of such right or power at any other time or times.</w:t>
      </w:r>
    </w:p>
    <w:p>
      <w:pPr>
        <w:spacing w:after="0" w:line="200" w:lineRule="exact"/>
        <w:rPr>
          <w:rFonts w:ascii="Arial" w:cs="Arial" w:eastAsia="Arial" w:hAnsi="Arial"/>
          <w:sz w:val="21"/>
          <w:szCs w:val="21"/>
          <w:color w:val="auto"/>
        </w:rPr>
      </w:pPr>
    </w:p>
    <w:p>
      <w:pPr>
        <w:spacing w:after="0" w:line="376" w:lineRule="exact"/>
        <w:rPr>
          <w:rFonts w:ascii="Arial" w:cs="Arial" w:eastAsia="Arial" w:hAnsi="Arial"/>
          <w:sz w:val="21"/>
          <w:szCs w:val="21"/>
          <w:color w:val="auto"/>
        </w:rPr>
      </w:pPr>
    </w:p>
    <w:p>
      <w:pPr>
        <w:ind w:left="4544"/>
        <w:spacing w:after="0"/>
        <w:rPr>
          <w:rFonts w:ascii="Arial" w:cs="Arial" w:eastAsia="Arial" w:hAnsi="Arial"/>
          <w:sz w:val="21"/>
          <w:szCs w:val="21"/>
          <w:color w:val="auto"/>
        </w:rPr>
      </w:pPr>
      <w:r>
        <w:rPr>
          <w:rFonts w:ascii="Arial" w:cs="Arial" w:eastAsia="Arial" w:hAnsi="Arial"/>
          <w:sz w:val="21"/>
          <w:szCs w:val="21"/>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-1999615</wp:posOffset>
            </wp:positionV>
            <wp:extent cx="16656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1665605" cy="8255"/>
                    </a:xfrm>
                    <a:prstGeom prst="rect">
                      <a:avLst/>
                    </a:prstGeom>
                    <a:noFill/>
                  </pic:spPr>
                </pic:pic>
              </a:graphicData>
            </a:graphic>
          </wp:anchor>
        </w:drawing>
        <w:drawing>
          <wp:anchor simplePos="0" relativeHeight="251657728" behindDoc="1" locked="0" layoutInCell="0" allowOverlap="1">
            <wp:simplePos x="0" y="0"/>
            <wp:positionH relativeFrom="column">
              <wp:posOffset>405765</wp:posOffset>
            </wp:positionH>
            <wp:positionV relativeFrom="paragraph">
              <wp:posOffset>-1039495</wp:posOffset>
            </wp:positionV>
            <wp:extent cx="4108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410845" cy="8255"/>
                    </a:xfrm>
                    <a:prstGeom prst="rect">
                      <a:avLst/>
                    </a:prstGeom>
                    <a:noFill/>
                  </pic:spPr>
                </pic:pic>
              </a:graphicData>
            </a:graphic>
          </wp:anchor>
        </w:drawing>
      </w:r>
    </w:p>
    <w:p>
      <w:pPr>
        <w:sectPr>
          <w:pgSz w:w="11900" w:h="16838" w:orient="portrait"/>
          <w:cols w:equalWidth="0" w:num="1">
            <w:col w:w="10584"/>
          </w:cols>
          <w:pgMar w:left="976" w:top="1440" w:right="339" w:bottom="1440" w:gutter="0" w:footer="0" w:header="0"/>
        </w:sectPr>
      </w:pPr>
    </w:p>
    <w:bookmarkStart w:id="39" w:name="page40"/>
    <w:bookmarkEnd w:id="39"/>
    <w:p>
      <w:pPr>
        <w:spacing w:after="0" w:line="231" w:lineRule="exact"/>
        <w:rPr>
          <w:sz w:val="20"/>
          <w:szCs w:val="20"/>
          <w:color w:val="auto"/>
        </w:rPr>
      </w:pPr>
    </w:p>
    <w:p>
      <w:pPr>
        <w:jc w:val="right"/>
        <w:spacing w:after="0"/>
        <w:rPr>
          <w:sz w:val="20"/>
          <w:szCs w:val="20"/>
          <w:color w:val="auto"/>
        </w:rPr>
      </w:pPr>
      <w:r>
        <w:rPr>
          <w:rFonts w:ascii="Arial" w:cs="Arial" w:eastAsia="Arial" w:hAnsi="Arial"/>
          <w:sz w:val="21"/>
          <w:szCs w:val="21"/>
          <w:color w:val="auto"/>
          <w:highlight w:val="black"/>
        </w:rPr>
        <w:t>EXHIBIT 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RESTRICTED STOCK UNIT AWARD AGREEMENT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highlight w:val="black"/>
        </w:rPr>
        <w:t>SPOUSAL CONSENT</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 the undersigned, hereby certify that:</w:t>
      </w:r>
    </w:p>
    <w:p>
      <w:pPr>
        <w:spacing w:after="0" w:line="231"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21"/>
          <w:szCs w:val="21"/>
          <w:color w:val="auto"/>
        </w:rPr>
      </w:pPr>
      <w:r>
        <w:rPr>
          <w:rFonts w:ascii="Arial" w:cs="Arial" w:eastAsia="Arial" w:hAnsi="Arial"/>
          <w:sz w:val="21"/>
          <w:szCs w:val="21"/>
          <w:color w:val="auto"/>
        </w:rPr>
        <w:t>I am the spouse of .</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400" w:type="dxa"/>
            <w:vAlign w:val="bottom"/>
          </w:tcPr>
          <w:p>
            <w:pPr>
              <w:spacing w:after="0"/>
              <w:rPr>
                <w:sz w:val="20"/>
                <w:szCs w:val="20"/>
                <w:color w:val="auto"/>
              </w:rPr>
            </w:pPr>
            <w:r>
              <w:rPr>
                <w:rFonts w:ascii="Arial" w:cs="Arial" w:eastAsia="Arial" w:hAnsi="Arial"/>
                <w:sz w:val="21"/>
                <w:szCs w:val="21"/>
                <w:color w:val="auto"/>
              </w:rPr>
              <w:t>2.</w:t>
            </w:r>
          </w:p>
        </w:tc>
        <w:tc>
          <w:tcPr>
            <w:tcW w:w="7000" w:type="dxa"/>
            <w:vAlign w:val="bottom"/>
          </w:tcPr>
          <w:p>
            <w:pPr>
              <w:ind w:left="240"/>
              <w:spacing w:after="0"/>
              <w:rPr>
                <w:sz w:val="20"/>
                <w:szCs w:val="20"/>
                <w:color w:val="auto"/>
              </w:rPr>
            </w:pPr>
            <w:r>
              <w:rPr>
                <w:rFonts w:ascii="Arial" w:cs="Arial" w:eastAsia="Arial" w:hAnsi="Arial"/>
                <w:sz w:val="21"/>
                <w:szCs w:val="21"/>
                <w:color w:val="auto"/>
              </w:rPr>
              <w:t>Each of the undersigned and the undersigned’s spouse is a resident of</w:t>
            </w:r>
          </w:p>
        </w:tc>
        <w:tc>
          <w:tcPr>
            <w:tcW w:w="2760" w:type="dxa"/>
            <w:vAlign w:val="bottom"/>
            <w:tcBorders>
              <w:bottom w:val="single" w:sz="8" w:color="auto"/>
            </w:tcBorders>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161"/>
        </w:trPr>
        <w:tc>
          <w:tcPr>
            <w:tcW w:w="7400" w:type="dxa"/>
            <w:vAlign w:val="bottom"/>
            <w:gridSpan w:val="2"/>
          </w:tcPr>
          <w:p>
            <w:pPr>
              <w:spacing w:after="0"/>
              <w:rPr>
                <w:sz w:val="20"/>
                <w:szCs w:val="20"/>
                <w:color w:val="auto"/>
              </w:rPr>
            </w:pPr>
            <w:r>
              <w:rPr>
                <w:rFonts w:ascii="Arial" w:cs="Arial" w:eastAsia="Arial" w:hAnsi="Arial"/>
                <w:sz w:val="14"/>
                <w:szCs w:val="14"/>
                <w:color w:val="auto"/>
              </w:rPr>
              <w:t>(County or Province)</w:t>
            </w: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r>
    </w:tbl>
    <w:p>
      <w:pPr>
        <w:spacing w:after="0" w:line="278" w:lineRule="exact"/>
        <w:rPr>
          <w:sz w:val="20"/>
          <w:szCs w:val="20"/>
          <w:color w:val="auto"/>
        </w:rPr>
      </w:pPr>
    </w:p>
    <w:p>
      <w:pPr>
        <w:jc w:val="both"/>
        <w:ind w:firstLine="656"/>
        <w:spacing w:after="0" w:line="244" w:lineRule="auto"/>
        <w:tabs>
          <w:tab w:leader="none" w:pos="1290" w:val="left"/>
        </w:tabs>
        <w:numPr>
          <w:ilvl w:val="0"/>
          <w:numId w:val="20"/>
        </w:numPr>
        <w:rPr>
          <w:rFonts w:ascii="Arial" w:cs="Arial" w:eastAsia="Arial" w:hAnsi="Arial"/>
          <w:sz w:val="21"/>
          <w:szCs w:val="21"/>
          <w:color w:val="auto"/>
        </w:rPr>
      </w:pPr>
      <w:r>
        <w:rPr>
          <w:rFonts w:ascii="Arial" w:cs="Arial" w:eastAsia="Arial" w:hAnsi="Arial"/>
          <w:sz w:val="21"/>
          <w:szCs w:val="21"/>
          <w:color w:val="auto"/>
        </w:rPr>
        <w:t>I have read the Powell Industries, Inc. 2014 Equity Incentive Plan (the “Plan”) and the Restricted Stock Unit Award Agreement (the “Award Agreement”), by and between Powell Industries, Inc. (the “Company”), and my spouse. I have had the opportunity to consult independent legal counsel regarding the contents of the Award Agreement and the Plan.</w:t>
      </w:r>
    </w:p>
    <w:p>
      <w:pPr>
        <w:spacing w:after="0" w:line="241" w:lineRule="exact"/>
        <w:rPr>
          <w:rFonts w:ascii="Arial" w:cs="Arial" w:eastAsia="Arial" w:hAnsi="Arial"/>
          <w:sz w:val="21"/>
          <w:szCs w:val="21"/>
          <w:color w:val="auto"/>
        </w:rPr>
      </w:pPr>
    </w:p>
    <w:p>
      <w:pPr>
        <w:ind w:left="1300" w:hanging="644"/>
        <w:spacing w:after="0"/>
        <w:tabs>
          <w:tab w:leader="none" w:pos="13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I understand the terms and conditions of the Award Agreement and the Plan.</w:t>
      </w:r>
    </w:p>
    <w:p>
      <w:pPr>
        <w:spacing w:after="0" w:line="262" w:lineRule="exact"/>
        <w:rPr>
          <w:rFonts w:ascii="Arial" w:cs="Arial" w:eastAsia="Arial" w:hAnsi="Arial"/>
          <w:sz w:val="21"/>
          <w:szCs w:val="21"/>
          <w:color w:val="auto"/>
        </w:rPr>
      </w:pPr>
    </w:p>
    <w:p>
      <w:pPr>
        <w:jc w:val="both"/>
        <w:ind w:firstLine="656"/>
        <w:spacing w:after="0" w:line="244" w:lineRule="auto"/>
        <w:tabs>
          <w:tab w:leader="none" w:pos="1290" w:val="left"/>
        </w:tabs>
        <w:numPr>
          <w:ilvl w:val="0"/>
          <w:numId w:val="20"/>
        </w:numPr>
        <w:rPr>
          <w:rFonts w:ascii="Arial" w:cs="Arial" w:eastAsia="Arial" w:hAnsi="Arial"/>
          <w:sz w:val="21"/>
          <w:szCs w:val="21"/>
          <w:color w:val="auto"/>
        </w:rPr>
      </w:pPr>
      <w:r>
        <w:rPr>
          <w:rFonts w:ascii="Arial" w:cs="Arial" w:eastAsia="Arial" w:hAnsi="Arial"/>
          <w:sz w:val="21"/>
          <w:szCs w:val="21"/>
          <w:color w:val="auto"/>
        </w:rPr>
        <w:t>I hereby consent to the terms of the Award Agreement and the Plan and to their application to and binding effect upon any community property or other interest I may have in the RSUs (it being understood that this Spousal Consent shall in no way be construed to create any such interest). I agree that I will take no action at any time to hinder the operation of the transactions contemplated in and by the Award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-1606550</wp:posOffset>
            </wp:positionV>
            <wp:extent cx="2552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255270" cy="889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-1443990</wp:posOffset>
            </wp:positionV>
            <wp:extent cx="10909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1090930"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-1443990</wp:posOffset>
            </wp:positionV>
            <wp:extent cx="5632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563245" cy="8255"/>
                    </a:xfrm>
                    <a:prstGeom prst="rect">
                      <a:avLst/>
                    </a:prstGeom>
                    <a:noFill/>
                  </pic:spPr>
                </pic:pic>
              </a:graphicData>
            </a:graphic>
          </wp:anchor>
        </w:drawing>
      </w:r>
    </w:p>
    <w:p>
      <w:pPr>
        <w:spacing w:after="0" w:line="222" w:lineRule="exact"/>
        <w:rPr>
          <w:sz w:val="20"/>
          <w:szCs w:val="20"/>
          <w:color w:val="auto"/>
        </w:rPr>
      </w:pPr>
    </w:p>
    <w:p>
      <w:pPr>
        <w:ind w:left="660"/>
        <w:spacing w:after="0"/>
        <w:tabs>
          <w:tab w:leader="none" w:pos="8900" w:val="left"/>
        </w:tabs>
        <w:rPr>
          <w:sz w:val="20"/>
          <w:szCs w:val="20"/>
          <w:color w:val="auto"/>
        </w:rPr>
      </w:pPr>
      <w:r>
        <w:rPr>
          <w:rFonts w:ascii="Arial" w:cs="Arial" w:eastAsia="Arial" w:hAnsi="Arial"/>
          <w:sz w:val="21"/>
          <w:szCs w:val="21"/>
          <w:color w:val="auto"/>
        </w:rPr>
        <w:t>IN WITNESS WHEREOF, this Spousal Consent has been executed as of</w:t>
      </w:r>
      <w:r>
        <w:rPr>
          <w:sz w:val="20"/>
          <w:szCs w:val="20"/>
          <w:color w:val="auto"/>
        </w:rPr>
        <w:tab/>
      </w:r>
      <w:r>
        <w:rPr>
          <w:rFonts w:ascii="Arial" w:cs="Arial" w:eastAsia="Arial" w:hAnsi="Arial"/>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-19050</wp:posOffset>
            </wp:positionV>
            <wp:extent cx="10699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1069975"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280"/>
        <w:spacing w:after="0"/>
        <w:rPr>
          <w:sz w:val="20"/>
          <w:szCs w:val="20"/>
          <w:color w:val="auto"/>
        </w:rPr>
      </w:pPr>
      <w:r>
        <w:rPr>
          <w:rFonts w:ascii="Arial" w:cs="Arial" w:eastAsia="Arial" w:hAnsi="Arial"/>
          <w:sz w:val="21"/>
          <w:szCs w:val="21"/>
          <w:color w:val="auto"/>
          <w:highlight w:val="black"/>
        </w:rPr>
        <w:t>SPOUSE:</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-19050</wp:posOffset>
            </wp:positionV>
            <wp:extent cx="1714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38" w:lineRule="exact"/>
        <w:rPr>
          <w:sz w:val="20"/>
          <w:szCs w:val="20"/>
          <w:color w:val="auto"/>
        </w:rPr>
      </w:pPr>
    </w:p>
    <w:p>
      <w:pPr>
        <w:ind w:left="280"/>
        <w:spacing w:after="0"/>
        <w:rPr>
          <w:sz w:val="20"/>
          <w:szCs w:val="20"/>
          <w:color w:val="auto"/>
        </w:rPr>
      </w:pPr>
      <w:r>
        <w:rPr>
          <w:rFonts w:ascii="Arial" w:cs="Arial" w:eastAsia="Arial" w:hAnsi="Arial"/>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-19050</wp:posOffset>
            </wp:positionV>
            <wp:extent cx="1714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ind w:left="10220"/>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highlight w:val="black"/>
        </w:rPr>
        <w:t>POWELL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color w:val="auto"/>
          <w:highlight w:val="black"/>
        </w:rPr>
        <w:t>2014 EQUITY INCENTIVE PLAN</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AMENDED NOTICE OF PERFORMANCE UNITS AWARD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highlight w:val="black"/>
        </w:rPr>
        <w:t>(PERFORMANCE-VESTING)</w:t>
      </w:r>
    </w:p>
    <w:p>
      <w:pPr>
        <w:spacing w:after="0" w:line="326" w:lineRule="exact"/>
        <w:rPr>
          <w:sz w:val="20"/>
          <w:szCs w:val="20"/>
          <w:color w:val="auto"/>
        </w:rPr>
      </w:pPr>
    </w:p>
    <w:p>
      <w:pPr>
        <w:ind w:left="500"/>
        <w:spacing w:after="0"/>
        <w:rPr>
          <w:sz w:val="20"/>
          <w:szCs w:val="20"/>
          <w:color w:val="auto"/>
        </w:rPr>
      </w:pPr>
      <w:r>
        <w:rPr>
          <w:rFonts w:ascii="Arial" w:cs="Arial" w:eastAsia="Arial" w:hAnsi="Arial"/>
          <w:sz w:val="21"/>
          <w:szCs w:val="21"/>
          <w:color w:val="auto"/>
        </w:rPr>
        <w:t>Subject to the terms and conditions of this Notice of Performance Unit Award (this “Notice”), the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5541010</wp:posOffset>
            </wp:positionH>
            <wp:positionV relativeFrom="paragraph">
              <wp:posOffset>-19050</wp:posOffset>
            </wp:positionV>
            <wp:extent cx="3784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78460" cy="8255"/>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1"/>
          <w:szCs w:val="21"/>
          <w:color w:val="auto"/>
        </w:rPr>
        <w:t>Unit Award Agreement attached hereto (the “Award Agreement”), and the Powell Industries, Inc. 2014 Equity Incentive Plan (the “Plan”), the below individual (the “Participant”) is hereby granted the below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-155575</wp:posOffset>
            </wp:positionV>
            <wp:extent cx="11169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1116965" cy="825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-18415</wp:posOffset>
            </wp:positionV>
            <wp:extent cx="2552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25527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-18415</wp:posOffset>
            </wp:positionV>
            <wp:extent cx="6356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635635" cy="8890"/>
                    </a:xfrm>
                    <a:prstGeom prst="rect">
                      <a:avLst/>
                    </a:prstGeom>
                    <a:noFill/>
                  </pic:spPr>
                </pic:pic>
              </a:graphicData>
            </a:graphic>
          </wp:anchor>
        </w:drawing>
      </w:r>
    </w:p>
    <w:p>
      <w:pPr>
        <w:spacing w:after="0" w:line="1" w:lineRule="exact"/>
        <w:rPr>
          <w:sz w:val="20"/>
          <w:szCs w:val="20"/>
          <w:color w:val="auto"/>
        </w:rPr>
      </w:pPr>
    </w:p>
    <w:p>
      <w:pPr>
        <w:ind w:right="20"/>
        <w:spacing w:after="0" w:line="218" w:lineRule="auto"/>
        <w:rPr>
          <w:sz w:val="20"/>
          <w:szCs w:val="20"/>
          <w:color w:val="auto"/>
        </w:rPr>
      </w:pPr>
      <w:r>
        <w:rPr>
          <w:rFonts w:ascii="Arial" w:cs="Arial" w:eastAsia="Arial" w:hAnsi="Arial"/>
          <w:sz w:val="21"/>
          <w:szCs w:val="21"/>
          <w:color w:val="auto"/>
        </w:rPr>
        <w:t>Performance Units (the “Performance Units”) in Powell Industries, Inc. (the “Company”). Unless otherwise specifically indicated, all terms used in this Notice shall have the meaning as set forth in the Award Agreement 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1500505</wp:posOffset>
            </wp:positionH>
            <wp:positionV relativeFrom="paragraph">
              <wp:posOffset>-164465</wp:posOffset>
            </wp:positionV>
            <wp:extent cx="11074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1107440" cy="8255"/>
                    </a:xfrm>
                    <a:prstGeom prst="rect">
                      <a:avLst/>
                    </a:prstGeom>
                    <a:noFill/>
                  </pic:spPr>
                </pic:pic>
              </a:graphicData>
            </a:graphic>
          </wp:anchor>
        </w:drawing>
        <w:drawing>
          <wp:anchor simplePos="0" relativeHeight="251657728" behindDoc="1" locked="0" layoutInCell="0" allowOverlap="1">
            <wp:simplePos x="0" y="0"/>
            <wp:positionH relativeFrom="column">
              <wp:posOffset>4657090</wp:posOffset>
            </wp:positionH>
            <wp:positionV relativeFrom="paragraph">
              <wp:posOffset>-164465</wp:posOffset>
            </wp:positionV>
            <wp:extent cx="5632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563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1"/>
          <w:szCs w:val="21"/>
          <w:color w:val="auto"/>
        </w:rPr>
        <w:t>Identifying Information:</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1620" w:type="dxa"/>
            <w:vAlign w:val="bottom"/>
          </w:tcPr>
          <w:p>
            <w:pPr>
              <w:jc w:val="right"/>
              <w:spacing w:after="0"/>
              <w:rPr>
                <w:sz w:val="20"/>
                <w:szCs w:val="20"/>
                <w:color w:val="auto"/>
              </w:rPr>
            </w:pPr>
            <w:r>
              <w:rPr>
                <w:rFonts w:ascii="Arial" w:cs="Arial" w:eastAsia="Arial" w:hAnsi="Arial"/>
                <w:sz w:val="19"/>
                <w:szCs w:val="19"/>
                <w:color w:val="auto"/>
              </w:rPr>
              <w:t>Participant Name:</w:t>
            </w:r>
          </w:p>
        </w:tc>
        <w:tc>
          <w:tcPr>
            <w:tcW w:w="3220" w:type="dxa"/>
            <w:vAlign w:val="bottom"/>
            <w:tcBorders>
              <w:bottom w:val="single" w:sz="8" w:color="auto"/>
            </w:tcBorders>
          </w:tcPr>
          <w:p>
            <w:pPr>
              <w:spacing w:after="0"/>
              <w:rPr>
                <w:sz w:val="19"/>
                <w:szCs w:val="19"/>
                <w:color w:val="auto"/>
              </w:rPr>
            </w:pPr>
          </w:p>
        </w:tc>
        <w:tc>
          <w:tcPr>
            <w:tcW w:w="3320" w:type="dxa"/>
            <w:vAlign w:val="bottom"/>
          </w:tcPr>
          <w:p>
            <w:pPr>
              <w:jc w:val="right"/>
              <w:spacing w:after="0"/>
              <w:rPr>
                <w:sz w:val="20"/>
                <w:szCs w:val="20"/>
                <w:color w:val="auto"/>
              </w:rPr>
            </w:pPr>
            <w:r>
              <w:rPr>
                <w:rFonts w:ascii="Arial" w:cs="Arial" w:eastAsia="Arial" w:hAnsi="Arial"/>
                <w:sz w:val="19"/>
                <w:szCs w:val="19"/>
                <w:color w:val="auto"/>
              </w:rPr>
              <w:t>Date of Grant:</w:t>
            </w:r>
          </w:p>
        </w:tc>
        <w:tc>
          <w:tcPr>
            <w:tcW w:w="0" w:type="dxa"/>
            <w:vAlign w:val="bottom"/>
          </w:tcPr>
          <w:p>
            <w:pPr>
              <w:spacing w:after="0"/>
              <w:rPr>
                <w:sz w:val="1"/>
                <w:szCs w:val="1"/>
                <w:color w:val="auto"/>
              </w:rPr>
            </w:pPr>
          </w:p>
        </w:tc>
      </w:tr>
      <w:tr>
        <w:trPr>
          <w:trHeight w:val="365"/>
        </w:trPr>
        <w:tc>
          <w:tcPr>
            <w:tcW w:w="1620" w:type="dxa"/>
            <w:vAlign w:val="bottom"/>
            <w:vMerge w:val="restart"/>
          </w:tcPr>
          <w:p>
            <w:pPr>
              <w:jc w:val="right"/>
              <w:spacing w:after="0"/>
              <w:rPr>
                <w:sz w:val="20"/>
                <w:szCs w:val="20"/>
                <w:color w:val="auto"/>
              </w:rPr>
            </w:pPr>
            <w:r>
              <w:rPr>
                <w:rFonts w:ascii="Arial" w:cs="Arial" w:eastAsia="Arial" w:hAnsi="Arial"/>
                <w:sz w:val="19"/>
                <w:szCs w:val="19"/>
                <w:color w:val="auto"/>
              </w:rPr>
              <w:t>Address:</w:t>
            </w:r>
          </w:p>
        </w:tc>
        <w:tc>
          <w:tcPr>
            <w:tcW w:w="322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Arial" w:cs="Arial" w:eastAsia="Arial" w:hAnsi="Arial"/>
                <w:sz w:val="19"/>
                <w:szCs w:val="19"/>
                <w:color w:val="auto"/>
              </w:rPr>
              <w:t>Target Performance Units:</w:t>
            </w:r>
          </w:p>
        </w:tc>
        <w:tc>
          <w:tcPr>
            <w:tcW w:w="0" w:type="dxa"/>
            <w:vAlign w:val="bottom"/>
          </w:tcPr>
          <w:p>
            <w:pPr>
              <w:spacing w:after="0"/>
              <w:rPr>
                <w:sz w:val="1"/>
                <w:szCs w:val="1"/>
                <w:color w:val="auto"/>
              </w:rPr>
            </w:pPr>
          </w:p>
        </w:tc>
      </w:tr>
      <w:tr>
        <w:trPr>
          <w:trHeight w:val="122"/>
        </w:trPr>
        <w:tc>
          <w:tcPr>
            <w:tcW w:w="1620" w:type="dxa"/>
            <w:vAlign w:val="bottom"/>
            <w:vMerge w:val="continue"/>
          </w:tcPr>
          <w:p>
            <w:pPr>
              <w:spacing w:after="0"/>
              <w:rPr>
                <w:sz w:val="10"/>
                <w:szCs w:val="10"/>
                <w:color w:val="auto"/>
              </w:rPr>
            </w:pPr>
          </w:p>
        </w:tc>
        <w:tc>
          <w:tcPr>
            <w:tcW w:w="32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620" w:type="dxa"/>
            <w:vAlign w:val="bottom"/>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33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-8255</wp:posOffset>
            </wp:positionV>
            <wp:extent cx="1465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1465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-351155</wp:posOffset>
            </wp:positionV>
            <wp:extent cx="1465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300" w:hanging="774"/>
        <w:spacing w:after="0"/>
        <w:tabs>
          <w:tab w:leader="none" w:pos="1300" w:val="left"/>
        </w:tabs>
        <w:numPr>
          <w:ilvl w:val="0"/>
          <w:numId w:val="21"/>
        </w:numPr>
        <w:rPr>
          <w:rFonts w:ascii="Arial" w:cs="Arial" w:eastAsia="Arial" w:hAnsi="Arial"/>
          <w:sz w:val="21"/>
          <w:szCs w:val="21"/>
          <w:color w:val="auto"/>
        </w:rPr>
      </w:pPr>
      <w:r>
        <w:rPr>
          <w:rFonts w:ascii="Arial" w:cs="Arial" w:eastAsia="Arial" w:hAnsi="Arial"/>
          <w:sz w:val="21"/>
          <w:szCs w:val="2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-19050</wp:posOffset>
            </wp:positionV>
            <wp:extent cx="10255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108" w:lineRule="exact"/>
        <w:rPr>
          <w:sz w:val="20"/>
          <w:szCs w:val="20"/>
          <w:color w:val="auto"/>
        </w:rPr>
      </w:pPr>
    </w:p>
    <w:p>
      <w:pPr>
        <w:jc w:val="both"/>
        <w:ind w:firstLine="492"/>
        <w:spacing w:after="0" w:line="211" w:lineRule="auto"/>
        <w:rPr>
          <w:sz w:val="20"/>
          <w:szCs w:val="20"/>
          <w:color w:val="auto"/>
        </w:rPr>
      </w:pPr>
      <w:r>
        <w:rPr>
          <w:rFonts w:ascii="Arial" w:cs="Arial" w:eastAsia="Arial" w:hAnsi="Arial"/>
          <w:sz w:val="21"/>
          <w:szCs w:val="21"/>
          <w:color w:val="auto"/>
        </w:rPr>
        <w:t>Subject to the Participant’s continuous status as a Service Provider, and the terms of the Plan and this Award Agreement, the Performance Units shall vest on September 30, 2028, with the number of Performance Units vesting,</w:t>
      </w:r>
    </w:p>
    <w:p>
      <w:pPr>
        <w:spacing w:after="0" w:line="21" w:lineRule="exact"/>
        <w:rPr>
          <w:sz w:val="20"/>
          <w:szCs w:val="20"/>
          <w:color w:val="auto"/>
        </w:rPr>
      </w:pPr>
    </w:p>
    <w:p>
      <w:pPr>
        <w:spacing w:after="0" w:line="218" w:lineRule="auto"/>
        <w:rPr>
          <w:sz w:val="20"/>
          <w:szCs w:val="20"/>
          <w:color w:val="auto"/>
        </w:rPr>
      </w:pPr>
      <w:r>
        <w:rPr>
          <w:rFonts w:ascii="Arial" w:cs="Arial" w:eastAsia="Arial" w:hAnsi="Arial"/>
          <w:sz w:val="21"/>
          <w:szCs w:val="21"/>
          <w:color w:val="auto"/>
        </w:rPr>
        <w:t>if any, in accordance with the attainment of the performance goals (the “Performance Goal(s)”) as follows (the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-164465</wp:posOffset>
            </wp:positionV>
            <wp:extent cx="12636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1263650"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-19050</wp:posOffset>
            </wp:positionV>
            <wp:extent cx="10255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spacing w:after="0" w:line="95" w:lineRule="exact"/>
        <w:rPr>
          <w:sz w:val="20"/>
          <w:szCs w:val="20"/>
          <w:color w:val="auto"/>
        </w:rPr>
      </w:pPr>
    </w:p>
    <w:p>
      <w:pPr>
        <w:ind w:firstLine="492"/>
        <w:spacing w:after="0" w:line="218" w:lineRule="auto"/>
        <w:rPr>
          <w:sz w:val="20"/>
          <w:szCs w:val="20"/>
          <w:color w:val="auto"/>
        </w:rPr>
      </w:pPr>
      <w:r>
        <w:rPr>
          <w:rFonts w:ascii="Arial" w:cs="Arial" w:eastAsia="Arial" w:hAnsi="Arial"/>
          <w:sz w:val="21"/>
          <w:szCs w:val="21"/>
          <w:color w:val="auto"/>
        </w:rPr>
        <w:t>Number of Performance Units Vesting. The number of Performance Units that vest shall be based upon the percentage of the Target Performance Units corresponding to the percentage of the Performance Goal(s) achieved,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-164465</wp:posOffset>
            </wp:positionV>
            <wp:extent cx="23590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1"/>
          <w:szCs w:val="21"/>
          <w:color w:val="auto"/>
        </w:rPr>
        <w:t>well as the corresponding quartile for the Safety metric as set forth in the tables below, rounded down to the next whole share in each such case.</w:t>
      </w:r>
    </w:p>
    <w:p>
      <w:pPr>
        <w:sectPr>
          <w:pgSz w:w="11900" w:h="16838" w:orient="portrait"/>
          <w:cols w:equalWidth="0" w:num="1">
            <w:col w:w="11240"/>
          </w:cols>
          <w:pgMar w:left="320" w:top="110" w:right="339" w:bottom="1440" w:gutter="0" w:footer="0" w:header="0"/>
        </w:sectPr>
      </w:pPr>
    </w:p>
    <w:p>
      <w:pPr>
        <w:spacing w:after="0" w:line="170" w:lineRule="exact"/>
        <w:rPr>
          <w:sz w:val="20"/>
          <w:szCs w:val="20"/>
          <w:color w:val="auto"/>
        </w:rPr>
      </w:pPr>
    </w:p>
    <w:p>
      <w:pPr>
        <w:ind w:left="520"/>
        <w:spacing w:after="0"/>
        <w:rPr>
          <w:sz w:val="20"/>
          <w:szCs w:val="20"/>
          <w:color w:val="auto"/>
        </w:rPr>
      </w:pPr>
      <w:r>
        <w:rPr>
          <w:rFonts w:ascii="Arial" w:cs="Arial" w:eastAsia="Arial" w:hAnsi="Arial"/>
          <w:sz w:val="19"/>
          <w:szCs w:val="19"/>
          <w:color w:val="auto"/>
        </w:rPr>
        <w:t>Percentage of Performance Goal(s) Achieved For EBITDA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9687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93" w:lineRule="exact"/>
        <w:rPr>
          <w:sz w:val="20"/>
          <w:szCs w:val="20"/>
          <w:color w:val="auto"/>
        </w:rPr>
      </w:pPr>
    </w:p>
    <w:p>
      <w:pPr>
        <w:jc w:val="center"/>
        <w:ind w:left="280"/>
        <w:spacing w:after="0"/>
        <w:rPr>
          <w:sz w:val="20"/>
          <w:szCs w:val="20"/>
          <w:color w:val="auto"/>
        </w:rPr>
      </w:pPr>
      <w:r>
        <w:rPr>
          <w:rFonts w:ascii="Arial" w:cs="Arial" w:eastAsia="Arial" w:hAnsi="Arial"/>
          <w:sz w:val="21"/>
          <w:szCs w:val="21"/>
          <w:color w:val="auto"/>
        </w:rPr>
        <w:t>Company achieves maximum or greater than maximum</w:t>
      </w:r>
    </w:p>
    <w:p>
      <w:pPr>
        <w:spacing w:after="0" w:line="15" w:lineRule="exact"/>
        <w:rPr>
          <w:sz w:val="20"/>
          <w:szCs w:val="20"/>
          <w:color w:val="auto"/>
        </w:rPr>
      </w:pPr>
    </w:p>
    <w:p>
      <w:pPr>
        <w:jc w:val="center"/>
        <w:ind w:left="280"/>
        <w:spacing w:after="0"/>
        <w:rPr>
          <w:sz w:val="20"/>
          <w:szCs w:val="20"/>
          <w:color w:val="auto"/>
        </w:rPr>
      </w:pPr>
      <w:r>
        <w:rPr>
          <w:rFonts w:ascii="Arial" w:cs="Arial" w:eastAsia="Arial" w:hAnsi="Arial"/>
          <w:sz w:val="21"/>
          <w:szCs w:val="21"/>
          <w:color w:val="auto"/>
        </w:rPr>
        <w:t>Performance Goal(s)</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21"/>
          <w:szCs w:val="21"/>
          <w:color w:val="auto"/>
        </w:rPr>
        <w:t xml:space="preserve">Company achieves </w:t>
      </w:r>
      <w:r>
        <w:rPr>
          <w:rFonts w:ascii="Arial" w:cs="Arial" w:eastAsia="Arial" w:hAnsi="Arial"/>
          <w:sz w:val="21"/>
          <w:szCs w:val="21"/>
          <w:color w:val="auto"/>
          <w:highlight w:val="black"/>
        </w:rPr>
        <w:t>target</w:t>
      </w:r>
      <w:r>
        <w:rPr>
          <w:rFonts w:ascii="Arial" w:cs="Arial" w:eastAsia="Arial" w:hAnsi="Arial"/>
          <w:sz w:val="21"/>
          <w:szCs w:val="21"/>
          <w:color w:val="auto"/>
        </w:rPr>
        <w:t xml:space="preserve"> Performance Goal(s)</w:t>
      </w:r>
    </w:p>
    <w:p>
      <w:pPr>
        <w:spacing w:after="0" w:line="69" w:lineRule="exact"/>
        <w:rPr>
          <w:sz w:val="20"/>
          <w:szCs w:val="20"/>
          <w:color w:val="auto"/>
        </w:rPr>
      </w:pPr>
    </w:p>
    <w:p>
      <w:pPr>
        <w:ind w:left="1780"/>
        <w:spacing w:after="0"/>
        <w:rPr>
          <w:sz w:val="20"/>
          <w:szCs w:val="20"/>
          <w:color w:val="auto"/>
        </w:rPr>
      </w:pPr>
      <w:r>
        <w:rPr>
          <w:rFonts w:ascii="Arial" w:cs="Arial" w:eastAsia="Arial" w:hAnsi="Arial"/>
          <w:sz w:val="21"/>
          <w:szCs w:val="21"/>
          <w:color w:val="auto"/>
        </w:rPr>
        <w:t xml:space="preserve">Company achieves </w:t>
      </w:r>
      <w:r>
        <w:rPr>
          <w:rFonts w:ascii="Arial" w:cs="Arial" w:eastAsia="Arial" w:hAnsi="Arial"/>
          <w:sz w:val="21"/>
          <w:szCs w:val="21"/>
          <w:color w:val="auto"/>
          <w:highlight w:val="black"/>
        </w:rPr>
        <w:t>threshold</w:t>
      </w:r>
    </w:p>
    <w:p>
      <w:pPr>
        <w:spacing w:after="0" w:line="15" w:lineRule="exact"/>
        <w:rPr>
          <w:sz w:val="20"/>
          <w:szCs w:val="20"/>
          <w:color w:val="auto"/>
        </w:rPr>
      </w:pPr>
    </w:p>
    <w:p>
      <w:pPr>
        <w:ind w:left="2160"/>
        <w:spacing w:after="0"/>
        <w:rPr>
          <w:sz w:val="20"/>
          <w:szCs w:val="20"/>
          <w:color w:val="auto"/>
        </w:rPr>
      </w:pPr>
      <w:r>
        <w:rPr>
          <w:rFonts w:ascii="Arial" w:cs="Arial" w:eastAsia="Arial" w:hAnsi="Arial"/>
          <w:sz w:val="21"/>
          <w:szCs w:val="21"/>
          <w:color w:val="auto"/>
        </w:rPr>
        <w:t>Performance Goal(s)</w:t>
      </w:r>
    </w:p>
    <w:p>
      <w:pPr>
        <w:spacing w:after="0" w:line="69"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 xml:space="preserve">Company achieves </w:t>
      </w:r>
      <w:r>
        <w:rPr>
          <w:rFonts w:ascii="Arial" w:cs="Arial" w:eastAsia="Arial" w:hAnsi="Arial"/>
          <w:sz w:val="21"/>
          <w:szCs w:val="21"/>
          <w:color w:val="auto"/>
          <w:highlight w:val="black"/>
        </w:rPr>
        <w:t>less than threshold</w:t>
      </w:r>
    </w:p>
    <w:p>
      <w:pPr>
        <w:spacing w:after="0" w:line="15" w:lineRule="exact"/>
        <w:rPr>
          <w:sz w:val="20"/>
          <w:szCs w:val="20"/>
          <w:color w:val="auto"/>
        </w:rPr>
      </w:pPr>
    </w:p>
    <w:p>
      <w:pPr>
        <w:ind w:left="2160"/>
        <w:spacing w:after="0"/>
        <w:rPr>
          <w:sz w:val="20"/>
          <w:szCs w:val="20"/>
          <w:color w:val="auto"/>
        </w:rPr>
      </w:pPr>
      <w:r>
        <w:rPr>
          <w:rFonts w:ascii="Arial" w:cs="Arial" w:eastAsia="Arial" w:hAnsi="Arial"/>
          <w:sz w:val="21"/>
          <w:szCs w:val="21"/>
          <w:color w:val="auto"/>
        </w:rPr>
        <w:t>Performance Goal(s)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auto"/>
        </w:rPr>
        <w:t>Percentage of Target Performance Units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34290</wp:posOffset>
            </wp:positionV>
            <wp:extent cx="31032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15" w:lineRule="exact"/>
        <w:rPr>
          <w:sz w:val="20"/>
          <w:szCs w:val="20"/>
          <w:color w:val="auto"/>
        </w:rPr>
      </w:pPr>
    </w:p>
    <w:p>
      <w:pPr>
        <w:ind w:left="1800"/>
        <w:spacing w:after="0"/>
        <w:rPr>
          <w:sz w:val="20"/>
          <w:szCs w:val="20"/>
          <w:color w:val="auto"/>
        </w:rPr>
      </w:pPr>
      <w:r>
        <w:rPr>
          <w:rFonts w:ascii="Arial" w:cs="Arial" w:eastAsia="Arial" w:hAnsi="Arial"/>
          <w:sz w:val="21"/>
          <w:szCs w:val="21"/>
          <w:color w:val="auto"/>
        </w:rPr>
        <w:t>200%</w:t>
      </w:r>
    </w:p>
    <w:p>
      <w:pPr>
        <w:spacing w:after="0" w:line="191" w:lineRule="exact"/>
        <w:rPr>
          <w:sz w:val="20"/>
          <w:szCs w:val="20"/>
          <w:color w:val="auto"/>
        </w:rPr>
      </w:pPr>
    </w:p>
    <w:p>
      <w:pPr>
        <w:ind w:left="1800"/>
        <w:spacing w:after="0"/>
        <w:rPr>
          <w:sz w:val="20"/>
          <w:szCs w:val="20"/>
          <w:color w:val="auto"/>
        </w:rPr>
      </w:pPr>
      <w:r>
        <w:rPr>
          <w:rFonts w:ascii="Arial" w:cs="Arial" w:eastAsia="Arial" w:hAnsi="Arial"/>
          <w:sz w:val="21"/>
          <w:szCs w:val="21"/>
          <w:color w:val="auto"/>
        </w:rPr>
        <w:t>100%</w:t>
      </w:r>
    </w:p>
    <w:p>
      <w:pPr>
        <w:spacing w:after="0" w:line="204" w:lineRule="exact"/>
        <w:rPr>
          <w:sz w:val="20"/>
          <w:szCs w:val="20"/>
          <w:color w:val="auto"/>
        </w:rPr>
      </w:pPr>
    </w:p>
    <w:p>
      <w:pPr>
        <w:ind w:left="1860"/>
        <w:spacing w:after="0"/>
        <w:rPr>
          <w:sz w:val="20"/>
          <w:szCs w:val="20"/>
          <w:color w:val="auto"/>
        </w:rPr>
      </w:pPr>
      <w:r>
        <w:rPr>
          <w:rFonts w:ascii="Arial" w:cs="Arial" w:eastAsia="Arial" w:hAnsi="Arial"/>
          <w:sz w:val="21"/>
          <w:szCs w:val="21"/>
          <w:color w:val="auto"/>
        </w:rPr>
        <w:t>50%</w:t>
      </w:r>
    </w:p>
    <w:p>
      <w:pPr>
        <w:spacing w:after="0" w:line="326"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0%</w:t>
      </w:r>
    </w:p>
    <w:p>
      <w:pPr>
        <w:sectPr>
          <w:pgSz w:w="11900" w:h="16838" w:orient="portrait"/>
          <w:cols w:equalWidth="0" w:num="2">
            <w:col w:w="6000" w:space="720"/>
            <w:col w:w="4520"/>
          </w:cols>
          <w:pgMar w:left="320" w:top="110" w:right="339" w:bottom="1440" w:gutter="0" w:footer="0" w:header="0"/>
          <w:type w:val="continuous"/>
        </w:sectPr>
      </w:pPr>
    </w:p>
    <w:bookmarkStart w:id="41" w:name="page42"/>
    <w:bookmarkEnd w:id="41"/>
    <w:p>
      <w:pPr>
        <w:spacing w:after="0" w:line="40"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43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highlight w:val="black"/>
              </w:rPr>
              <w:t>EMR Rating</w:t>
            </w:r>
          </w:p>
        </w:tc>
        <w:tc>
          <w:tcPr>
            <w:tcW w:w="6600" w:type="dxa"/>
            <w:vAlign w:val="bottom"/>
            <w:tcBorders>
              <w:bottom w:val="single" w:sz="8" w:color="auto"/>
            </w:tcBorders>
          </w:tcPr>
          <w:p>
            <w:pPr>
              <w:ind w:left="3240"/>
              <w:spacing w:after="0"/>
              <w:rPr>
                <w:sz w:val="20"/>
                <w:szCs w:val="20"/>
                <w:color w:val="auto"/>
              </w:rPr>
            </w:pPr>
            <w:r>
              <w:rPr>
                <w:rFonts w:ascii="Arial" w:cs="Arial" w:eastAsia="Arial" w:hAnsi="Arial"/>
                <w:sz w:val="17"/>
                <w:szCs w:val="17"/>
                <w:color w:val="auto"/>
                <w:highlight w:val="black"/>
              </w:rPr>
              <w:t>LTIC PAYOUT PERCENT</w:t>
            </w:r>
          </w:p>
        </w:tc>
      </w:tr>
      <w:tr>
        <w:trPr>
          <w:trHeight w:val="243"/>
        </w:trPr>
        <w:tc>
          <w:tcPr>
            <w:tcW w:w="4380" w:type="dxa"/>
            <w:vAlign w:val="bottom"/>
          </w:tcPr>
          <w:p>
            <w:pPr>
              <w:ind w:left="60"/>
              <w:spacing w:after="0"/>
              <w:rPr>
                <w:sz w:val="20"/>
                <w:szCs w:val="20"/>
                <w:color w:val="auto"/>
              </w:rPr>
            </w:pPr>
            <w:r>
              <w:rPr>
                <w:rFonts w:ascii="Arial" w:cs="Arial" w:eastAsia="Arial" w:hAnsi="Arial"/>
                <w:sz w:val="19"/>
                <w:szCs w:val="19"/>
                <w:color w:val="auto"/>
              </w:rPr>
              <w:t>Top Quartile</w:t>
            </w:r>
          </w:p>
        </w:tc>
        <w:tc>
          <w:tcPr>
            <w:tcW w:w="6600" w:type="dxa"/>
            <w:vAlign w:val="bottom"/>
          </w:tcPr>
          <w:p>
            <w:pPr>
              <w:jc w:val="center"/>
              <w:ind w:left="1666"/>
              <w:spacing w:after="0"/>
              <w:rPr>
                <w:sz w:val="20"/>
                <w:szCs w:val="20"/>
                <w:color w:val="auto"/>
              </w:rPr>
            </w:pPr>
            <w:r>
              <w:rPr>
                <w:rFonts w:ascii="Arial" w:cs="Arial" w:eastAsia="Arial" w:hAnsi="Arial"/>
                <w:sz w:val="19"/>
                <w:szCs w:val="19"/>
                <w:color w:val="auto"/>
              </w:rPr>
              <w:t>200%</w:t>
            </w:r>
          </w:p>
        </w:tc>
      </w:tr>
      <w:tr>
        <w:trPr>
          <w:trHeight w:val="360"/>
        </w:trPr>
        <w:tc>
          <w:tcPr>
            <w:tcW w:w="4380" w:type="dxa"/>
            <w:vAlign w:val="bottom"/>
          </w:tcPr>
          <w:p>
            <w:pPr>
              <w:ind w:left="60"/>
              <w:spacing w:after="0"/>
              <w:rPr>
                <w:sz w:val="20"/>
                <w:szCs w:val="20"/>
                <w:color w:val="auto"/>
              </w:rPr>
            </w:pPr>
            <w:r>
              <w:rPr>
                <w:rFonts w:ascii="Arial" w:cs="Arial" w:eastAsia="Arial" w:hAnsi="Arial"/>
                <w:sz w:val="19"/>
                <w:szCs w:val="19"/>
                <w:color w:val="auto"/>
              </w:rPr>
              <w:t>2</w:t>
            </w:r>
            <w:r>
              <w:rPr>
                <w:rFonts w:ascii="Arial" w:cs="Arial" w:eastAsia="Arial" w:hAnsi="Arial"/>
                <w:sz w:val="24"/>
                <w:szCs w:val="24"/>
                <w:color w:val="auto"/>
                <w:vertAlign w:val="superscript"/>
              </w:rPr>
              <w:t>nd</w:t>
            </w:r>
            <w:r>
              <w:rPr>
                <w:rFonts w:ascii="Arial" w:cs="Arial" w:eastAsia="Arial" w:hAnsi="Arial"/>
                <w:sz w:val="19"/>
                <w:szCs w:val="19"/>
                <w:color w:val="auto"/>
              </w:rPr>
              <w:t xml:space="preserve"> Quartile</w:t>
            </w:r>
          </w:p>
        </w:tc>
        <w:tc>
          <w:tcPr>
            <w:tcW w:w="6600" w:type="dxa"/>
            <w:vAlign w:val="bottom"/>
          </w:tcPr>
          <w:p>
            <w:pPr>
              <w:jc w:val="center"/>
              <w:ind w:left="1666"/>
              <w:spacing w:after="0"/>
              <w:rPr>
                <w:sz w:val="20"/>
                <w:szCs w:val="20"/>
                <w:color w:val="auto"/>
              </w:rPr>
            </w:pPr>
            <w:r>
              <w:rPr>
                <w:rFonts w:ascii="Arial" w:cs="Arial" w:eastAsia="Arial" w:hAnsi="Arial"/>
                <w:sz w:val="19"/>
                <w:szCs w:val="19"/>
                <w:color w:val="auto"/>
              </w:rPr>
              <w:t>150%</w:t>
            </w:r>
          </w:p>
        </w:tc>
      </w:tr>
      <w:tr>
        <w:trPr>
          <w:trHeight w:val="298"/>
        </w:trPr>
        <w:tc>
          <w:tcPr>
            <w:tcW w:w="4380" w:type="dxa"/>
            <w:vAlign w:val="bottom"/>
          </w:tcPr>
          <w:p>
            <w:pPr>
              <w:ind w:left="60"/>
              <w:spacing w:after="0"/>
              <w:rPr>
                <w:sz w:val="20"/>
                <w:szCs w:val="20"/>
                <w:color w:val="auto"/>
              </w:rPr>
            </w:pPr>
            <w:r>
              <w:rPr>
                <w:rFonts w:ascii="Arial" w:cs="Arial" w:eastAsia="Arial" w:hAnsi="Arial"/>
                <w:sz w:val="19"/>
                <w:szCs w:val="19"/>
                <w:color w:val="auto"/>
              </w:rPr>
              <w:t>3</w:t>
            </w:r>
            <w:r>
              <w:rPr>
                <w:rFonts w:ascii="Arial" w:cs="Arial" w:eastAsia="Arial" w:hAnsi="Arial"/>
                <w:sz w:val="24"/>
                <w:szCs w:val="24"/>
                <w:color w:val="auto"/>
                <w:vertAlign w:val="superscript"/>
              </w:rPr>
              <w:t>rd</w:t>
            </w:r>
            <w:r>
              <w:rPr>
                <w:rFonts w:ascii="Arial" w:cs="Arial" w:eastAsia="Arial" w:hAnsi="Arial"/>
                <w:sz w:val="19"/>
                <w:szCs w:val="19"/>
                <w:color w:val="auto"/>
              </w:rPr>
              <w:t xml:space="preserve"> Quartile</w:t>
            </w:r>
          </w:p>
        </w:tc>
        <w:tc>
          <w:tcPr>
            <w:tcW w:w="6600" w:type="dxa"/>
            <w:vAlign w:val="bottom"/>
          </w:tcPr>
          <w:p>
            <w:pPr>
              <w:jc w:val="center"/>
              <w:ind w:left="1666"/>
              <w:spacing w:after="0" w:line="207" w:lineRule="exact"/>
              <w:rPr>
                <w:sz w:val="20"/>
                <w:szCs w:val="20"/>
                <w:color w:val="auto"/>
              </w:rPr>
            </w:pPr>
            <w:r>
              <w:rPr>
                <w:rFonts w:ascii="Arial" w:cs="Arial" w:eastAsia="Arial" w:hAnsi="Arial"/>
                <w:sz w:val="19"/>
                <w:szCs w:val="19"/>
                <w:color w:val="auto"/>
              </w:rPr>
              <w:t>100%</w:t>
            </w:r>
          </w:p>
        </w:tc>
      </w:tr>
      <w:tr>
        <w:trPr>
          <w:trHeight w:val="192"/>
        </w:trPr>
        <w:tc>
          <w:tcPr>
            <w:tcW w:w="4380" w:type="dxa"/>
            <w:vAlign w:val="bottom"/>
          </w:tcPr>
          <w:p>
            <w:pPr>
              <w:spacing w:after="0"/>
              <w:rPr>
                <w:sz w:val="16"/>
                <w:szCs w:val="16"/>
                <w:color w:val="auto"/>
              </w:rPr>
            </w:pPr>
          </w:p>
        </w:tc>
        <w:tc>
          <w:tcPr>
            <w:tcW w:w="6600" w:type="dxa"/>
            <w:vAlign w:val="bottom"/>
          </w:tcPr>
          <w:p>
            <w:pPr>
              <w:jc w:val="center"/>
              <w:ind w:left="1646"/>
              <w:spacing w:after="0" w:line="193" w:lineRule="exact"/>
              <w:rPr>
                <w:sz w:val="20"/>
                <w:szCs w:val="20"/>
                <w:color w:val="auto"/>
              </w:rPr>
            </w:pPr>
            <w:r>
              <w:rPr>
                <w:rFonts w:ascii="Arial" w:cs="Arial" w:eastAsia="Arial" w:hAnsi="Arial"/>
                <w:sz w:val="19"/>
                <w:szCs w:val="19"/>
                <w:color w:val="auto"/>
              </w:rPr>
              <w:t>0%</w:t>
            </w:r>
          </w:p>
        </w:tc>
      </w:tr>
    </w:tbl>
    <w:p>
      <w:pPr>
        <w:spacing w:after="0" w:line="347" w:lineRule="exact"/>
        <w:rPr>
          <w:sz w:val="20"/>
          <w:szCs w:val="20"/>
          <w:color w:val="auto"/>
        </w:rPr>
      </w:pPr>
    </w:p>
    <w:p>
      <w:pPr>
        <w:ind w:firstLine="441"/>
        <w:spacing w:after="0" w:line="211" w:lineRule="auto"/>
        <w:rPr>
          <w:sz w:val="20"/>
          <w:szCs w:val="20"/>
          <w:color w:val="auto"/>
        </w:rPr>
      </w:pPr>
      <w:r>
        <w:rPr>
          <w:rFonts w:ascii="Arial" w:cs="Arial" w:eastAsia="Arial" w:hAnsi="Arial"/>
          <w:sz w:val="21"/>
          <w:szCs w:val="21"/>
          <w:color w:val="auto"/>
        </w:rPr>
        <w:t>The percentage of the Target Performance Units that vest upon the achievement of more than threshold of the Performance Goal(s) shall be determined by the Committee using a 1:1 ratio of actual performance to percentage of</w:t>
      </w:r>
    </w:p>
    <w:p>
      <w:pPr>
        <w:spacing w:after="0" w:line="229" w:lineRule="auto"/>
        <w:rPr>
          <w:sz w:val="20"/>
          <w:szCs w:val="20"/>
          <w:color w:val="auto"/>
        </w:rPr>
      </w:pPr>
      <w:r>
        <w:rPr>
          <w:rFonts w:ascii="Arial" w:cs="Arial" w:eastAsia="Arial" w:hAnsi="Arial"/>
          <w:sz w:val="21"/>
          <w:szCs w:val="21"/>
          <w:color w:val="auto"/>
        </w:rPr>
        <w:t>the Target Performance Units which will be vested.</w:t>
      </w:r>
    </w:p>
    <w:p>
      <w:pPr>
        <w:spacing w:after="0" w:line="204" w:lineRule="exact"/>
        <w:rPr>
          <w:sz w:val="20"/>
          <w:szCs w:val="20"/>
          <w:color w:val="auto"/>
        </w:rPr>
      </w:pPr>
    </w:p>
    <w:p>
      <w:pPr>
        <w:ind w:left="1300" w:hanging="774"/>
        <w:spacing w:after="0"/>
        <w:tabs>
          <w:tab w:leader="none" w:pos="1300" w:val="left"/>
        </w:tabs>
        <w:numPr>
          <w:ilvl w:val="0"/>
          <w:numId w:val="22"/>
        </w:numPr>
        <w:rPr>
          <w:rFonts w:ascii="Arial" w:cs="Arial" w:eastAsia="Arial" w:hAnsi="Arial"/>
          <w:sz w:val="21"/>
          <w:szCs w:val="21"/>
          <w:color w:val="auto"/>
        </w:rPr>
      </w:pPr>
      <w:r>
        <w:rPr>
          <w:rFonts w:ascii="Arial" w:cs="Arial" w:eastAsia="Arial" w:hAnsi="Arial"/>
          <w:sz w:val="21"/>
          <w:szCs w:val="21"/>
          <w:color w:val="auto"/>
        </w:rPr>
        <w:t>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-19050</wp:posOffset>
            </wp:positionV>
            <wp:extent cx="11328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1132840" cy="8890"/>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highlight w:val="black"/>
                <w:w w:val="99"/>
              </w:rPr>
              <w:t>Performance Goal</w:t>
            </w:r>
          </w:p>
        </w:tc>
        <w:tc>
          <w:tcPr>
            <w:tcW w:w="24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highlight w:val="black"/>
              </w:rPr>
              <w:t>Performance Target</w:t>
            </w:r>
          </w:p>
        </w:tc>
        <w:tc>
          <w:tcPr>
            <w:tcW w:w="36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highlight w:val="black"/>
              </w:rPr>
              <w:t>Weighting</w:t>
            </w:r>
          </w:p>
        </w:tc>
        <w:tc>
          <w:tcPr>
            <w:tcW w:w="24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highlight w:val="black"/>
              </w:rPr>
              <w:t>Performance Period</w:t>
            </w:r>
          </w:p>
        </w:tc>
        <w:tc>
          <w:tcPr>
            <w:tcW w:w="0" w:type="dxa"/>
            <w:vAlign w:val="bottom"/>
          </w:tcPr>
          <w:p>
            <w:pPr>
              <w:spacing w:after="0"/>
              <w:rPr>
                <w:sz w:val="1"/>
                <w:szCs w:val="1"/>
                <w:color w:val="auto"/>
              </w:rPr>
            </w:pPr>
          </w:p>
        </w:tc>
      </w:tr>
      <w:tr>
        <w:trPr>
          <w:trHeight w:val="470"/>
        </w:trPr>
        <w:tc>
          <w:tcPr>
            <w:tcW w:w="3080" w:type="dxa"/>
            <w:vAlign w:val="bottom"/>
            <w:gridSpan w:val="2"/>
          </w:tcPr>
          <w:p>
            <w:pPr>
              <w:jc w:val="center"/>
              <w:ind w:right="220"/>
              <w:spacing w:after="0"/>
              <w:rPr>
                <w:sz w:val="20"/>
                <w:szCs w:val="20"/>
                <w:color w:val="auto"/>
              </w:rPr>
            </w:pPr>
            <w:r>
              <w:rPr>
                <w:rFonts w:ascii="Arial" w:cs="Arial" w:eastAsia="Arial" w:hAnsi="Arial"/>
                <w:sz w:val="19"/>
                <w:szCs w:val="19"/>
                <w:color w:val="auto"/>
                <w:w w:val="95"/>
              </w:rPr>
              <w:t>Revenue CAGR%</w:t>
            </w:r>
            <w:r>
              <w:rPr>
                <w:rFonts w:ascii="Arial" w:cs="Arial" w:eastAsia="Arial" w:hAnsi="Arial"/>
                <w:sz w:val="24"/>
                <w:szCs w:val="24"/>
                <w:color w:val="auto"/>
                <w:w w:val="95"/>
                <w:vertAlign w:val="superscript"/>
              </w:rPr>
              <w:t>(B)</w:t>
            </w:r>
          </w:p>
        </w:tc>
        <w:tc>
          <w:tcPr>
            <w:tcW w:w="2920" w:type="dxa"/>
            <w:vAlign w:val="bottom"/>
            <w:vMerge w:val="restart"/>
          </w:tcPr>
          <w:p>
            <w:pPr>
              <w:jc w:val="center"/>
              <w:spacing w:after="0"/>
              <w:rPr>
                <w:sz w:val="20"/>
                <w:szCs w:val="20"/>
                <w:color w:val="auto"/>
              </w:rPr>
            </w:pPr>
            <w:r>
              <w:rPr>
                <w:rFonts w:ascii="Arial" w:cs="Arial" w:eastAsia="Arial" w:hAnsi="Arial"/>
                <w:sz w:val="19"/>
                <w:szCs w:val="19"/>
                <w:color w:val="auto"/>
                <w:w w:val="99"/>
              </w:rPr>
              <w:t>CAGR % Target</w:t>
            </w:r>
          </w:p>
        </w:tc>
        <w:tc>
          <w:tcPr>
            <w:tcW w:w="360" w:type="dxa"/>
            <w:vAlign w:val="bottom"/>
            <w:vMerge w:val="restart"/>
          </w:tcPr>
          <w:p>
            <w:pPr>
              <w:spacing w:after="0"/>
              <w:rPr>
                <w:sz w:val="24"/>
                <w:szCs w:val="24"/>
                <w:color w:val="auto"/>
              </w:rPr>
            </w:pPr>
          </w:p>
        </w:tc>
        <w:tc>
          <w:tcPr>
            <w:tcW w:w="2020" w:type="dxa"/>
            <w:vAlign w:val="bottom"/>
            <w:vMerge w:val="restart"/>
          </w:tcPr>
          <w:p>
            <w:pPr>
              <w:jc w:val="center"/>
              <w:spacing w:after="0"/>
              <w:rPr>
                <w:sz w:val="20"/>
                <w:szCs w:val="20"/>
                <w:color w:val="auto"/>
              </w:rPr>
            </w:pPr>
            <w:r>
              <w:rPr>
                <w:rFonts w:ascii="Arial" w:cs="Arial" w:eastAsia="Arial" w:hAnsi="Arial"/>
                <w:sz w:val="19"/>
                <w:szCs w:val="19"/>
                <w:color w:val="auto"/>
              </w:rPr>
              <w:t>40%</w:t>
            </w:r>
          </w:p>
        </w:tc>
        <w:tc>
          <w:tcPr>
            <w:tcW w:w="240" w:type="dxa"/>
            <w:vAlign w:val="bottom"/>
          </w:tcPr>
          <w:p>
            <w:pPr>
              <w:spacing w:after="0"/>
              <w:rPr>
                <w:sz w:val="24"/>
                <w:szCs w:val="24"/>
                <w:color w:val="auto"/>
              </w:rPr>
            </w:pPr>
          </w:p>
        </w:tc>
        <w:tc>
          <w:tcPr>
            <w:tcW w:w="2620" w:type="dxa"/>
            <w:vAlign w:val="bottom"/>
            <w:vMerge w:val="restart"/>
          </w:tcPr>
          <w:p>
            <w:pPr>
              <w:jc w:val="center"/>
              <w:spacing w:after="0"/>
              <w:rPr>
                <w:sz w:val="20"/>
                <w:szCs w:val="20"/>
                <w:color w:val="auto"/>
              </w:rPr>
            </w:pPr>
            <w:r>
              <w:rPr>
                <w:rFonts w:ascii="Arial" w:cs="Arial" w:eastAsia="Arial" w:hAnsi="Arial"/>
                <w:sz w:val="19"/>
                <w:szCs w:val="19"/>
                <w:color w:val="auto"/>
              </w:rPr>
              <w:t>Three fiscal years</w:t>
            </w:r>
          </w:p>
        </w:tc>
        <w:tc>
          <w:tcPr>
            <w:tcW w:w="0" w:type="dxa"/>
            <w:vAlign w:val="bottom"/>
          </w:tcPr>
          <w:p>
            <w:pPr>
              <w:spacing w:after="0"/>
              <w:rPr>
                <w:sz w:val="1"/>
                <w:szCs w:val="1"/>
                <w:color w:val="auto"/>
              </w:rPr>
            </w:pPr>
          </w:p>
        </w:tc>
      </w:tr>
      <w:tr>
        <w:trPr>
          <w:trHeight w:val="50"/>
        </w:trPr>
        <w:tc>
          <w:tcPr>
            <w:tcW w:w="28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920" w:type="dxa"/>
            <w:vAlign w:val="bottom"/>
            <w:tcBorders>
              <w:bottom w:val="single" w:sz="8" w:color="auto"/>
            </w:tcBorders>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2020" w:type="dxa"/>
            <w:vAlign w:val="bottom"/>
            <w:tcBorders>
              <w:bottom w:val="single" w:sz="8" w:color="auto"/>
            </w:tcBorders>
            <w:vMerge w:val="continue"/>
          </w:tcPr>
          <w:p>
            <w:pPr>
              <w:spacing w:after="0"/>
              <w:rPr>
                <w:sz w:val="4"/>
                <w:szCs w:val="4"/>
                <w:color w:val="auto"/>
              </w:rPr>
            </w:pPr>
          </w:p>
        </w:tc>
        <w:tc>
          <w:tcPr>
            <w:tcW w:w="240" w:type="dxa"/>
            <w:vAlign w:val="bottom"/>
          </w:tcPr>
          <w:p>
            <w:pPr>
              <w:spacing w:after="0"/>
              <w:rPr>
                <w:sz w:val="4"/>
                <w:szCs w:val="4"/>
                <w:color w:val="auto"/>
              </w:rPr>
            </w:pPr>
          </w:p>
        </w:tc>
        <w:tc>
          <w:tcPr>
            <w:tcW w:w="2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70"/>
        </w:trPr>
        <w:tc>
          <w:tcPr>
            <w:tcW w:w="3080" w:type="dxa"/>
            <w:vAlign w:val="bottom"/>
            <w:gridSpan w:val="2"/>
          </w:tcPr>
          <w:p>
            <w:pPr>
              <w:jc w:val="center"/>
              <w:ind w:right="220"/>
              <w:spacing w:after="0"/>
              <w:rPr>
                <w:sz w:val="20"/>
                <w:szCs w:val="20"/>
                <w:color w:val="auto"/>
              </w:rPr>
            </w:pPr>
            <w:r>
              <w:rPr>
                <w:rFonts w:ascii="Arial" w:cs="Arial" w:eastAsia="Arial" w:hAnsi="Arial"/>
                <w:sz w:val="19"/>
                <w:szCs w:val="19"/>
                <w:color w:val="auto"/>
                <w:w w:val="98"/>
              </w:rPr>
              <w:t>EBITDA %</w:t>
            </w:r>
            <w:r>
              <w:rPr>
                <w:rFonts w:ascii="Arial" w:cs="Arial" w:eastAsia="Arial" w:hAnsi="Arial"/>
                <w:sz w:val="24"/>
                <w:szCs w:val="24"/>
                <w:color w:val="auto"/>
                <w:w w:val="98"/>
                <w:vertAlign w:val="superscript"/>
              </w:rPr>
              <w:t>(A)</w:t>
            </w:r>
          </w:p>
        </w:tc>
        <w:tc>
          <w:tcPr>
            <w:tcW w:w="3280" w:type="dxa"/>
            <w:vAlign w:val="bottom"/>
            <w:gridSpan w:val="2"/>
          </w:tcPr>
          <w:p>
            <w:pPr>
              <w:jc w:val="center"/>
              <w:ind w:right="340"/>
              <w:spacing w:after="0"/>
              <w:rPr>
                <w:sz w:val="20"/>
                <w:szCs w:val="20"/>
                <w:color w:val="auto"/>
              </w:rPr>
            </w:pPr>
            <w:r>
              <w:rPr>
                <w:rFonts w:ascii="Arial" w:cs="Arial" w:eastAsia="Arial" w:hAnsi="Arial"/>
                <w:sz w:val="19"/>
                <w:szCs w:val="19"/>
                <w:color w:val="auto"/>
              </w:rPr>
              <w:t>EBITDA % Target</w:t>
            </w:r>
          </w:p>
        </w:tc>
        <w:tc>
          <w:tcPr>
            <w:tcW w:w="2020" w:type="dxa"/>
            <w:vAlign w:val="bottom"/>
          </w:tcPr>
          <w:p>
            <w:pPr>
              <w:jc w:val="center"/>
              <w:spacing w:after="0"/>
              <w:rPr>
                <w:sz w:val="20"/>
                <w:szCs w:val="20"/>
                <w:color w:val="auto"/>
              </w:rPr>
            </w:pPr>
            <w:r>
              <w:rPr>
                <w:rFonts w:ascii="Arial" w:cs="Arial" w:eastAsia="Arial" w:hAnsi="Arial"/>
                <w:sz w:val="19"/>
                <w:szCs w:val="19"/>
                <w:color w:val="auto"/>
              </w:rPr>
              <w:t>40%</w:t>
            </w:r>
          </w:p>
        </w:tc>
        <w:tc>
          <w:tcPr>
            <w:tcW w:w="2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9"/>
                <w:szCs w:val="19"/>
                <w:color w:val="auto"/>
              </w:rPr>
              <w:t>Three fiscal years</w:t>
            </w:r>
          </w:p>
        </w:tc>
        <w:tc>
          <w:tcPr>
            <w:tcW w:w="0" w:type="dxa"/>
            <w:vAlign w:val="bottom"/>
          </w:tcPr>
          <w:p>
            <w:pPr>
              <w:spacing w:after="0"/>
              <w:rPr>
                <w:sz w:val="1"/>
                <w:szCs w:val="1"/>
                <w:color w:val="auto"/>
              </w:rPr>
            </w:pPr>
          </w:p>
        </w:tc>
      </w:tr>
      <w:tr>
        <w:trPr>
          <w:trHeight w:val="50"/>
        </w:trPr>
        <w:tc>
          <w:tcPr>
            <w:tcW w:w="28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70"/>
        </w:trPr>
        <w:tc>
          <w:tcPr>
            <w:tcW w:w="3080" w:type="dxa"/>
            <w:vAlign w:val="bottom"/>
            <w:gridSpan w:val="2"/>
          </w:tcPr>
          <w:p>
            <w:pPr>
              <w:jc w:val="center"/>
              <w:ind w:right="240"/>
              <w:spacing w:after="0"/>
              <w:rPr>
                <w:sz w:val="20"/>
                <w:szCs w:val="20"/>
                <w:color w:val="auto"/>
              </w:rPr>
            </w:pPr>
            <w:r>
              <w:rPr>
                <w:rFonts w:ascii="Arial" w:cs="Arial" w:eastAsia="Arial" w:hAnsi="Arial"/>
                <w:sz w:val="19"/>
                <w:szCs w:val="19"/>
                <w:color w:val="auto"/>
                <w:w w:val="98"/>
              </w:rPr>
              <w:t>Safety Performance</w:t>
            </w:r>
            <w:r>
              <w:rPr>
                <w:rFonts w:ascii="Arial" w:cs="Arial" w:eastAsia="Arial" w:hAnsi="Arial"/>
                <w:sz w:val="24"/>
                <w:szCs w:val="24"/>
                <w:color w:val="auto"/>
                <w:w w:val="98"/>
                <w:vertAlign w:val="superscript"/>
              </w:rPr>
              <w:t>(C)</w:t>
            </w:r>
          </w:p>
        </w:tc>
        <w:tc>
          <w:tcPr>
            <w:tcW w:w="3280" w:type="dxa"/>
            <w:vAlign w:val="bottom"/>
            <w:gridSpan w:val="2"/>
          </w:tcPr>
          <w:p>
            <w:pPr>
              <w:jc w:val="center"/>
              <w:ind w:right="360"/>
              <w:spacing w:after="0"/>
              <w:rPr>
                <w:sz w:val="20"/>
                <w:szCs w:val="20"/>
                <w:color w:val="auto"/>
              </w:rPr>
            </w:pPr>
            <w:r>
              <w:rPr>
                <w:rFonts w:ascii="Arial" w:cs="Arial" w:eastAsia="Arial" w:hAnsi="Arial"/>
                <w:sz w:val="19"/>
                <w:szCs w:val="19"/>
                <w:color w:val="auto"/>
              </w:rPr>
              <w:t>Safety (EMR) Rating</w:t>
            </w:r>
          </w:p>
        </w:tc>
        <w:tc>
          <w:tcPr>
            <w:tcW w:w="2020" w:type="dxa"/>
            <w:vAlign w:val="bottom"/>
          </w:tcPr>
          <w:p>
            <w:pPr>
              <w:jc w:val="center"/>
              <w:spacing w:after="0"/>
              <w:rPr>
                <w:sz w:val="20"/>
                <w:szCs w:val="20"/>
                <w:color w:val="auto"/>
              </w:rPr>
            </w:pPr>
            <w:r>
              <w:rPr>
                <w:rFonts w:ascii="Arial" w:cs="Arial" w:eastAsia="Arial" w:hAnsi="Arial"/>
                <w:sz w:val="19"/>
                <w:szCs w:val="19"/>
                <w:color w:val="auto"/>
              </w:rPr>
              <w:t>20%</w:t>
            </w:r>
          </w:p>
        </w:tc>
        <w:tc>
          <w:tcPr>
            <w:tcW w:w="2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9"/>
                <w:szCs w:val="19"/>
                <w:color w:val="auto"/>
              </w:rPr>
              <w:t>Three fiscal years</w:t>
            </w: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Arial" w:cs="Arial" w:eastAsia="Arial" w:hAnsi="Arial"/>
                <w:sz w:val="21"/>
                <w:szCs w:val="21"/>
                <w:color w:val="auto"/>
              </w:rPr>
              <w:t>Notes:</w:t>
            </w:r>
          </w:p>
        </w:tc>
        <w:tc>
          <w:tcPr>
            <w:tcW w:w="440" w:type="dxa"/>
            <w:vAlign w:val="bottom"/>
          </w:tcPr>
          <w:p>
            <w:pPr>
              <w:ind w:left="180"/>
              <w:spacing w:after="0"/>
              <w:rPr>
                <w:sz w:val="20"/>
                <w:szCs w:val="20"/>
                <w:color w:val="auto"/>
              </w:rPr>
            </w:pPr>
            <w:r>
              <w:rPr>
                <w:rFonts w:ascii="Arial" w:cs="Arial" w:eastAsia="Arial" w:hAnsi="Arial"/>
                <w:sz w:val="14"/>
                <w:szCs w:val="14"/>
                <w:color w:val="auto"/>
              </w:rPr>
              <w:t>(A)</w:t>
            </w:r>
          </w:p>
        </w:tc>
        <w:tc>
          <w:tcPr>
            <w:tcW w:w="9800" w:type="dxa"/>
            <w:vAlign w:val="bottom"/>
            <w:vMerge w:val="restart"/>
          </w:tcPr>
          <w:p>
            <w:pPr>
              <w:ind w:left="220"/>
              <w:spacing w:after="0"/>
              <w:rPr>
                <w:sz w:val="20"/>
                <w:szCs w:val="20"/>
                <w:color w:val="auto"/>
              </w:rPr>
            </w:pPr>
            <w:r>
              <w:rPr>
                <w:rFonts w:ascii="Arial" w:cs="Arial" w:eastAsia="Arial" w:hAnsi="Arial"/>
                <w:sz w:val="21"/>
                <w:szCs w:val="21"/>
                <w:color w:val="auto"/>
              </w:rPr>
              <w:t>EBITDA % means reported EBITDA less Restructuring and Other, as a percentage of Revenue as</w:t>
            </w:r>
          </w:p>
        </w:tc>
        <w:tc>
          <w:tcPr>
            <w:tcW w:w="0" w:type="dxa"/>
            <w:vAlign w:val="bottom"/>
          </w:tcPr>
          <w:p>
            <w:pPr>
              <w:spacing w:after="0"/>
              <w:rPr>
                <w:sz w:val="1"/>
                <w:szCs w:val="1"/>
                <w:color w:val="auto"/>
              </w:rPr>
            </w:pPr>
          </w:p>
        </w:tc>
      </w:tr>
      <w:tr>
        <w:trPr>
          <w:trHeight w:val="97"/>
        </w:trPr>
        <w:tc>
          <w:tcPr>
            <w:tcW w:w="8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0" w:type="dxa"/>
            <w:vAlign w:val="bottom"/>
          </w:tcPr>
          <w:p>
            <w:pPr>
              <w:ind w:left="40"/>
              <w:spacing w:after="0" w:line="216" w:lineRule="exact"/>
              <w:rPr>
                <w:sz w:val="20"/>
                <w:szCs w:val="20"/>
                <w:color w:val="auto"/>
              </w:rPr>
            </w:pPr>
            <w:r>
              <w:rPr>
                <w:rFonts w:ascii="Arial" w:cs="Arial" w:eastAsia="Arial" w:hAnsi="Arial"/>
                <w:sz w:val="21"/>
                <w:szCs w:val="21"/>
                <w:color w:val="auto"/>
              </w:rPr>
              <w:t>disclosed in the Company’s Form 10-K for each fiscal year during the Performance Period.</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460" w:right="20" w:hanging="858"/>
        <w:spacing w:after="0" w:line="191" w:lineRule="auto"/>
        <w:tabs>
          <w:tab w:leader="none" w:pos="1123" w:val="left"/>
        </w:tabs>
        <w:numPr>
          <w:ilvl w:val="2"/>
          <w:numId w:val="23"/>
        </w:numPr>
        <w:rPr>
          <w:rFonts w:ascii="Arial" w:cs="Arial" w:eastAsia="Arial" w:hAnsi="Arial"/>
          <w:sz w:val="27"/>
          <w:szCs w:val="27"/>
          <w:color w:val="auto"/>
          <w:vertAlign w:val="superscript"/>
        </w:rPr>
      </w:pPr>
      <w:r>
        <w:rPr>
          <w:rFonts w:ascii="Arial" w:cs="Arial" w:eastAsia="Arial" w:hAnsi="Arial"/>
          <w:sz w:val="21"/>
          <w:szCs w:val="21"/>
          <w:color w:val="auto"/>
        </w:rPr>
        <w:t>Revenue CAGR% means a three (3) year compounded annual growth rate on reported Revenues as disclosed in the Company’s Form 10-K over the three year performance period.</w:t>
      </w:r>
    </w:p>
    <w:p>
      <w:pPr>
        <w:spacing w:after="0" w:line="222" w:lineRule="exact"/>
        <w:rPr>
          <w:rFonts w:ascii="Arial" w:cs="Arial" w:eastAsia="Arial" w:hAnsi="Arial"/>
          <w:sz w:val="27"/>
          <w:szCs w:val="27"/>
          <w:color w:val="auto"/>
          <w:vertAlign w:val="superscript"/>
        </w:rPr>
      </w:pPr>
    </w:p>
    <w:p>
      <w:pPr>
        <w:ind w:left="1460" w:hanging="1034"/>
        <w:spacing w:after="0" w:line="202" w:lineRule="auto"/>
        <w:tabs>
          <w:tab w:leader="none" w:pos="868" w:val="left"/>
        </w:tabs>
        <w:numPr>
          <w:ilvl w:val="0"/>
          <w:numId w:val="24"/>
        </w:numPr>
        <w:rPr>
          <w:rFonts w:ascii="Arial" w:cs="Arial" w:eastAsia="Arial" w:hAnsi="Arial"/>
          <w:sz w:val="27"/>
          <w:szCs w:val="27"/>
          <w:color w:val="auto"/>
          <w:vertAlign w:val="superscript"/>
        </w:rPr>
      </w:pPr>
      <w:r>
        <w:rPr>
          <w:rFonts w:ascii="Arial" w:cs="Arial" w:eastAsia="Arial" w:hAnsi="Arial"/>
          <w:sz w:val="21"/>
          <w:szCs w:val="21"/>
          <w:color w:val="auto"/>
        </w:rPr>
        <w:t>Safety Performance means reported Safety (EMR) rating. The most recent 12-month rating is weighted at 60%, the second 12-month rating is weighted at 30% and the third 12-month rating is weighted at 10% to generate cumulative three (3) year weighted result.</w:t>
      </w:r>
    </w:p>
    <w:p>
      <w:pPr>
        <w:spacing w:after="0" w:line="200" w:lineRule="exact"/>
        <w:rPr>
          <w:rFonts w:ascii="Arial" w:cs="Arial" w:eastAsia="Arial" w:hAnsi="Arial"/>
          <w:sz w:val="27"/>
          <w:szCs w:val="27"/>
          <w:color w:val="auto"/>
          <w:vertAlign w:val="superscript"/>
        </w:rPr>
      </w:pPr>
    </w:p>
    <w:p>
      <w:pPr>
        <w:spacing w:after="0" w:line="387" w:lineRule="exact"/>
        <w:rPr>
          <w:rFonts w:ascii="Arial" w:cs="Arial" w:eastAsia="Arial" w:hAnsi="Arial"/>
          <w:sz w:val="27"/>
          <w:szCs w:val="27"/>
          <w:color w:val="auto"/>
          <w:vertAlign w:val="superscript"/>
        </w:rPr>
      </w:pPr>
    </w:p>
    <w:p>
      <w:pPr>
        <w:ind w:firstLine="526"/>
        <w:spacing w:after="0" w:line="218" w:lineRule="auto"/>
        <w:tabs>
          <w:tab w:leader="none" w:pos="1296" w:val="left"/>
        </w:tabs>
        <w:numPr>
          <w:ilvl w:val="1"/>
          <w:numId w:val="24"/>
        </w:numPr>
        <w:rPr>
          <w:rFonts w:ascii="Arial" w:cs="Arial" w:eastAsia="Arial" w:hAnsi="Arial"/>
          <w:sz w:val="21"/>
          <w:szCs w:val="21"/>
          <w:color w:val="auto"/>
        </w:rPr>
      </w:pPr>
      <w:r>
        <w:rPr>
          <w:rFonts w:ascii="Arial" w:cs="Arial" w:eastAsia="Arial" w:hAnsi="Arial"/>
          <w:sz w:val="21"/>
          <w:szCs w:val="21"/>
          <w:color w:val="auto"/>
        </w:rPr>
        <w:t>Change in Control. Notwithstanding the above, the Target Performance Units shall automatically become fully vested immediately prior to the closing of a Change in Control of the Company.</w:t>
      </w:r>
    </w:p>
    <w:p>
      <w:pPr>
        <w:spacing w:after="0" w:line="222" w:lineRule="exact"/>
        <w:rPr>
          <w:rFonts w:ascii="Arial" w:cs="Arial" w:eastAsia="Arial" w:hAnsi="Arial"/>
          <w:sz w:val="21"/>
          <w:szCs w:val="21"/>
          <w:color w:val="auto"/>
        </w:rPr>
      </w:pPr>
    </w:p>
    <w:p>
      <w:pPr>
        <w:jc w:val="both"/>
        <w:ind w:firstLine="526"/>
        <w:spacing w:after="0" w:line="218" w:lineRule="auto"/>
        <w:tabs>
          <w:tab w:leader="none" w:pos="1293" w:val="left"/>
        </w:tabs>
        <w:numPr>
          <w:ilvl w:val="1"/>
          <w:numId w:val="24"/>
        </w:numPr>
        <w:rPr>
          <w:rFonts w:ascii="Arial" w:cs="Arial" w:eastAsia="Arial" w:hAnsi="Arial"/>
          <w:sz w:val="21"/>
          <w:szCs w:val="21"/>
          <w:color w:val="auto"/>
        </w:rPr>
      </w:pPr>
      <w:r>
        <w:rPr>
          <w:rFonts w:ascii="Arial" w:cs="Arial" w:eastAsia="Arial" w:hAnsi="Arial"/>
          <w:sz w:val="21"/>
          <w:szCs w:val="21"/>
          <w:color w:val="auto"/>
        </w:rPr>
        <w:t>Retirement, Disability, Death, and Involuntary Termination. If the Participant terminates service with the Company and its Affiliates before the end of the Performance Period as a result of the Participant’s Retirement,</w:t>
      </w:r>
    </w:p>
    <w:p>
      <w:pPr>
        <w:spacing w:after="0" w:line="20" w:lineRule="exact"/>
        <w:rPr>
          <w:rFonts w:ascii="Arial" w:cs="Arial" w:eastAsia="Arial" w:hAnsi="Arial"/>
          <w:sz w:val="21"/>
          <w:szCs w:val="21"/>
          <w:color w:val="auto"/>
        </w:rPr>
      </w:pPr>
    </w:p>
    <w:p>
      <w:pPr>
        <w:jc w:val="both"/>
        <w:spacing w:after="0" w:line="211" w:lineRule="auto"/>
        <w:rPr>
          <w:rFonts w:ascii="Arial" w:cs="Arial" w:eastAsia="Arial" w:hAnsi="Arial"/>
          <w:sz w:val="21"/>
          <w:szCs w:val="21"/>
          <w:color w:val="auto"/>
        </w:rPr>
      </w:pPr>
      <w:r>
        <w:rPr>
          <w:rFonts w:ascii="Arial" w:cs="Arial" w:eastAsia="Arial" w:hAnsi="Arial"/>
          <w:sz w:val="21"/>
          <w:szCs w:val="21"/>
          <w:color w:val="auto"/>
        </w:rPr>
        <w:t>Disability, or death, or if the Participant experiences an involuntary termination of service, other than for Cause, then, at the end of the Performance Period, the Participant shall vest in and have a non-forfeitable right to a pro-rated</w:t>
      </w:r>
    </w:p>
    <w:p>
      <w:pPr>
        <w:spacing w:after="0" w:line="20" w:lineRule="exact"/>
        <w:rPr>
          <w:rFonts w:ascii="Arial" w:cs="Arial" w:eastAsia="Arial" w:hAnsi="Arial"/>
          <w:sz w:val="21"/>
          <w:szCs w:val="21"/>
          <w:color w:val="auto"/>
        </w:rPr>
      </w:pPr>
    </w:p>
    <w:p>
      <w:pPr>
        <w:jc w:val="both"/>
        <w:spacing w:after="0" w:line="217" w:lineRule="auto"/>
        <w:rPr>
          <w:rFonts w:ascii="Arial" w:cs="Arial" w:eastAsia="Arial" w:hAnsi="Arial"/>
          <w:sz w:val="21"/>
          <w:szCs w:val="21"/>
          <w:color w:val="auto"/>
        </w:rPr>
      </w:pPr>
      <w:r>
        <w:rPr>
          <w:rFonts w:ascii="Arial" w:cs="Arial" w:eastAsia="Arial" w:hAnsi="Arial"/>
          <w:sz w:val="21"/>
          <w:szCs w:val="21"/>
          <w:color w:val="auto"/>
        </w:rPr>
        <w:t>portion of that percentage of the Target Performance Units corresponding to the percentage of the Performance Goal(s) achieved, as provided in Section 1, determined as of the end of the Performance Period, that the Participant would have been entitled to receive had the Participant remained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-1296035</wp:posOffset>
            </wp:positionV>
            <wp:extent cx="11684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1168400" cy="8255"/>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-876300</wp:posOffset>
            </wp:positionV>
            <wp:extent cx="35210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35210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96" w:lineRule="exact"/>
        <w:rPr>
          <w:sz w:val="20"/>
          <w:szCs w:val="20"/>
          <w:color w:val="auto"/>
        </w:rPr>
      </w:pPr>
    </w:p>
    <w:p>
      <w:pPr>
        <w:spacing w:after="0"/>
        <w:rPr>
          <w:sz w:val="20"/>
          <w:szCs w:val="20"/>
          <w:color w:val="auto"/>
        </w:rPr>
      </w:pPr>
      <w:r>
        <w:rPr>
          <w:rFonts w:ascii="Arial" w:cs="Arial" w:eastAsia="Arial" w:hAnsi="Arial"/>
          <w:sz w:val="21"/>
          <w:szCs w:val="21"/>
          <w:color w:val="auto"/>
        </w:rPr>
        <w:t>employed with the Company and its Affiliates until the end of the Performance Period. The pro-rated portion of the</w:t>
      </w:r>
    </w:p>
    <w:p>
      <w:pPr>
        <w:spacing w:after="0" w:line="20" w:lineRule="exact"/>
        <w:rPr>
          <w:sz w:val="20"/>
          <w:szCs w:val="20"/>
          <w:color w:val="auto"/>
        </w:rPr>
      </w:pPr>
    </w:p>
    <w:p>
      <w:pPr>
        <w:spacing w:after="0" w:line="211" w:lineRule="auto"/>
        <w:rPr>
          <w:sz w:val="20"/>
          <w:szCs w:val="20"/>
          <w:color w:val="auto"/>
        </w:rPr>
      </w:pPr>
      <w:r>
        <w:rPr>
          <w:rFonts w:ascii="Arial" w:cs="Arial" w:eastAsia="Arial" w:hAnsi="Arial"/>
          <w:sz w:val="21"/>
          <w:szCs w:val="21"/>
          <w:color w:val="auto"/>
        </w:rPr>
        <w:t>Target Performance Units to which the Participant will be entitled shall be determined by multiplying the percentage of the Target Performance Units corresponding to the percentage of the Performance Goal(s) achieved, as provided in</w:t>
      </w:r>
    </w:p>
    <w:p>
      <w:pPr>
        <w:spacing w:after="0" w:line="229" w:lineRule="auto"/>
        <w:rPr>
          <w:sz w:val="20"/>
          <w:szCs w:val="20"/>
          <w:color w:val="auto"/>
        </w:rPr>
      </w:pPr>
      <w:r>
        <w:rPr>
          <w:rFonts w:ascii="Arial" w:cs="Arial" w:eastAsia="Arial" w:hAnsi="Arial"/>
          <w:sz w:val="21"/>
          <w:szCs w:val="21"/>
          <w:color w:val="auto"/>
        </w:rPr>
        <w:t>Section 1, by a fraction the numerator of which is the number of days the Participant was employed with the</w:t>
      </w:r>
    </w:p>
    <w:p>
      <w:pPr>
        <w:spacing w:after="0" w:line="20" w:lineRule="exact"/>
        <w:rPr>
          <w:sz w:val="20"/>
          <w:szCs w:val="20"/>
          <w:color w:val="auto"/>
        </w:rPr>
      </w:pPr>
    </w:p>
    <w:p>
      <w:pPr>
        <w:jc w:val="both"/>
        <w:spacing w:after="0" w:line="211" w:lineRule="auto"/>
        <w:rPr>
          <w:sz w:val="20"/>
          <w:szCs w:val="20"/>
          <w:color w:val="auto"/>
        </w:rPr>
      </w:pPr>
      <w:r>
        <w:rPr>
          <w:rFonts w:ascii="Arial" w:cs="Arial" w:eastAsia="Arial" w:hAnsi="Arial"/>
          <w:sz w:val="21"/>
          <w:szCs w:val="21"/>
          <w:color w:val="auto"/>
        </w:rPr>
        <w:t>Company or an Affiliate during the Performance Period and the denominator of which is the total number of days in the Performance Period. Notwithstanding the foregoing, the Committee may, in its sole and absolute discretion,</w:t>
      </w:r>
    </w:p>
    <w:p>
      <w:pPr>
        <w:spacing w:after="0" w:line="21" w:lineRule="exact"/>
        <w:rPr>
          <w:sz w:val="20"/>
          <w:szCs w:val="20"/>
          <w:color w:val="auto"/>
        </w:rPr>
      </w:pPr>
    </w:p>
    <w:p>
      <w:pPr>
        <w:spacing w:after="0" w:line="211" w:lineRule="auto"/>
        <w:rPr>
          <w:sz w:val="20"/>
          <w:szCs w:val="20"/>
          <w:color w:val="auto"/>
        </w:rPr>
      </w:pPr>
      <w:r>
        <w:rPr>
          <w:rFonts w:ascii="Arial" w:cs="Arial" w:eastAsia="Arial" w:hAnsi="Arial"/>
          <w:sz w:val="21"/>
          <w:szCs w:val="21"/>
          <w:color w:val="auto"/>
        </w:rPr>
        <w:t>provide that the Participant shall vest in 100% of that percentage of the Target Performance Units corresponding to the percentage of the Performance Goal(s) achieved, as provided in Section 1 for the Performance Period, as if the</w:t>
      </w:r>
    </w:p>
    <w:p>
      <w:pPr>
        <w:spacing w:after="0" w:line="229" w:lineRule="auto"/>
        <w:rPr>
          <w:sz w:val="20"/>
          <w:szCs w:val="20"/>
          <w:color w:val="auto"/>
        </w:rPr>
      </w:pPr>
      <w:r>
        <w:rPr>
          <w:rFonts w:ascii="Arial" w:cs="Arial" w:eastAsia="Arial" w:hAnsi="Arial"/>
          <w:sz w:val="21"/>
          <w:szCs w:val="21"/>
          <w:color w:val="auto"/>
        </w:rPr>
        <w:t>Participant had remained employed with the Company or an Affiliate for the entire Performance Period.</w:t>
      </w:r>
    </w:p>
    <w:p>
      <w:pPr>
        <w:spacing w:after="0" w:line="204" w:lineRule="exact"/>
        <w:rPr>
          <w:sz w:val="20"/>
          <w:szCs w:val="20"/>
          <w:color w:val="auto"/>
        </w:rPr>
      </w:pPr>
    </w:p>
    <w:p>
      <w:pPr>
        <w:ind w:left="4160"/>
        <w:spacing w:after="0"/>
        <w:rPr>
          <w:sz w:val="20"/>
          <w:szCs w:val="20"/>
          <w:color w:val="auto"/>
        </w:rPr>
      </w:pPr>
      <w:r>
        <w:rPr>
          <w:rFonts w:ascii="Arial" w:cs="Arial" w:eastAsia="Arial" w:hAnsi="Arial"/>
          <w:sz w:val="21"/>
          <w:szCs w:val="21"/>
          <w:color w:val="auto"/>
        </w:rPr>
        <w:t>[SIGNATURES ON NEXT PAGE]</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55" w:lineRule="exact"/>
        <w:rPr>
          <w:sz w:val="20"/>
          <w:szCs w:val="20"/>
          <w:color w:val="auto"/>
        </w:rPr>
      </w:pPr>
    </w:p>
    <w:p>
      <w:pPr>
        <w:jc w:val="both"/>
        <w:ind w:firstLine="486"/>
        <w:spacing w:after="0" w:line="239" w:lineRule="auto"/>
        <w:rPr>
          <w:sz w:val="20"/>
          <w:szCs w:val="20"/>
          <w:color w:val="auto"/>
        </w:rPr>
      </w:pPr>
      <w:r>
        <w:rPr>
          <w:rFonts w:ascii="Arial" w:cs="Arial" w:eastAsia="Arial" w:hAnsi="Arial"/>
          <w:sz w:val="21"/>
          <w:szCs w:val="21"/>
          <w:color w:val="auto"/>
        </w:rPr>
        <w:t>By your signature and the signature of the Company’s representative below, the Participant and the Company agree that the Performance Units granted are governed by the terms and conditions of this Notice, the Award Agreement and the Plan.</w:t>
      </w:r>
    </w:p>
    <w:p>
      <w:pPr>
        <w:spacing w:after="0" w:line="246" w:lineRule="exact"/>
        <w:rPr>
          <w:sz w:val="20"/>
          <w:szCs w:val="20"/>
          <w:color w:val="auto"/>
        </w:rPr>
      </w:pPr>
    </w:p>
    <w:p>
      <w:pPr>
        <w:ind w:left="280"/>
        <w:spacing w:after="0"/>
        <w:rPr>
          <w:sz w:val="20"/>
          <w:szCs w:val="20"/>
          <w:color w:val="auto"/>
        </w:rPr>
      </w:pPr>
      <w:r>
        <w:rPr>
          <w:rFonts w:ascii="Arial" w:cs="Arial" w:eastAsia="Arial" w:hAnsi="Arial"/>
          <w:sz w:val="21"/>
          <w:szCs w:val="21"/>
          <w:color w:val="auto"/>
          <w:highlight w:val="black"/>
        </w:rPr>
        <w:t>POWELL INDUSTRIES, INC.</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-19050</wp:posOffset>
            </wp:positionV>
            <wp:extent cx="1714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-19050</wp:posOffset>
            </wp:positionV>
            <wp:extent cx="3854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385445" cy="8255"/>
                    </a:xfrm>
                    <a:prstGeom prst="rect">
                      <a:avLst/>
                    </a:prstGeom>
                    <a:noFill/>
                  </pic:spPr>
                </pic:pic>
              </a:graphicData>
            </a:graphic>
          </wp:anchor>
        </w:drawing>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21"/>
          <w:szCs w:val="2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-19050</wp:posOffset>
            </wp:positionV>
            <wp:extent cx="3854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385445" cy="8255"/>
                    </a:xfrm>
                    <a:prstGeom prst="rect">
                      <a:avLst/>
                    </a:prstGeom>
                    <a:noFill/>
                  </pic:spPr>
                </pic:pic>
              </a:graphicData>
            </a:graphic>
          </wp:anchor>
        </w:drawing>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21"/>
          <w:szCs w:val="2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-19050</wp:posOffset>
            </wp:positionV>
            <wp:extent cx="2139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highlight w:val="black"/>
        </w:rPr>
        <w:t>PARTICIPANT ACKNOWLEDGMENT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2515235</wp:posOffset>
            </wp:positionH>
            <wp:positionV relativeFrom="paragraph">
              <wp:posOffset>-19050</wp:posOffset>
            </wp:positionV>
            <wp:extent cx="21120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2112010" cy="8255"/>
                    </a:xfrm>
                    <a:prstGeom prst="rect">
                      <a:avLst/>
                    </a:prstGeom>
                    <a:noFill/>
                  </pic:spPr>
                </pic:pic>
              </a:graphicData>
            </a:graphic>
          </wp:anchor>
        </w:drawing>
      </w:r>
    </w:p>
    <w:p>
      <w:pPr>
        <w:spacing w:after="0" w:line="24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21"/>
          <w:szCs w:val="21"/>
          <w:color w:val="auto"/>
        </w:rPr>
        <w:t>The Participant acknowledges receipt of a copy of this Notice, the Award Agreement and the Plan, and represents that he or she is familiar with the provisions thereof, and hereby accepts the Performance Units subject to all of the terms and provisions hereof and thereof. The Participant has reviewed this Notice, the Award Agreement and the Plan in their entirety, has had an opportunity to obtain the advice of legal counsel prior to executing this Notice, the Award Agreement, and fully understands all provisions of this Notice, the Award Agreement and the Plan. The Participant hereby agrees that all questions of interpretation and administration relating to this Notice, the Award Agreement and the Plan shall be resolved by the Committee.</w:t>
      </w:r>
    </w:p>
    <w:p>
      <w:pPr>
        <w:spacing w:after="0" w:line="25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21"/>
          <w:szCs w:val="21"/>
          <w:color w:val="auto"/>
        </w:rPr>
        <w:t>The Participant hereby acknowledges that he or she has had the opportunity to review with his or her own tax advisors the tax consequences of receiving this Notice, the Award Agreement and the Plan, and the transactions contemplated thereby, including any U.S. federal, state and local tax laws, and any other applicable taxing jurisdiction, prior to executing this Notice. The Participant attests that he or she is relying solely on such advisors and not on any statements or representations of the Company or any of its agents or affiliates. Further, the Participant hereby acknowledges and understands that he or she (and not the Company) shall be solely responsible for his or her tax liability that may arise as a result of receiving this Notice and the Award Agreement.</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21"/>
          <w:szCs w:val="21"/>
          <w:color w:val="auto"/>
          <w:highlight w:val="black"/>
        </w:rPr>
        <w:t>PARTICIPANT:</w:t>
      </w:r>
    </w:p>
    <w:p>
      <w:pPr>
        <w:spacing w:after="0" w:line="245" w:lineRule="exact"/>
        <w:rPr>
          <w:sz w:val="20"/>
          <w:szCs w:val="20"/>
          <w:color w:val="auto"/>
        </w:rPr>
      </w:pPr>
    </w:p>
    <w:p>
      <w:pPr>
        <w:ind w:left="280"/>
        <w:spacing w:after="0"/>
        <w:rPr>
          <w:sz w:val="20"/>
          <w:szCs w:val="20"/>
          <w:color w:val="auto"/>
        </w:rPr>
      </w:pPr>
      <w:r>
        <w:rPr>
          <w:rFonts w:ascii="Arial" w:cs="Arial" w:eastAsia="Arial" w:hAnsi="Arial"/>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-19050</wp:posOffset>
            </wp:positionV>
            <wp:extent cx="1714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-19050</wp:posOffset>
            </wp:positionV>
            <wp:extent cx="3854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385445" cy="8890"/>
                    </a:xfrm>
                    <a:prstGeom prst="rect">
                      <a:avLst/>
                    </a:prstGeom>
                    <a:noFill/>
                  </pic:spPr>
                </pic:pic>
              </a:graphicData>
            </a:graphic>
          </wp:anchor>
        </w:drawing>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21"/>
          <w:szCs w:val="2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-19050</wp:posOffset>
            </wp:positionV>
            <wp:extent cx="1714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PERFORMANCE UNIT AWARD AGREEMENT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color w:val="auto"/>
          <w:highlight w:val="black"/>
        </w:rPr>
        <w:t>(PERFORMANCE-VESTING)</w:t>
      </w:r>
    </w:p>
    <w:p>
      <w:pPr>
        <w:spacing w:after="0" w:line="26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1"/>
          <w:szCs w:val="21"/>
          <w:color w:val="auto"/>
        </w:rPr>
        <w:t>Subject to the terms and conditions of the Notice of Performance Unit Award (the “Notice”), this Performance Unit Award Agreement (the “Award Agreement”), and the Powell Industries, Inc. 2014 Equity Incentive Plan (the “Plan”), the individual set forth in the Notice (the “Participant”) is hereby granted Performance Units (the “Performance Units”) in Powell Industries, Inc. (the “Company”). Unless otherwise specifically indicated, all terms used in this Award Agreement shall have the meaning as set forth in the Notice 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5521960</wp:posOffset>
            </wp:positionH>
            <wp:positionV relativeFrom="paragraph">
              <wp:posOffset>-684530</wp:posOffset>
            </wp:positionV>
            <wp:extent cx="3784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37846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-513080</wp:posOffset>
            </wp:positionV>
            <wp:extent cx="10998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1099820"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-350520</wp:posOffset>
            </wp:positionV>
            <wp:extent cx="2552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255270"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-350520</wp:posOffset>
            </wp:positionV>
            <wp:extent cx="6356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635635"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-187325</wp:posOffset>
            </wp:positionV>
            <wp:extent cx="11245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1124585" cy="8255"/>
                    </a:xfrm>
                    <a:prstGeom prst="rect">
                      <a:avLst/>
                    </a:prstGeom>
                    <a:noFill/>
                  </pic:spPr>
                </pic:pic>
              </a:graphicData>
            </a:graphic>
          </wp:anchor>
        </w:drawing>
        <w:drawing>
          <wp:anchor simplePos="0" relativeHeight="251657728" behindDoc="1" locked="0" layoutInCell="0" allowOverlap="1">
            <wp:simplePos x="0" y="0"/>
            <wp:positionH relativeFrom="column">
              <wp:posOffset>3345815</wp:posOffset>
            </wp:positionH>
            <wp:positionV relativeFrom="paragraph">
              <wp:posOffset>-187325</wp:posOffset>
            </wp:positionV>
            <wp:extent cx="5632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563245" cy="8255"/>
                    </a:xfrm>
                    <a:prstGeom prst="rect">
                      <a:avLst/>
                    </a:prstGeom>
                    <a:noFill/>
                  </pic:spPr>
                </pic:pic>
              </a:graphicData>
            </a:graphic>
          </wp:anchor>
        </w:drawing>
      </w:r>
    </w:p>
    <w:p>
      <w:pPr>
        <w:spacing w:after="0" w:line="203" w:lineRule="exact"/>
        <w:rPr>
          <w:sz w:val="20"/>
          <w:szCs w:val="20"/>
          <w:color w:val="auto"/>
        </w:rPr>
      </w:pPr>
    </w:p>
    <w:p>
      <w:pPr>
        <w:ind w:left="1300" w:hanging="774"/>
        <w:spacing w:after="0"/>
        <w:tabs>
          <w:tab w:leader="none" w:pos="13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Vesting Schedule and Risk of Forfeiture.</w:t>
      </w:r>
    </w:p>
    <w:p>
      <w:pPr>
        <w:spacing w:after="0" w:line="276" w:lineRule="exact"/>
        <w:rPr>
          <w:rFonts w:ascii="Arial" w:cs="Arial" w:eastAsia="Arial" w:hAnsi="Arial"/>
          <w:sz w:val="21"/>
          <w:szCs w:val="21"/>
          <w:color w:val="auto"/>
        </w:rPr>
      </w:pPr>
    </w:p>
    <w:p>
      <w:pPr>
        <w:ind w:firstLine="915"/>
        <w:spacing w:after="0" w:line="231" w:lineRule="auto"/>
        <w:tabs>
          <w:tab w:leader="none" w:pos="1294" w:val="left"/>
        </w:tabs>
        <w:numPr>
          <w:ilvl w:val="1"/>
          <w:numId w:val="25"/>
        </w:numPr>
        <w:rPr>
          <w:rFonts w:ascii="Arial" w:cs="Arial" w:eastAsia="Arial" w:hAnsi="Arial"/>
          <w:sz w:val="21"/>
          <w:szCs w:val="21"/>
          <w:color w:val="auto"/>
        </w:rPr>
      </w:pPr>
      <w:r>
        <w:rPr>
          <w:rFonts w:ascii="Arial" w:cs="Arial" w:eastAsia="Arial" w:hAnsi="Arial"/>
          <w:sz w:val="21"/>
          <w:szCs w:val="21"/>
          <w:color w:val="auto"/>
        </w:rPr>
        <w:t>Vesting Schedule. Subject to the Participant’s continuous service with the Company as a Service Provider, the Performance Units shall vest in accordance with the Vesting Schedule provided in the Notice.</w:t>
      </w:r>
    </w:p>
    <w:p>
      <w:pPr>
        <w:spacing w:after="0" w:line="264" w:lineRule="exact"/>
        <w:rPr>
          <w:rFonts w:ascii="Arial" w:cs="Arial" w:eastAsia="Arial" w:hAnsi="Arial"/>
          <w:sz w:val="21"/>
          <w:szCs w:val="21"/>
          <w:color w:val="auto"/>
        </w:rPr>
      </w:pPr>
    </w:p>
    <w:p>
      <w:pPr>
        <w:jc w:val="both"/>
        <w:ind w:firstLine="915"/>
        <w:spacing w:after="0" w:line="254" w:lineRule="auto"/>
        <w:tabs>
          <w:tab w:leader="none" w:pos="1286" w:val="left"/>
        </w:tabs>
        <w:numPr>
          <w:ilvl w:val="1"/>
          <w:numId w:val="25"/>
        </w:numPr>
        <w:rPr>
          <w:rFonts w:ascii="Arial" w:cs="Arial" w:eastAsia="Arial" w:hAnsi="Arial"/>
          <w:sz w:val="21"/>
          <w:szCs w:val="21"/>
          <w:color w:val="auto"/>
        </w:rPr>
      </w:pPr>
      <w:r>
        <w:rPr>
          <w:rFonts w:ascii="Arial" w:cs="Arial" w:eastAsia="Arial" w:hAnsi="Arial"/>
          <w:sz w:val="21"/>
          <w:szCs w:val="21"/>
          <w:color w:val="auto"/>
        </w:rPr>
        <w:t>Risk of Forfeiture. The Performance Units shall be subject to a risk of forfeiture until such time the risk of forfeiture lapses in accordance with the above Vesting Schedule. All or any portion of the Performance Units subject to a risk of forfeiture shall automatically be forfeited and immediately returned to the Company if Participant’s continuous status as a Service Provider is interrupted or terminated for any reason other than as permitted under the Plan. Additionally, and notwithstanding anything in the Notice or this Award Agreement to the contrary, the vested and unvested Performance Units shall be forfeited if the Participant’s continuous service as a Service Provider is terminated for Cause or if the Participant breaches (as determined by the Board) any provisions of the Notice, this Award Agreement or the Plan. The Company shall implement any forfeiture under this Section 1 in a unilateral manner, without Participant’s consent, and with no payment to Participant, cash or otherwise, for the forfeited Performance Units.</w:t>
      </w:r>
    </w:p>
    <w:p>
      <w:pPr>
        <w:spacing w:after="0" w:line="200" w:lineRule="exact"/>
        <w:rPr>
          <w:rFonts w:ascii="Arial" w:cs="Arial" w:eastAsia="Arial" w:hAnsi="Arial"/>
          <w:sz w:val="21"/>
          <w:szCs w:val="21"/>
          <w:color w:val="auto"/>
        </w:rPr>
      </w:pPr>
    </w:p>
    <w:p>
      <w:pPr>
        <w:spacing w:after="0" w:line="307" w:lineRule="exact"/>
        <w:rPr>
          <w:rFonts w:ascii="Arial" w:cs="Arial" w:eastAsia="Arial" w:hAnsi="Arial"/>
          <w:sz w:val="21"/>
          <w:szCs w:val="21"/>
          <w:color w:val="auto"/>
        </w:rPr>
      </w:pPr>
    </w:p>
    <w:p>
      <w:pPr>
        <w:jc w:val="both"/>
        <w:ind w:firstLine="915"/>
        <w:spacing w:after="0" w:line="239" w:lineRule="auto"/>
        <w:tabs>
          <w:tab w:leader="none" w:pos="1293" w:val="left"/>
        </w:tabs>
        <w:numPr>
          <w:ilvl w:val="1"/>
          <w:numId w:val="25"/>
        </w:numPr>
        <w:rPr>
          <w:rFonts w:ascii="Arial" w:cs="Arial" w:eastAsia="Arial" w:hAnsi="Arial"/>
          <w:sz w:val="21"/>
          <w:szCs w:val="21"/>
          <w:color w:val="auto"/>
        </w:rPr>
      </w:pPr>
      <w:r>
        <w:rPr>
          <w:rFonts w:ascii="Arial" w:cs="Arial" w:eastAsia="Arial" w:hAnsi="Arial"/>
          <w:sz w:val="21"/>
          <w:szCs w:val="21"/>
          <w:color w:val="auto"/>
        </w:rPr>
        <w:t>Committee Certification of Performance Goals. Except in connection with vesting upon a Change in Control, in no event shall any Performance Units vest as according to the Vesting Schedule unless the Committee has certified that the Performance Goals set forth in the Notice have been achieved.</w:t>
      </w:r>
    </w:p>
    <w:p>
      <w:pPr>
        <w:spacing w:after="0" w:line="264" w:lineRule="exact"/>
        <w:rPr>
          <w:rFonts w:ascii="Arial" w:cs="Arial" w:eastAsia="Arial" w:hAnsi="Arial"/>
          <w:sz w:val="21"/>
          <w:szCs w:val="21"/>
          <w:color w:val="auto"/>
        </w:rPr>
      </w:pPr>
    </w:p>
    <w:p>
      <w:pPr>
        <w:jc w:val="both"/>
        <w:ind w:firstLine="526"/>
        <w:spacing w:after="0" w:line="248" w:lineRule="auto"/>
        <w:tabs>
          <w:tab w:leader="none" w:pos="1296" w:val="left"/>
        </w:tabs>
        <w:numPr>
          <w:ilvl w:val="0"/>
          <w:numId w:val="25"/>
        </w:numPr>
        <w:rPr>
          <w:rFonts w:ascii="Arial" w:cs="Arial" w:eastAsia="Arial" w:hAnsi="Arial"/>
          <w:sz w:val="21"/>
          <w:szCs w:val="21"/>
          <w:color w:val="auto"/>
        </w:rPr>
      </w:pPr>
      <w:r>
        <w:rPr>
          <w:rFonts w:ascii="Arial" w:cs="Arial" w:eastAsia="Arial" w:hAnsi="Arial"/>
          <w:sz w:val="21"/>
          <w:szCs w:val="21"/>
          <w:color w:val="auto"/>
        </w:rPr>
        <w:t>Conversion: Settlement of Performance Units. Subject to the terms of this Award Agreement, on the date all or any portion of the Performance Units become nonforfeitable pursuant to the Vesting Schedule, each Performance Unit that becomes nonforfeitable shall immediately and automatically be converted into [one Share or cash equivalent] of the Company’s Common Stock and immediately thereafter shall be granted to the Participant.</w:t>
      </w:r>
    </w:p>
    <w:p>
      <w:pPr>
        <w:spacing w:after="0" w:line="257" w:lineRule="exact"/>
        <w:rPr>
          <w:rFonts w:ascii="Arial" w:cs="Arial" w:eastAsia="Arial" w:hAnsi="Arial"/>
          <w:sz w:val="21"/>
          <w:szCs w:val="21"/>
          <w:color w:val="auto"/>
        </w:rPr>
      </w:pPr>
    </w:p>
    <w:p>
      <w:pPr>
        <w:ind w:right="20" w:firstLine="526"/>
        <w:spacing w:after="0" w:line="231" w:lineRule="auto"/>
        <w:tabs>
          <w:tab w:leader="none" w:pos="1296" w:val="left"/>
        </w:tabs>
        <w:numPr>
          <w:ilvl w:val="0"/>
          <w:numId w:val="25"/>
        </w:numPr>
        <w:rPr>
          <w:rFonts w:ascii="Arial" w:cs="Arial" w:eastAsia="Arial" w:hAnsi="Arial"/>
          <w:sz w:val="21"/>
          <w:szCs w:val="21"/>
          <w:color w:val="auto"/>
        </w:rPr>
      </w:pPr>
      <w:r>
        <w:rPr>
          <w:rFonts w:ascii="Arial" w:cs="Arial" w:eastAsia="Arial" w:hAnsi="Arial"/>
          <w:sz w:val="21"/>
          <w:szCs w:val="21"/>
          <w:color w:val="auto"/>
        </w:rPr>
        <w:t>Dividends: A dividend equivalent shall be credited to the account of Participant in an amount equal to the value of dividends paid (payable date) on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-4158615</wp:posOffset>
            </wp:positionV>
            <wp:extent cx="23672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2367280"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-3850005</wp:posOffset>
            </wp:positionV>
            <wp:extent cx="10598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1059815" cy="8255"/>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-3387090</wp:posOffset>
            </wp:positionV>
            <wp:extent cx="10401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1040130" cy="8890"/>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-1604010</wp:posOffset>
            </wp:positionV>
            <wp:extent cx="28562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285623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-978535</wp:posOffset>
            </wp:positionV>
            <wp:extent cx="27889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278892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-180975</wp:posOffset>
            </wp:positionV>
            <wp:extent cx="585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5854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55" w:lineRule="exact"/>
        <w:rPr>
          <w:sz w:val="20"/>
          <w:szCs w:val="20"/>
          <w:color w:val="auto"/>
        </w:rPr>
      </w:pPr>
    </w:p>
    <w:p>
      <w:pPr>
        <w:spacing w:after="0" w:line="231" w:lineRule="auto"/>
        <w:rPr>
          <w:sz w:val="20"/>
          <w:szCs w:val="20"/>
          <w:color w:val="auto"/>
        </w:rPr>
      </w:pPr>
      <w:r>
        <w:rPr>
          <w:rFonts w:ascii="Arial" w:cs="Arial" w:eastAsia="Arial" w:hAnsi="Arial"/>
          <w:sz w:val="21"/>
          <w:szCs w:val="21"/>
          <w:color w:val="auto"/>
        </w:rPr>
        <w:t>Share of common stock for each Performance Unit represented by this Award, settled pro-rata in accordance with Section 2.</w:t>
      </w:r>
    </w:p>
    <w:p>
      <w:pPr>
        <w:spacing w:after="0" w:line="264" w:lineRule="exact"/>
        <w:rPr>
          <w:sz w:val="20"/>
          <w:szCs w:val="20"/>
          <w:color w:val="auto"/>
        </w:rPr>
      </w:pPr>
    </w:p>
    <w:p>
      <w:pPr>
        <w:ind w:right="20" w:firstLine="526"/>
        <w:spacing w:after="0" w:line="238" w:lineRule="auto"/>
        <w:tabs>
          <w:tab w:leader="none" w:pos="1293" w:val="left"/>
        </w:tabs>
        <w:numPr>
          <w:ilvl w:val="1"/>
          <w:numId w:val="26"/>
        </w:numPr>
        <w:rPr>
          <w:rFonts w:ascii="Arial" w:cs="Arial" w:eastAsia="Arial" w:hAnsi="Arial"/>
          <w:sz w:val="21"/>
          <w:szCs w:val="21"/>
          <w:color w:val="auto"/>
        </w:rPr>
      </w:pPr>
      <w:r>
        <w:rPr>
          <w:rFonts w:ascii="Arial" w:cs="Arial" w:eastAsia="Arial" w:hAnsi="Arial"/>
          <w:sz w:val="21"/>
          <w:szCs w:val="21"/>
          <w:color w:val="auto"/>
        </w:rPr>
        <w:t>Taxes. The Participant hereby acknowledges and understands that he or she may suffer adverse tax consequences as a result of the Participant’s receipt of, vesting in, or disposition of, the Performance Units.</w:t>
      </w:r>
    </w:p>
    <w:p>
      <w:pPr>
        <w:spacing w:after="0" w:line="263" w:lineRule="exact"/>
        <w:rPr>
          <w:rFonts w:ascii="Arial" w:cs="Arial" w:eastAsia="Arial" w:hAnsi="Arial"/>
          <w:sz w:val="21"/>
          <w:szCs w:val="21"/>
          <w:color w:val="auto"/>
        </w:rPr>
      </w:pPr>
    </w:p>
    <w:p>
      <w:pPr>
        <w:jc w:val="both"/>
        <w:ind w:firstLine="915"/>
        <w:spacing w:after="0" w:line="251" w:lineRule="auto"/>
        <w:tabs>
          <w:tab w:leader="none" w:pos="1294" w:val="left"/>
        </w:tabs>
        <w:numPr>
          <w:ilvl w:val="2"/>
          <w:numId w:val="26"/>
        </w:numPr>
        <w:rPr>
          <w:rFonts w:ascii="Arial" w:cs="Arial" w:eastAsia="Arial" w:hAnsi="Arial"/>
          <w:sz w:val="21"/>
          <w:szCs w:val="21"/>
          <w:color w:val="auto"/>
        </w:rPr>
      </w:pPr>
      <w:r>
        <w:rPr>
          <w:rFonts w:ascii="Arial" w:cs="Arial" w:eastAsia="Arial" w:hAnsi="Arial"/>
          <w:sz w:val="21"/>
          <w:szCs w:val="21"/>
          <w:color w:val="auto"/>
        </w:rPr>
        <w:t>Representations. The Participant has reviewed with his or her own tax advisors the tax consequences of this Award Agreement and the Performance Units granted hereunder, including any U.S. federal, state and local tax laws, and any other applicable taxing jurisdiction. The Participant is relying solely on such advisors and not on any statements or representations of the Company or any of its agents. The Participant hereby acknowledges and understands that he or she (and not the Company) shall be responsible for his or her own tax liability that may arise as a result of his or her receiving this Award Agreement and the Performance Units granted hereunder.</w:t>
      </w:r>
    </w:p>
    <w:p>
      <w:pPr>
        <w:spacing w:after="0" w:line="253" w:lineRule="exact"/>
        <w:rPr>
          <w:rFonts w:ascii="Arial" w:cs="Arial" w:eastAsia="Arial" w:hAnsi="Arial"/>
          <w:sz w:val="21"/>
          <w:szCs w:val="21"/>
          <w:color w:val="auto"/>
        </w:rPr>
      </w:pPr>
    </w:p>
    <w:p>
      <w:pPr>
        <w:jc w:val="both"/>
        <w:ind w:firstLine="915"/>
        <w:spacing w:after="0" w:line="239" w:lineRule="auto"/>
        <w:tabs>
          <w:tab w:leader="none" w:pos="1286" w:val="left"/>
        </w:tabs>
        <w:numPr>
          <w:ilvl w:val="2"/>
          <w:numId w:val="26"/>
        </w:numPr>
        <w:rPr>
          <w:rFonts w:ascii="Arial" w:cs="Arial" w:eastAsia="Arial" w:hAnsi="Arial"/>
          <w:sz w:val="21"/>
          <w:szCs w:val="21"/>
          <w:color w:val="auto"/>
        </w:rPr>
      </w:pPr>
      <w:r>
        <w:rPr>
          <w:rFonts w:ascii="Arial" w:cs="Arial" w:eastAsia="Arial" w:hAnsi="Arial"/>
          <w:sz w:val="21"/>
          <w:szCs w:val="21"/>
          <w:color w:val="auto"/>
        </w:rPr>
        <w:t>Payment of Withholding Taxes. The Participant shall make appropriate arrangements with the Company for the satisfaction of all U.S. Federal, state, local and non-U.S. income and employment tax withholding requirements applicable to any Performance Units that settle in Shares of Common Stock in accordance with Section</w:t>
      </w:r>
    </w:p>
    <w:p>
      <w:pPr>
        <w:spacing w:after="0" w:line="16" w:lineRule="exact"/>
        <w:rPr>
          <w:rFonts w:ascii="Arial" w:cs="Arial" w:eastAsia="Arial" w:hAnsi="Arial"/>
          <w:sz w:val="21"/>
          <w:szCs w:val="21"/>
          <w:color w:val="auto"/>
        </w:rPr>
      </w:pPr>
    </w:p>
    <w:p>
      <w:pPr>
        <w:ind w:left="280" w:hanging="272"/>
        <w:spacing w:after="0"/>
        <w:tabs>
          <w:tab w:leader="none" w:pos="280"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Committee shall have the sole authority to determine whether a “net withholding” may be permitted or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826135</wp:posOffset>
            </wp:positionH>
            <wp:positionV relativeFrom="paragraph">
              <wp:posOffset>-2102485</wp:posOffset>
            </wp:positionV>
            <wp:extent cx="3365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336550" cy="8890"/>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-1630680</wp:posOffset>
            </wp:positionV>
            <wp:extent cx="9683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-508000</wp:posOffset>
            </wp:positionV>
            <wp:extent cx="18326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1832610" cy="8255"/>
                    </a:xfrm>
                    <a:prstGeom prst="rect">
                      <a:avLst/>
                    </a:prstGeom>
                    <a:noFill/>
                  </pic:spPr>
                </pic:pic>
              </a:graphicData>
            </a:graphic>
          </wp:anchor>
        </w:drawing>
      </w:r>
    </w:p>
    <w:p>
      <w:pPr>
        <w:spacing w:after="0" w:line="40"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required for purposes of Participant satisfying his or her obligations under this Section 4(b). Participant hereby acknowledges his or her understanding that the Company’s obligations under this Award Agreement are fully contingent on Participant first satisfying this Section 4(b). Therefore, a failure of Participant to reasonably satisfy this Section 3 in accordance with the Committee’s sole and absolute discretion shall result in the automatic termination and expiration of this Award Agreement and the Company’s obligations hereunder. Participant hereby agrees that a breach of this Section 3(b) shall be deemed to be a material breach of this Award Agreement.</w:t>
      </w:r>
    </w:p>
    <w:p>
      <w:pPr>
        <w:spacing w:after="0" w:line="253" w:lineRule="exact"/>
        <w:rPr>
          <w:sz w:val="20"/>
          <w:szCs w:val="20"/>
          <w:color w:val="auto"/>
        </w:rPr>
      </w:pPr>
    </w:p>
    <w:p>
      <w:pPr>
        <w:jc w:val="both"/>
        <w:ind w:firstLine="915"/>
        <w:spacing w:after="0" w:line="251" w:lineRule="auto"/>
        <w:tabs>
          <w:tab w:leader="none" w:pos="1293" w:val="left"/>
        </w:tabs>
        <w:numPr>
          <w:ilvl w:val="1"/>
          <w:numId w:val="28"/>
        </w:numPr>
        <w:rPr>
          <w:rFonts w:ascii="Arial" w:cs="Arial" w:eastAsia="Arial" w:hAnsi="Arial"/>
          <w:sz w:val="21"/>
          <w:szCs w:val="21"/>
          <w:color w:val="auto"/>
        </w:rPr>
      </w:pPr>
      <w:r>
        <w:rPr>
          <w:rFonts w:ascii="Arial" w:cs="Arial" w:eastAsia="Arial" w:hAnsi="Arial"/>
          <w:sz w:val="21"/>
          <w:szCs w:val="21"/>
          <w:color w:val="auto"/>
        </w:rPr>
        <w:t>No Application of Section 409A. The Performance Units and this Award Agreement are intended to avoid the application of Section 409A of the Code (“Section 409A”) because there is no deferral arrangement. Notwithstanding any other provision in the Plan or this Award Agreement to the contrary, the Committee shall have the right, in its sole discretion, to adopt such amendments to the Plan or this Award Agreement or take such other actions (including amendments and actions with retroactive effect) as the Committee determines are necessary or appropriate for the Performance Units to comply with Section 409A.</w:t>
      </w:r>
    </w:p>
    <w:p>
      <w:pPr>
        <w:spacing w:after="0" w:line="253" w:lineRule="exact"/>
        <w:rPr>
          <w:rFonts w:ascii="Arial" w:cs="Arial" w:eastAsia="Arial" w:hAnsi="Arial"/>
          <w:sz w:val="21"/>
          <w:szCs w:val="21"/>
          <w:color w:val="auto"/>
        </w:rPr>
      </w:pPr>
    </w:p>
    <w:p>
      <w:pPr>
        <w:jc w:val="both"/>
        <w:ind w:firstLine="526"/>
        <w:spacing w:after="0" w:line="244" w:lineRule="auto"/>
        <w:tabs>
          <w:tab w:leader="none" w:pos="1296" w:val="left"/>
        </w:tabs>
        <w:numPr>
          <w:ilvl w:val="0"/>
          <w:numId w:val="29"/>
        </w:numPr>
        <w:rPr>
          <w:rFonts w:ascii="Arial" w:cs="Arial" w:eastAsia="Arial" w:hAnsi="Arial"/>
          <w:sz w:val="21"/>
          <w:szCs w:val="21"/>
          <w:color w:val="auto"/>
        </w:rPr>
      </w:pPr>
      <w:r>
        <w:rPr>
          <w:rFonts w:ascii="Arial" w:cs="Arial" w:eastAsia="Arial" w:hAnsi="Arial"/>
          <w:sz w:val="21"/>
          <w:szCs w:val="21"/>
          <w:color w:val="auto"/>
        </w:rPr>
        <w:t>Transferability of Performance Units. The Performance Units may not be transferred in any manner other than by will or by the laws of descent and distribution. Notwithstanding the foregoing, Participant may designate one or more beneficiaries of Participant’s Performance Units in the event of Participant’s death on a beneficiary designation form provided by the Committee. The terms of this Award Agreement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826135</wp:posOffset>
            </wp:positionH>
            <wp:positionV relativeFrom="paragraph">
              <wp:posOffset>-1632585</wp:posOffset>
            </wp:positionV>
            <wp:extent cx="18630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186309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-1469390</wp:posOffset>
            </wp:positionV>
            <wp:extent cx="8413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84137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-509270</wp:posOffset>
            </wp:positionV>
            <wp:extent cx="22294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23" w:lineRule="exact"/>
        <w:rPr>
          <w:sz w:val="20"/>
          <w:szCs w:val="20"/>
          <w:color w:val="auto"/>
        </w:rPr>
      </w:pPr>
    </w:p>
    <w:p>
      <w:pPr>
        <w:spacing w:after="0"/>
        <w:rPr>
          <w:sz w:val="20"/>
          <w:szCs w:val="20"/>
          <w:color w:val="auto"/>
        </w:rPr>
      </w:pPr>
      <w:r>
        <w:rPr>
          <w:rFonts w:ascii="Arial" w:cs="Arial" w:eastAsia="Arial" w:hAnsi="Arial"/>
          <w:sz w:val="21"/>
          <w:szCs w:val="21"/>
          <w:color w:val="auto"/>
        </w:rPr>
        <w:t>be binding upon the executors, administrators, heirs, successors and transferees of the Participant.</w:t>
      </w:r>
    </w:p>
    <w:p>
      <w:pPr>
        <w:spacing w:after="0" w:line="263" w:lineRule="exact"/>
        <w:rPr>
          <w:sz w:val="20"/>
          <w:szCs w:val="20"/>
          <w:color w:val="auto"/>
        </w:rPr>
      </w:pPr>
    </w:p>
    <w:p>
      <w:pPr>
        <w:jc w:val="both"/>
        <w:ind w:firstLine="526"/>
        <w:spacing w:after="0" w:line="245" w:lineRule="auto"/>
        <w:tabs>
          <w:tab w:leader="none" w:pos="1296" w:val="left"/>
        </w:tabs>
        <w:numPr>
          <w:ilvl w:val="1"/>
          <w:numId w:val="30"/>
        </w:numPr>
        <w:rPr>
          <w:rFonts w:ascii="Arial" w:cs="Arial" w:eastAsia="Arial" w:hAnsi="Arial"/>
          <w:sz w:val="21"/>
          <w:szCs w:val="21"/>
          <w:color w:val="auto"/>
        </w:rPr>
      </w:pPr>
      <w:r>
        <w:rPr>
          <w:rFonts w:ascii="Arial" w:cs="Arial" w:eastAsia="Arial" w:hAnsi="Arial"/>
          <w:sz w:val="21"/>
          <w:szCs w:val="21"/>
          <w:color w:val="auto"/>
        </w:rPr>
        <w:t>Rights as a Shareholder of the Company. Participant’s receipt of the grant of Performance Units pursuant to this Award Agreement shall provide and confer no rights to or status as a shareholder or equity holder of the Company. Without limiting the foregoing, the holding of Performance Units shall NOT confer any right to: (i) vote;</w:t>
      </w:r>
    </w:p>
    <w:p>
      <w:pPr>
        <w:spacing w:after="0" w:line="43" w:lineRule="exact"/>
        <w:rPr>
          <w:rFonts w:ascii="Arial" w:cs="Arial" w:eastAsia="Arial" w:hAnsi="Arial"/>
          <w:sz w:val="21"/>
          <w:szCs w:val="21"/>
          <w:color w:val="auto"/>
        </w:rPr>
      </w:pPr>
    </w:p>
    <w:p>
      <w:pPr>
        <w:jc w:val="both"/>
        <w:ind w:firstLine="8"/>
        <w:spacing w:after="0" w:line="239" w:lineRule="auto"/>
        <w:tabs>
          <w:tab w:leader="none" w:pos="400" w:val="left"/>
        </w:tabs>
        <w:numPr>
          <w:ilvl w:val="0"/>
          <w:numId w:val="31"/>
        </w:numPr>
        <w:rPr>
          <w:rFonts w:ascii="Arial" w:cs="Arial" w:eastAsia="Arial" w:hAnsi="Arial"/>
          <w:sz w:val="21"/>
          <w:szCs w:val="21"/>
          <w:color w:val="auto"/>
        </w:rPr>
      </w:pPr>
      <w:r>
        <w:rPr>
          <w:rFonts w:ascii="Arial" w:cs="Arial" w:eastAsia="Arial" w:hAnsi="Arial"/>
          <w:sz w:val="21"/>
          <w:szCs w:val="21"/>
          <w:color w:val="auto"/>
        </w:rPr>
        <w:t>bring derivative actions; (iii) inspect books and records of the Company; (iv) receive dividends or other distributions except as provided in Section 2; or (v) have any other rights accorded owners of the Company’s shareholders or equity holders.</w:t>
      </w:r>
    </w:p>
    <w:p>
      <w:pPr>
        <w:spacing w:after="0" w:line="264" w:lineRule="exact"/>
        <w:rPr>
          <w:rFonts w:ascii="Arial" w:cs="Arial" w:eastAsia="Arial" w:hAnsi="Arial"/>
          <w:sz w:val="21"/>
          <w:szCs w:val="21"/>
          <w:color w:val="auto"/>
        </w:rPr>
      </w:pPr>
    </w:p>
    <w:p>
      <w:pPr>
        <w:jc w:val="both"/>
        <w:ind w:firstLine="526"/>
        <w:spacing w:after="0" w:line="251" w:lineRule="auto"/>
        <w:tabs>
          <w:tab w:leader="none" w:pos="1280" w:val="left"/>
        </w:tabs>
        <w:numPr>
          <w:ilvl w:val="1"/>
          <w:numId w:val="31"/>
        </w:numPr>
        <w:rPr>
          <w:rFonts w:ascii="Arial" w:cs="Arial" w:eastAsia="Arial" w:hAnsi="Arial"/>
          <w:sz w:val="21"/>
          <w:szCs w:val="21"/>
          <w:color w:val="auto"/>
        </w:rPr>
      </w:pPr>
      <w:r>
        <w:rPr>
          <w:rFonts w:ascii="Arial" w:cs="Arial" w:eastAsia="Arial" w:hAnsi="Arial"/>
          <w:sz w:val="21"/>
          <w:szCs w:val="21"/>
          <w:color w:val="auto"/>
        </w:rPr>
        <w:t>Legality of Initial Issuance. No Shares of Common Stock shall be issued in accordance with Section 2 of this Award Agreement unless and until the Committee has determined that: (i) the Company and Participant have taken all actions required to register the Shares of Common Stock under the Securities Act or to perfect an exemption from the registration requirements thereof, if applicable; (ii) all applicable listing requirements of any stock exchange or other securities market on which the Shares of Common Stock are listed has been satisfied; and (iii) any other applicable provision of state or U.S. federal law or other applicable law has been satisfied.</w:t>
      </w:r>
    </w:p>
    <w:p>
      <w:pPr>
        <w:spacing w:after="0" w:line="253" w:lineRule="exact"/>
        <w:rPr>
          <w:rFonts w:ascii="Arial" w:cs="Arial" w:eastAsia="Arial" w:hAnsi="Arial"/>
          <w:sz w:val="21"/>
          <w:szCs w:val="21"/>
          <w:color w:val="auto"/>
        </w:rPr>
      </w:pPr>
    </w:p>
    <w:p>
      <w:pPr>
        <w:jc w:val="both"/>
        <w:ind w:firstLine="526"/>
        <w:spacing w:after="0" w:line="248" w:lineRule="auto"/>
        <w:tabs>
          <w:tab w:leader="none" w:pos="1296" w:val="left"/>
        </w:tabs>
        <w:numPr>
          <w:ilvl w:val="1"/>
          <w:numId w:val="31"/>
        </w:numPr>
        <w:rPr>
          <w:rFonts w:ascii="Arial" w:cs="Arial" w:eastAsia="Arial" w:hAnsi="Arial"/>
          <w:sz w:val="21"/>
          <w:szCs w:val="21"/>
          <w:color w:val="auto"/>
        </w:rPr>
      </w:pPr>
      <w:r>
        <w:rPr>
          <w:rFonts w:ascii="Arial" w:cs="Arial" w:eastAsia="Arial" w:hAnsi="Arial"/>
          <w:sz w:val="21"/>
          <w:szCs w:val="21"/>
          <w:color w:val="auto"/>
        </w:rPr>
        <w:t>Notice. Any notice required by the terms of this Award Agreement shall be given in writing and shall be deemed effective upon personal delivery or upon deposit with the U.S. Postal Service, by registered or certified mail, with postage and fees prepaid. Notice shall be addressed to the Company at its principal executive office and to the Participant at the address that he or she most recently provided to the Company.</w:t>
      </w:r>
    </w:p>
    <w:p>
      <w:pPr>
        <w:spacing w:after="0" w:line="257" w:lineRule="exact"/>
        <w:rPr>
          <w:rFonts w:ascii="Arial" w:cs="Arial" w:eastAsia="Arial" w:hAnsi="Arial"/>
          <w:sz w:val="21"/>
          <w:szCs w:val="21"/>
          <w:color w:val="auto"/>
        </w:rPr>
      </w:pPr>
    </w:p>
    <w:p>
      <w:pPr>
        <w:jc w:val="both"/>
        <w:ind w:firstLine="526"/>
        <w:spacing w:after="0" w:line="250" w:lineRule="auto"/>
        <w:tabs>
          <w:tab w:leader="none" w:pos="1296" w:val="left"/>
        </w:tabs>
        <w:numPr>
          <w:ilvl w:val="1"/>
          <w:numId w:val="31"/>
        </w:numPr>
        <w:rPr>
          <w:rFonts w:ascii="Arial" w:cs="Arial" w:eastAsia="Arial" w:hAnsi="Arial"/>
          <w:sz w:val="21"/>
          <w:szCs w:val="21"/>
          <w:color w:val="auto"/>
        </w:rPr>
      </w:pPr>
      <w:r>
        <w:rPr>
          <w:rFonts w:ascii="Arial" w:cs="Arial" w:eastAsia="Arial" w:hAnsi="Arial"/>
          <w:sz w:val="21"/>
          <w:szCs w:val="21"/>
          <w:color w:val="auto"/>
        </w:rPr>
        <w:t xml:space="preserve">Spousal Consent. To the extent Participant is married, Participant agrees to (i) provide Participant’s spouse with a copy of this Award Agreement prior to its execution by Participant and (ii) obtain such spouse’s consent to this Award Agreement as evidenced by such spouse’s execution of the Spousal Consent attached hereto as </w:t>
      </w:r>
      <w:r>
        <w:rPr>
          <w:rFonts w:ascii="Arial" w:cs="Arial" w:eastAsia="Arial" w:hAnsi="Arial"/>
          <w:sz w:val="21"/>
          <w:szCs w:val="21"/>
          <w:color w:val="auto"/>
          <w:highlight w:val="black"/>
        </w:rPr>
        <w:t>EXHIBIT A.</w:t>
      </w:r>
    </w:p>
    <w:p>
      <w:pPr>
        <w:spacing w:after="0" w:line="200" w:lineRule="exact"/>
        <w:rPr>
          <w:rFonts w:ascii="Arial" w:cs="Arial" w:eastAsia="Arial" w:hAnsi="Arial"/>
          <w:sz w:val="21"/>
          <w:szCs w:val="21"/>
          <w:color w:val="auto"/>
        </w:rPr>
      </w:pPr>
    </w:p>
    <w:p>
      <w:pPr>
        <w:spacing w:after="0" w:line="300" w:lineRule="exact"/>
        <w:rPr>
          <w:rFonts w:ascii="Arial" w:cs="Arial" w:eastAsia="Arial" w:hAnsi="Arial"/>
          <w:sz w:val="21"/>
          <w:szCs w:val="21"/>
          <w:color w:val="auto"/>
        </w:rPr>
      </w:pPr>
    </w:p>
    <w:p>
      <w:pPr>
        <w:jc w:val="both"/>
        <w:ind w:firstLine="526"/>
        <w:spacing w:after="0"/>
        <w:tabs>
          <w:tab w:leader="none" w:pos="1292" w:val="left"/>
        </w:tabs>
        <w:numPr>
          <w:ilvl w:val="1"/>
          <w:numId w:val="31"/>
        </w:numPr>
        <w:rPr>
          <w:rFonts w:ascii="Arial" w:cs="Arial" w:eastAsia="Arial" w:hAnsi="Arial"/>
          <w:sz w:val="21"/>
          <w:szCs w:val="21"/>
          <w:color w:val="auto"/>
        </w:rPr>
      </w:pPr>
      <w:r>
        <w:rPr>
          <w:rFonts w:ascii="Arial" w:cs="Arial" w:eastAsia="Arial" w:hAnsi="Arial"/>
          <w:sz w:val="21"/>
          <w:szCs w:val="21"/>
          <w:color w:val="auto"/>
        </w:rPr>
        <w:t>Successors and Assigns. Except as provided herein to the contrary, this Award Agreement shall be binding upon and inure to the benefit of the parties to this Award Agreement, their respective successors and permitted assigns.</w:t>
      </w:r>
    </w:p>
    <w:p>
      <w:pPr>
        <w:spacing w:after="0" w:line="200" w:lineRule="exact"/>
        <w:rPr>
          <w:rFonts w:ascii="Arial" w:cs="Arial" w:eastAsia="Arial" w:hAnsi="Arial"/>
          <w:sz w:val="21"/>
          <w:szCs w:val="21"/>
          <w:color w:val="auto"/>
        </w:rPr>
      </w:pPr>
    </w:p>
    <w:p>
      <w:pPr>
        <w:spacing w:after="0" w:line="316" w:lineRule="exact"/>
        <w:rPr>
          <w:rFonts w:ascii="Arial" w:cs="Arial" w:eastAsia="Arial" w:hAnsi="Arial"/>
          <w:sz w:val="21"/>
          <w:szCs w:val="21"/>
          <w:color w:val="auto"/>
        </w:rPr>
      </w:pPr>
    </w:p>
    <w:p>
      <w:pPr>
        <w:jc w:val="both"/>
        <w:ind w:firstLine="526"/>
        <w:spacing w:after="0" w:line="244" w:lineRule="auto"/>
        <w:tabs>
          <w:tab w:leader="none" w:pos="1292" w:val="left"/>
        </w:tabs>
        <w:numPr>
          <w:ilvl w:val="1"/>
          <w:numId w:val="31"/>
        </w:numPr>
        <w:rPr>
          <w:rFonts w:ascii="Arial" w:cs="Arial" w:eastAsia="Arial" w:hAnsi="Arial"/>
          <w:sz w:val="21"/>
          <w:szCs w:val="21"/>
          <w:color w:val="auto"/>
        </w:rPr>
      </w:pPr>
      <w:r>
        <w:rPr>
          <w:rFonts w:ascii="Arial" w:cs="Arial" w:eastAsia="Arial" w:hAnsi="Arial"/>
          <w:sz w:val="21"/>
          <w:szCs w:val="21"/>
          <w:color w:val="auto"/>
        </w:rPr>
        <w:t>No Assignment. Except as otherwise provided in this Award Agreement, Participant shall not assign any of his rights under this Award Agreement without the prior written consent of the Company, which consent may be withheld in its sole discretion. The Company shall be permitted to assign its rights or obligations under this Award Agreement, but no such assignment shall release the Company of any obligations pursuant to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-4984115</wp:posOffset>
            </wp:positionV>
            <wp:extent cx="26714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267144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-3861435</wp:posOffset>
            </wp:positionV>
            <wp:extent cx="15913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159131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-2738120</wp:posOffset>
            </wp:positionV>
            <wp:extent cx="3784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3784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-1941195</wp:posOffset>
            </wp:positionV>
            <wp:extent cx="10255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1025525" cy="8890"/>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-1143635</wp:posOffset>
            </wp:positionV>
            <wp:extent cx="14700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1470025" cy="8890"/>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-509270</wp:posOffset>
            </wp:positionV>
            <wp:extent cx="9067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55" w:lineRule="exact"/>
        <w:rPr>
          <w:sz w:val="20"/>
          <w:szCs w:val="20"/>
          <w:color w:val="auto"/>
        </w:rPr>
      </w:pPr>
    </w:p>
    <w:p>
      <w:pPr>
        <w:jc w:val="both"/>
        <w:ind w:left="-526" w:firstLine="526"/>
        <w:spacing w:after="0" w:line="239" w:lineRule="auto"/>
        <w:tabs>
          <w:tab w:leader="none" w:pos="766" w:val="left"/>
        </w:tabs>
        <w:numPr>
          <w:ilvl w:val="0"/>
          <w:numId w:val="32"/>
        </w:numPr>
        <w:rPr>
          <w:rFonts w:ascii="Arial" w:cs="Arial" w:eastAsia="Arial" w:hAnsi="Arial"/>
          <w:sz w:val="21"/>
          <w:szCs w:val="21"/>
          <w:color w:val="auto"/>
        </w:rPr>
      </w:pPr>
      <w:r>
        <w:rPr>
          <w:rFonts w:ascii="Arial" w:cs="Arial" w:eastAsia="Arial" w:hAnsi="Arial"/>
          <w:sz w:val="21"/>
          <w:szCs w:val="21"/>
          <w:color w:val="auto"/>
        </w:rPr>
        <w:t>Severability. The validity, legality or enforceability of the remainder of this Award Agreement shall not be affected even if one or more of the provisions of this Award Agreement shall be held to be invalid, illegal or unenforceable in any respect.</w:t>
      </w:r>
    </w:p>
    <w:p>
      <w:pPr>
        <w:spacing w:after="0" w:line="277" w:lineRule="exact"/>
        <w:rPr>
          <w:rFonts w:ascii="Arial" w:cs="Arial" w:eastAsia="Arial" w:hAnsi="Arial"/>
          <w:sz w:val="21"/>
          <w:szCs w:val="21"/>
          <w:color w:val="auto"/>
        </w:rPr>
      </w:pPr>
    </w:p>
    <w:p>
      <w:pPr>
        <w:jc w:val="both"/>
        <w:ind w:left="-526" w:firstLine="526"/>
        <w:spacing w:after="0" w:line="239" w:lineRule="auto"/>
        <w:tabs>
          <w:tab w:leader="none" w:pos="766" w:val="left"/>
        </w:tabs>
        <w:numPr>
          <w:ilvl w:val="0"/>
          <w:numId w:val="32"/>
        </w:numPr>
        <w:rPr>
          <w:rFonts w:ascii="Arial" w:cs="Arial" w:eastAsia="Arial" w:hAnsi="Arial"/>
          <w:sz w:val="21"/>
          <w:szCs w:val="21"/>
          <w:color w:val="auto"/>
        </w:rPr>
      </w:pPr>
      <w:r>
        <w:rPr>
          <w:rFonts w:ascii="Arial" w:cs="Arial" w:eastAsia="Arial" w:hAnsi="Arial"/>
          <w:sz w:val="21"/>
          <w:szCs w:val="21"/>
          <w:color w:val="auto"/>
        </w:rPr>
        <w:t>Amendment. Any provision of this Award Agreement may be amended and the observance thereof may be waived (either generally or in a particular instance and either retroactively or prospectively) only by a written instrument signed by the parties hereto.</w:t>
      </w:r>
    </w:p>
    <w:p>
      <w:pPr>
        <w:spacing w:after="0" w:line="264" w:lineRule="exact"/>
        <w:rPr>
          <w:rFonts w:ascii="Arial" w:cs="Arial" w:eastAsia="Arial" w:hAnsi="Arial"/>
          <w:sz w:val="21"/>
          <w:szCs w:val="21"/>
          <w:color w:val="auto"/>
        </w:rPr>
      </w:pPr>
    </w:p>
    <w:p>
      <w:pPr>
        <w:jc w:val="both"/>
        <w:ind w:left="-526" w:right="20" w:firstLine="526"/>
        <w:spacing w:after="0" w:line="250" w:lineRule="auto"/>
        <w:tabs>
          <w:tab w:leader="none" w:pos="764" w:val="left"/>
        </w:tabs>
        <w:numPr>
          <w:ilvl w:val="0"/>
          <w:numId w:val="32"/>
        </w:numPr>
        <w:rPr>
          <w:rFonts w:ascii="Arial" w:cs="Arial" w:eastAsia="Arial" w:hAnsi="Arial"/>
          <w:sz w:val="21"/>
          <w:szCs w:val="21"/>
          <w:color w:val="auto"/>
        </w:rPr>
      </w:pPr>
      <w:r>
        <w:rPr>
          <w:rFonts w:ascii="Arial" w:cs="Arial" w:eastAsia="Arial" w:hAnsi="Arial"/>
          <w:sz w:val="21"/>
          <w:szCs w:val="21"/>
          <w:color w:val="auto"/>
        </w:rPr>
        <w:t>Administration and Interpretation. Any determination by the Committee in connection with any question or issue arising under the Plan or this Award Agreement shall be final, conclusive and binding on Participant, the Company and all other persons. Any question or dispute regarding the interpretation of this Award Agreement or the receipt of the Performance Units hereunder shall be submitted by Participant to the Committee. The resolution of such a dispute by the Committee shall be final and binding on all parties.</w:t>
      </w:r>
    </w:p>
    <w:p>
      <w:pPr>
        <w:spacing w:after="0" w:line="254" w:lineRule="exact"/>
        <w:rPr>
          <w:rFonts w:ascii="Arial" w:cs="Arial" w:eastAsia="Arial" w:hAnsi="Arial"/>
          <w:sz w:val="21"/>
          <w:szCs w:val="21"/>
          <w:color w:val="auto"/>
        </w:rPr>
      </w:pPr>
    </w:p>
    <w:p>
      <w:pPr>
        <w:ind w:left="-526" w:right="20" w:firstLine="526"/>
        <w:spacing w:after="0" w:line="231" w:lineRule="auto"/>
        <w:tabs>
          <w:tab w:leader="none" w:pos="766" w:val="left"/>
        </w:tabs>
        <w:numPr>
          <w:ilvl w:val="0"/>
          <w:numId w:val="32"/>
        </w:numPr>
        <w:rPr>
          <w:rFonts w:ascii="Arial" w:cs="Arial" w:eastAsia="Arial" w:hAnsi="Arial"/>
          <w:sz w:val="21"/>
          <w:szCs w:val="21"/>
          <w:color w:val="auto"/>
        </w:rPr>
      </w:pPr>
      <w:r>
        <w:rPr>
          <w:rFonts w:ascii="Arial" w:cs="Arial" w:eastAsia="Arial" w:hAnsi="Arial"/>
          <w:sz w:val="21"/>
          <w:szCs w:val="21"/>
          <w:color w:val="auto"/>
        </w:rPr>
        <w:t>Headings. The section headings in this Award Agreement are inserted only as a matter of convenience, and in no way define, limit or interpret the scope of this Award Agreement or of any particular section.</w:t>
      </w:r>
    </w:p>
    <w:p>
      <w:pPr>
        <w:spacing w:after="0" w:line="264" w:lineRule="exact"/>
        <w:rPr>
          <w:rFonts w:ascii="Arial" w:cs="Arial" w:eastAsia="Arial" w:hAnsi="Arial"/>
          <w:sz w:val="21"/>
          <w:szCs w:val="21"/>
          <w:color w:val="auto"/>
        </w:rPr>
      </w:pPr>
    </w:p>
    <w:p>
      <w:pPr>
        <w:jc w:val="both"/>
        <w:ind w:left="-526" w:firstLine="526"/>
        <w:spacing w:after="0" w:line="248" w:lineRule="auto"/>
        <w:tabs>
          <w:tab w:leader="none" w:pos="766" w:val="left"/>
        </w:tabs>
        <w:numPr>
          <w:ilvl w:val="0"/>
          <w:numId w:val="32"/>
        </w:numPr>
        <w:rPr>
          <w:rFonts w:ascii="Arial" w:cs="Arial" w:eastAsia="Arial" w:hAnsi="Arial"/>
          <w:sz w:val="21"/>
          <w:szCs w:val="21"/>
          <w:color w:val="auto"/>
        </w:rPr>
      </w:pPr>
      <w:r>
        <w:rPr>
          <w:rFonts w:ascii="Arial" w:cs="Arial" w:eastAsia="Arial" w:hAnsi="Arial"/>
          <w:sz w:val="21"/>
          <w:szCs w:val="21"/>
          <w:color w:val="auto"/>
        </w:rPr>
        <w:t>Counterparts. This Award Agreement may be executed simultaneously in two or more counterparts, each of which shall be deemed an original, but all of which together shall constitute one and the same instrument. Any counterpart or other signature delivered by facsimile shall be deemed for all purposes as being a good and valid execution and delivery of this Award Agreement by that party.</w:t>
      </w:r>
    </w:p>
    <w:p>
      <w:pPr>
        <w:spacing w:after="0" w:line="257" w:lineRule="exact"/>
        <w:rPr>
          <w:rFonts w:ascii="Arial" w:cs="Arial" w:eastAsia="Arial" w:hAnsi="Arial"/>
          <w:sz w:val="21"/>
          <w:szCs w:val="21"/>
          <w:color w:val="auto"/>
        </w:rPr>
      </w:pPr>
    </w:p>
    <w:p>
      <w:pPr>
        <w:jc w:val="both"/>
        <w:ind w:left="-526" w:firstLine="526"/>
        <w:spacing w:after="0" w:line="251" w:lineRule="auto"/>
        <w:tabs>
          <w:tab w:leader="none" w:pos="750" w:val="left"/>
        </w:tabs>
        <w:numPr>
          <w:ilvl w:val="0"/>
          <w:numId w:val="32"/>
        </w:numPr>
        <w:rPr>
          <w:rFonts w:ascii="Arial" w:cs="Arial" w:eastAsia="Arial" w:hAnsi="Arial"/>
          <w:sz w:val="21"/>
          <w:szCs w:val="21"/>
          <w:color w:val="auto"/>
        </w:rPr>
      </w:pPr>
      <w:r>
        <w:rPr>
          <w:rFonts w:ascii="Arial" w:cs="Arial" w:eastAsia="Arial" w:hAnsi="Arial"/>
          <w:sz w:val="21"/>
          <w:szCs w:val="21"/>
          <w:color w:val="auto"/>
        </w:rPr>
        <w:t>Entire Agreement; Governing Law. Except as otherwise provided herein, this Award Agreement, together with the Notice and the Plan, constitute the entire agreement of the parties with respect to the subject matter hereof and supersede in their entirety all prior undertakings, representation and agreements of the Company and Participant (whether oral or written, and whether express or implied) with respect to the subject matter hereof. This Award Agreement, together with the Notice and the Plan, are to be construed in accordance with and governed by the federal laws of the United States of America and by the internal laws of the State of Texas without giving effect to any choice of law rule that would cause the application of the laws of any other jurisdiction.</w:t>
      </w:r>
    </w:p>
    <w:p>
      <w:pPr>
        <w:spacing w:after="0" w:line="270" w:lineRule="exact"/>
        <w:rPr>
          <w:rFonts w:ascii="Arial" w:cs="Arial" w:eastAsia="Arial" w:hAnsi="Arial"/>
          <w:sz w:val="21"/>
          <w:szCs w:val="21"/>
          <w:color w:val="auto"/>
        </w:rPr>
      </w:pPr>
    </w:p>
    <w:p>
      <w:pPr>
        <w:jc w:val="both"/>
        <w:ind w:left="-526" w:firstLine="526"/>
        <w:spacing w:after="0" w:line="248" w:lineRule="auto"/>
        <w:tabs>
          <w:tab w:leader="none" w:pos="766" w:val="left"/>
        </w:tabs>
        <w:numPr>
          <w:ilvl w:val="0"/>
          <w:numId w:val="32"/>
        </w:numPr>
        <w:rPr>
          <w:rFonts w:ascii="Arial" w:cs="Arial" w:eastAsia="Arial" w:hAnsi="Arial"/>
          <w:sz w:val="21"/>
          <w:szCs w:val="21"/>
          <w:color w:val="auto"/>
        </w:rPr>
      </w:pPr>
      <w:r>
        <w:rPr>
          <w:rFonts w:ascii="Arial" w:cs="Arial" w:eastAsia="Arial" w:hAnsi="Arial"/>
          <w:sz w:val="21"/>
          <w:szCs w:val="21"/>
          <w:color w:val="auto"/>
        </w:rPr>
        <w:t>Venue. The Company and Participant agree that any suit, action or proceeding arising out of or related to the Notice or this Award Agreement shall be brought in the United States District Court for the Southern District of Texas (or should such court lack jurisdiction to hear such action, suit or proceeding, in a Texas state court in Harris County), and that all parties shall submit to the jurisdiction of such court. The parties irrevocably waive, to the fullest extent permitted by law, any objection the party may have to the laying of venue for any such suit, action or proceeding brought in such court. If any one or more provisions of this Section 18 shall for any reason be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-5611495</wp:posOffset>
            </wp:positionV>
            <wp:extent cx="6908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69088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-4977130</wp:posOffset>
            </wp:positionV>
            <wp:extent cx="7315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31520" cy="8890"/>
                    </a:xfrm>
                    <a:prstGeom prst="rect">
                      <a:avLst/>
                    </a:prstGeom>
                    <a:noFill/>
                  </pic:spPr>
                </pic:pic>
              </a:graphicData>
            </a:graphic>
          </wp:anchor>
        </w:drawing>
        <w:drawing>
          <wp:anchor simplePos="0" relativeHeight="251657728" behindDoc="1" locked="0" layoutInCell="0" allowOverlap="1">
            <wp:simplePos x="0" y="0"/>
            <wp:positionH relativeFrom="column">
              <wp:posOffset>490220</wp:posOffset>
            </wp:positionH>
            <wp:positionV relativeFrom="paragraph">
              <wp:posOffset>-4351655</wp:posOffset>
            </wp:positionV>
            <wp:extent cx="20142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201422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-3391535</wp:posOffset>
            </wp:positionV>
            <wp:extent cx="5575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-2928620</wp:posOffset>
            </wp:positionV>
            <wp:extent cx="7816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81685" cy="825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-2131060</wp:posOffset>
            </wp:positionV>
            <wp:extent cx="21907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219075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-836930</wp:posOffset>
            </wp:positionV>
            <wp:extent cx="3727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ectPr>
          <w:pgSz w:w="11900" w:h="16838" w:orient="portrait"/>
          <w:cols w:equalWidth="0" w:num="1">
            <w:col w:w="10714"/>
          </w:cols>
          <w:pgMar w:left="846" w:top="1440" w:right="339" w:bottom="1440" w:gutter="0" w:footer="0" w:header="0"/>
        </w:sectPr>
      </w:pPr>
    </w:p>
    <w:bookmarkStart w:id="48" w:name="page49"/>
    <w:bookmarkEnd w:id="48"/>
    <w:p>
      <w:pPr>
        <w:spacing w:after="0" w:line="155" w:lineRule="exact"/>
        <w:rPr>
          <w:sz w:val="20"/>
          <w:szCs w:val="20"/>
          <w:color w:val="auto"/>
        </w:rPr>
      </w:pPr>
    </w:p>
    <w:p>
      <w:pPr>
        <w:ind w:right="20"/>
        <w:spacing w:after="0" w:line="231" w:lineRule="auto"/>
        <w:rPr>
          <w:sz w:val="20"/>
          <w:szCs w:val="20"/>
          <w:color w:val="auto"/>
        </w:rPr>
      </w:pPr>
      <w:r>
        <w:rPr>
          <w:rFonts w:ascii="Arial" w:cs="Arial" w:eastAsia="Arial" w:hAnsi="Arial"/>
          <w:sz w:val="21"/>
          <w:szCs w:val="21"/>
          <w:color w:val="auto"/>
        </w:rPr>
        <w:t>invalid or unenforceable, it is the specific intent of the parties that such provisions shall be modified to the minimum extent necessary to make it or its application valid and enforceable.</w:t>
      </w:r>
    </w:p>
    <w:p>
      <w:pPr>
        <w:spacing w:after="0" w:line="264" w:lineRule="exact"/>
        <w:rPr>
          <w:sz w:val="20"/>
          <w:szCs w:val="20"/>
          <w:color w:val="auto"/>
        </w:rPr>
      </w:pPr>
    </w:p>
    <w:p>
      <w:pPr>
        <w:jc w:val="both"/>
        <w:ind w:firstLine="526"/>
        <w:spacing w:after="0" w:line="268" w:lineRule="auto"/>
        <w:tabs>
          <w:tab w:leader="none" w:pos="1292" w:val="left"/>
        </w:tabs>
        <w:numPr>
          <w:ilvl w:val="0"/>
          <w:numId w:val="33"/>
        </w:numPr>
        <w:rPr>
          <w:rFonts w:ascii="Arial" w:cs="Arial" w:eastAsia="Arial" w:hAnsi="Arial"/>
          <w:sz w:val="20"/>
          <w:szCs w:val="20"/>
          <w:color w:val="auto"/>
        </w:rPr>
      </w:pPr>
      <w:r>
        <w:rPr>
          <w:rFonts w:ascii="Arial" w:cs="Arial" w:eastAsia="Arial" w:hAnsi="Arial"/>
          <w:sz w:val="20"/>
          <w:szCs w:val="20"/>
          <w:color w:val="auto"/>
        </w:rPr>
        <w:t>No Guarantee of Service Provider Status. PARTICIPANT ACKNOWLEDGES AND AGREES THAT THE VESTING OF PERFORMANCE UNITS PURSUANT TO THE VESTING SCHEDULE HEREOF IS EARNED ONLY BY CONTINUOUS SERVICE AS A SERVICE PROVIDER AND AT THE WILL OF THE COMPANY (NOT THROUGH THE ACT OF BEING HIRED, BEING GRANTED PERFORMANCE UNITS OR ACQUIRING COMMON STOCK HEREUNDER). PARTICIPANT FURTHER ACKNOWLEDGES AND AGREES THAT THIS AWARD AGREEMENT, THE RIGHT GRANTED HEREUNDER, THE TRANSACTIONS CONTEMPLATED HEREUNDER AND THE VESTING SCHEDULE SET FORTH IN THIS AWARD AGREEMENT DO NOT CONSTITUTE AN EXPRESS OR IMPLIED PROMISE OF CONTINUED ENGAGEMENT AS A SERVICE PROVIDER FOR THE VESTING PERIOD, FOR ANY PERIOD, OR AT ALL, AND SHALL NOT INTERFERE IN ANY WAY WITH PARTICIPANT’S RIGHT OR THE COMPANY’S/AFFILIATE’S RIGHT TO TERMINATE PARTICIPANT’S RELATIONSHIP AS A SERVICE PROVIDER AT ANY TIME, WITH OR WITHOUT CAUSE.</w:t>
      </w:r>
    </w:p>
    <w:p>
      <w:pPr>
        <w:spacing w:after="0" w:line="239" w:lineRule="exact"/>
        <w:rPr>
          <w:rFonts w:ascii="Arial" w:cs="Arial" w:eastAsia="Arial" w:hAnsi="Arial"/>
          <w:sz w:val="20"/>
          <w:szCs w:val="20"/>
          <w:color w:val="auto"/>
        </w:rPr>
      </w:pPr>
    </w:p>
    <w:p>
      <w:pPr>
        <w:jc w:val="both"/>
        <w:ind w:firstLine="526"/>
        <w:spacing w:after="0" w:line="251" w:lineRule="auto"/>
        <w:tabs>
          <w:tab w:leader="none" w:pos="1292" w:val="left"/>
        </w:tabs>
        <w:numPr>
          <w:ilvl w:val="0"/>
          <w:numId w:val="33"/>
        </w:numPr>
        <w:rPr>
          <w:rFonts w:ascii="Arial" w:cs="Arial" w:eastAsia="Arial" w:hAnsi="Arial"/>
          <w:sz w:val="21"/>
          <w:szCs w:val="21"/>
          <w:color w:val="auto"/>
        </w:rPr>
      </w:pPr>
      <w:r>
        <w:rPr>
          <w:rFonts w:ascii="Arial" w:cs="Arial" w:eastAsia="Arial" w:hAnsi="Arial"/>
          <w:sz w:val="21"/>
          <w:szCs w:val="21"/>
          <w:color w:val="auto"/>
        </w:rPr>
        <w:t>Unsecured General Creditor. Participant shall have no legal or equitable rights, interests or claims in any property or assets of the Company due to the Notice, this Award Agreement and the grant of Performance Units hereunder. For purposes of the payment of benefits under the Notice and this Award Agreement, Participant shall have no more rights than those of a general creditor of the Company. The Company’s obligation under the Notice and this Award Agreement shall be that of a conditional unfunded and unsecured promise to pay money or property in the future.</w:t>
      </w:r>
    </w:p>
    <w:p>
      <w:pPr>
        <w:spacing w:after="0" w:line="200" w:lineRule="exact"/>
        <w:rPr>
          <w:rFonts w:ascii="Arial" w:cs="Arial" w:eastAsia="Arial" w:hAnsi="Arial"/>
          <w:sz w:val="21"/>
          <w:szCs w:val="21"/>
          <w:color w:val="auto"/>
        </w:rPr>
      </w:pPr>
    </w:p>
    <w:p>
      <w:pPr>
        <w:spacing w:after="0" w:line="305" w:lineRule="exact"/>
        <w:rPr>
          <w:rFonts w:ascii="Arial" w:cs="Arial" w:eastAsia="Arial" w:hAnsi="Arial"/>
          <w:sz w:val="21"/>
          <w:szCs w:val="21"/>
          <w:color w:val="auto"/>
        </w:rPr>
      </w:pPr>
    </w:p>
    <w:p>
      <w:pPr>
        <w:jc w:val="both"/>
        <w:ind w:firstLine="526"/>
        <w:spacing w:after="0" w:line="248" w:lineRule="auto"/>
        <w:tabs>
          <w:tab w:leader="none" w:pos="1292" w:val="left"/>
        </w:tabs>
        <w:numPr>
          <w:ilvl w:val="0"/>
          <w:numId w:val="33"/>
        </w:numPr>
        <w:rPr>
          <w:rFonts w:ascii="Arial" w:cs="Arial" w:eastAsia="Arial" w:hAnsi="Arial"/>
          <w:sz w:val="21"/>
          <w:szCs w:val="21"/>
          <w:color w:val="auto"/>
        </w:rPr>
      </w:pPr>
      <w:r>
        <w:rPr>
          <w:rFonts w:ascii="Arial" w:cs="Arial" w:eastAsia="Arial" w:hAnsi="Arial"/>
          <w:sz w:val="21"/>
          <w:szCs w:val="21"/>
          <w:color w:val="auto"/>
        </w:rPr>
        <w:t>Waiver. Failure to insist upon strict compliance with any of the terms, covenants, or conditions hereof will not be deemed a waiver of such term, covenant, or condition, nor will any waiver or relinquishment of, or failure to insist upon strict compliance with, any right or power hereunder at any one or more times be deemed a waiver or relinquishment of such right or power at any other time or times.</w:t>
      </w:r>
    </w:p>
    <w:p>
      <w:pPr>
        <w:spacing w:after="0" w:line="225" w:lineRule="exact"/>
        <w:rPr>
          <w:rFonts w:ascii="Arial" w:cs="Arial" w:eastAsia="Arial" w:hAnsi="Arial"/>
          <w:sz w:val="21"/>
          <w:szCs w:val="21"/>
          <w:color w:val="auto"/>
        </w:rPr>
      </w:pPr>
    </w:p>
    <w:p>
      <w:pPr>
        <w:ind w:left="5200"/>
        <w:spacing w:after="0"/>
        <w:rPr>
          <w:rFonts w:ascii="Arial" w:cs="Arial" w:eastAsia="Arial" w:hAnsi="Arial"/>
          <w:sz w:val="21"/>
          <w:szCs w:val="21"/>
          <w:color w:val="auto"/>
        </w:rPr>
      </w:pPr>
      <w:r>
        <w:rPr>
          <w:rFonts w:ascii="Arial" w:cs="Arial" w:eastAsia="Arial" w:hAnsi="Arial"/>
          <w:sz w:val="21"/>
          <w:szCs w:val="21"/>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-3722370</wp:posOffset>
            </wp:positionV>
            <wp:extent cx="26022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2602230" cy="8890"/>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-1939290</wp:posOffset>
            </wp:positionV>
            <wp:extent cx="16656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1665605"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-816610</wp:posOffset>
            </wp:positionV>
            <wp:extent cx="4108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4108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23" w:lineRule="exact"/>
        <w:rPr>
          <w:sz w:val="20"/>
          <w:szCs w:val="20"/>
          <w:color w:val="auto"/>
        </w:rPr>
      </w:pPr>
    </w:p>
    <w:p>
      <w:pPr>
        <w:jc w:val="right"/>
        <w:spacing w:after="0"/>
        <w:rPr>
          <w:sz w:val="20"/>
          <w:szCs w:val="20"/>
          <w:color w:val="auto"/>
        </w:rPr>
      </w:pPr>
      <w:r>
        <w:rPr>
          <w:rFonts w:ascii="Arial" w:cs="Arial" w:eastAsia="Arial" w:hAnsi="Arial"/>
          <w:sz w:val="21"/>
          <w:szCs w:val="21"/>
          <w:color w:val="auto"/>
          <w:highlight w:val="black"/>
        </w:rPr>
        <w:t>EXHIBIT 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PERFORMANCE UNIT AWARD AGREEMENT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color w:val="auto"/>
          <w:highlight w:val="black"/>
        </w:rPr>
        <w:t>SPOUSAL CONSENT</w:t>
      </w:r>
    </w:p>
    <w:p>
      <w:pPr>
        <w:spacing w:after="0" w:line="245" w:lineRule="exact"/>
        <w:rPr>
          <w:sz w:val="20"/>
          <w:szCs w:val="20"/>
          <w:color w:val="auto"/>
        </w:rPr>
      </w:pPr>
    </w:p>
    <w:p>
      <w:pPr>
        <w:ind w:left="440"/>
        <w:spacing w:after="0"/>
        <w:rPr>
          <w:sz w:val="20"/>
          <w:szCs w:val="20"/>
          <w:color w:val="auto"/>
        </w:rPr>
      </w:pPr>
      <w:r>
        <w:rPr>
          <w:rFonts w:ascii="Arial" w:cs="Arial" w:eastAsia="Arial" w:hAnsi="Arial"/>
          <w:sz w:val="21"/>
          <w:szCs w:val="21"/>
          <w:color w:val="auto"/>
        </w:rPr>
        <w:t>I, the undersigned, hereby certify that:</w:t>
      </w:r>
    </w:p>
    <w:p>
      <w:pPr>
        <w:spacing w:after="0" w:line="211" w:lineRule="exact"/>
        <w:rPr>
          <w:sz w:val="20"/>
          <w:szCs w:val="20"/>
          <w:color w:val="auto"/>
        </w:rPr>
      </w:pPr>
    </w:p>
    <w:tbl>
      <w:tblPr>
        <w:tblLayout w:type="fixed"/>
        <w:tblInd w:w="520" w:type="dxa"/>
        <w:tblCellMar>
          <w:top w:w="0" w:type="dxa"/>
          <w:left w:w="0" w:type="dxa"/>
          <w:bottom w:w="0" w:type="dxa"/>
          <w:right w:w="0" w:type="dxa"/>
        </w:tblCellMar>
      </w:tblPr>
      <w:tr>
        <w:trPr>
          <w:trHeight w:val="241"/>
        </w:trPr>
        <w:tc>
          <w:tcPr>
            <w:tcW w:w="480" w:type="dxa"/>
            <w:vAlign w:val="bottom"/>
          </w:tcPr>
          <w:p>
            <w:pPr>
              <w:jc w:val="right"/>
              <w:ind w:right="195"/>
              <w:spacing w:after="0"/>
              <w:rPr>
                <w:sz w:val="20"/>
                <w:szCs w:val="20"/>
                <w:color w:val="auto"/>
              </w:rPr>
            </w:pPr>
            <w:r>
              <w:rPr>
                <w:rFonts w:ascii="Arial" w:cs="Arial" w:eastAsia="Arial" w:hAnsi="Arial"/>
                <w:sz w:val="21"/>
                <w:szCs w:val="21"/>
                <w:color w:val="auto"/>
                <w:w w:val="91"/>
              </w:rPr>
              <w:t>1.</w:t>
            </w:r>
          </w:p>
        </w:tc>
        <w:tc>
          <w:tcPr>
            <w:tcW w:w="2180" w:type="dxa"/>
            <w:vAlign w:val="bottom"/>
          </w:tcPr>
          <w:p>
            <w:pPr>
              <w:ind w:left="300"/>
              <w:spacing w:after="0"/>
              <w:rPr>
                <w:sz w:val="20"/>
                <w:szCs w:val="20"/>
                <w:color w:val="auto"/>
              </w:rPr>
            </w:pPr>
            <w:r>
              <w:rPr>
                <w:rFonts w:ascii="Arial" w:cs="Arial" w:eastAsia="Arial" w:hAnsi="Arial"/>
                <w:sz w:val="21"/>
                <w:szCs w:val="21"/>
                <w:color w:val="auto"/>
              </w:rPr>
              <w:t>I am the spouse of</w:t>
            </w:r>
          </w:p>
        </w:tc>
        <w:tc>
          <w:tcPr>
            <w:tcW w:w="860" w:type="dxa"/>
            <w:vAlign w:val="bottom"/>
            <w:tcBorders>
              <w:bottom w:val="single" w:sz="8" w:color="auto"/>
            </w:tcBorders>
          </w:tcPr>
          <w:p>
            <w:pPr>
              <w:spacing w:after="0"/>
              <w:rPr>
                <w:sz w:val="21"/>
                <w:szCs w:val="21"/>
                <w:color w:val="auto"/>
              </w:rPr>
            </w:pPr>
          </w:p>
        </w:tc>
        <w:tc>
          <w:tcPr>
            <w:tcW w:w="4020" w:type="dxa"/>
            <w:vAlign w:val="bottom"/>
          </w:tcPr>
          <w:p>
            <w:pPr>
              <w:jc w:val="right"/>
              <w:ind w:right="3835"/>
              <w:spacing w:after="0"/>
              <w:rPr>
                <w:sz w:val="20"/>
                <w:szCs w:val="20"/>
                <w:color w:val="auto"/>
              </w:rPr>
            </w:pPr>
            <w:r>
              <w:rPr>
                <w:rFonts w:ascii="Arial" w:cs="Arial" w:eastAsia="Arial" w:hAnsi="Arial"/>
                <w:sz w:val="21"/>
                <w:szCs w:val="21"/>
                <w:color w:val="auto"/>
              </w:rPr>
              <w:t>.</w:t>
            </w:r>
          </w:p>
        </w:tc>
        <w:tc>
          <w:tcPr>
            <w:tcW w:w="27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53"/>
        </w:trPr>
        <w:tc>
          <w:tcPr>
            <w:tcW w:w="480" w:type="dxa"/>
            <w:vAlign w:val="bottom"/>
          </w:tcPr>
          <w:p>
            <w:pPr>
              <w:jc w:val="right"/>
              <w:ind w:right="195"/>
              <w:spacing w:after="0"/>
              <w:rPr>
                <w:sz w:val="20"/>
                <w:szCs w:val="20"/>
                <w:color w:val="auto"/>
              </w:rPr>
            </w:pPr>
            <w:r>
              <w:rPr>
                <w:rFonts w:ascii="Arial" w:cs="Arial" w:eastAsia="Arial" w:hAnsi="Arial"/>
                <w:sz w:val="21"/>
                <w:szCs w:val="21"/>
                <w:color w:val="auto"/>
                <w:w w:val="91"/>
              </w:rPr>
              <w:t>2.</w:t>
            </w:r>
          </w:p>
        </w:tc>
        <w:tc>
          <w:tcPr>
            <w:tcW w:w="7060" w:type="dxa"/>
            <w:vAlign w:val="bottom"/>
            <w:gridSpan w:val="3"/>
          </w:tcPr>
          <w:p>
            <w:pPr>
              <w:ind w:left="300"/>
              <w:spacing w:after="0"/>
              <w:rPr>
                <w:sz w:val="20"/>
                <w:szCs w:val="20"/>
                <w:color w:val="auto"/>
              </w:rPr>
            </w:pPr>
            <w:r>
              <w:rPr>
                <w:rFonts w:ascii="Arial" w:cs="Arial" w:eastAsia="Arial" w:hAnsi="Arial"/>
                <w:sz w:val="21"/>
                <w:szCs w:val="21"/>
                <w:color w:val="auto"/>
              </w:rPr>
              <w:t>Each of the undersigned and the undersigned’s spouse is a resident of</w:t>
            </w:r>
          </w:p>
        </w:tc>
        <w:tc>
          <w:tcPr>
            <w:tcW w:w="2780" w:type="dxa"/>
            <w:vAlign w:val="bottom"/>
            <w:tcBorders>
              <w:bottom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20"/>
                <w:szCs w:val="20"/>
                <w:color w:val="auto"/>
                <w:w w:val="71"/>
              </w:rPr>
              <w:t>.</w:t>
            </w:r>
          </w:p>
        </w:tc>
      </w:tr>
    </w:tbl>
    <w:p>
      <w:pPr>
        <w:spacing w:after="0" w:line="263" w:lineRule="exact"/>
        <w:rPr>
          <w:sz w:val="20"/>
          <w:szCs w:val="20"/>
          <w:color w:val="auto"/>
        </w:rPr>
      </w:pPr>
    </w:p>
    <w:p>
      <w:pPr>
        <w:jc w:val="both"/>
        <w:ind w:firstLine="526"/>
        <w:spacing w:after="0" w:line="248" w:lineRule="auto"/>
        <w:tabs>
          <w:tab w:leader="none" w:pos="1296" w:val="left"/>
        </w:tabs>
        <w:numPr>
          <w:ilvl w:val="0"/>
          <w:numId w:val="34"/>
        </w:numPr>
        <w:rPr>
          <w:rFonts w:ascii="Arial" w:cs="Arial" w:eastAsia="Arial" w:hAnsi="Arial"/>
          <w:sz w:val="21"/>
          <w:szCs w:val="21"/>
          <w:color w:val="auto"/>
        </w:rPr>
      </w:pPr>
      <w:r>
        <w:rPr>
          <w:rFonts w:ascii="Arial" w:cs="Arial" w:eastAsia="Arial" w:hAnsi="Arial"/>
          <w:sz w:val="21"/>
          <w:szCs w:val="21"/>
          <w:color w:val="auto"/>
        </w:rPr>
        <w:t>I have read the Powell Industries, Inc., 2014 Equity Incentive Plan (the “Plan”) and the Performance Unit Award Agreement (the “Award Agreement”), by and between Powell Industries, Inc. (the “Company”), and my spouse. I have had the opportunity to consult independent legal counsel regarding the contents of the Award Agreement and the Plan.</w:t>
      </w:r>
    </w:p>
    <w:p>
      <w:pPr>
        <w:spacing w:after="0" w:line="225" w:lineRule="exact"/>
        <w:rPr>
          <w:rFonts w:ascii="Arial" w:cs="Arial" w:eastAsia="Arial" w:hAnsi="Arial"/>
          <w:sz w:val="21"/>
          <w:szCs w:val="21"/>
          <w:color w:val="auto"/>
        </w:rPr>
      </w:pPr>
    </w:p>
    <w:p>
      <w:pPr>
        <w:ind w:left="1300" w:hanging="774"/>
        <w:spacing w:after="0"/>
        <w:tabs>
          <w:tab w:leader="none" w:pos="1300" w:val="left"/>
        </w:tabs>
        <w:numPr>
          <w:ilvl w:val="0"/>
          <w:numId w:val="34"/>
        </w:numPr>
        <w:rPr>
          <w:rFonts w:ascii="Arial" w:cs="Arial" w:eastAsia="Arial" w:hAnsi="Arial"/>
          <w:sz w:val="21"/>
          <w:szCs w:val="21"/>
          <w:color w:val="auto"/>
        </w:rPr>
      </w:pPr>
      <w:r>
        <w:rPr>
          <w:rFonts w:ascii="Arial" w:cs="Arial" w:eastAsia="Arial" w:hAnsi="Arial"/>
          <w:sz w:val="21"/>
          <w:szCs w:val="21"/>
          <w:color w:val="auto"/>
        </w:rPr>
        <w:t>I understand the terms and conditions of the Award Agreement and the Plan.</w:t>
      </w:r>
    </w:p>
    <w:p>
      <w:pPr>
        <w:spacing w:after="0" w:line="262" w:lineRule="exact"/>
        <w:rPr>
          <w:rFonts w:ascii="Arial" w:cs="Arial" w:eastAsia="Arial" w:hAnsi="Arial"/>
          <w:sz w:val="21"/>
          <w:szCs w:val="21"/>
          <w:color w:val="auto"/>
        </w:rPr>
      </w:pPr>
    </w:p>
    <w:p>
      <w:pPr>
        <w:jc w:val="both"/>
        <w:ind w:firstLine="526"/>
        <w:spacing w:after="0" w:line="251" w:lineRule="auto"/>
        <w:tabs>
          <w:tab w:leader="none" w:pos="1296" w:val="left"/>
        </w:tabs>
        <w:numPr>
          <w:ilvl w:val="0"/>
          <w:numId w:val="34"/>
        </w:numPr>
        <w:rPr>
          <w:rFonts w:ascii="Arial" w:cs="Arial" w:eastAsia="Arial" w:hAnsi="Arial"/>
          <w:sz w:val="21"/>
          <w:szCs w:val="21"/>
          <w:color w:val="auto"/>
        </w:rPr>
      </w:pPr>
      <w:r>
        <w:rPr>
          <w:rFonts w:ascii="Arial" w:cs="Arial" w:eastAsia="Arial" w:hAnsi="Arial"/>
          <w:sz w:val="21"/>
          <w:szCs w:val="21"/>
          <w:color w:val="auto"/>
        </w:rPr>
        <w:t>I hereby consent to the terms of the Award Agreement and the Plan and to their application to and binding effect upon any community property or other interest I may have in the Performance Units (it being understood that this Spousal Consent shall in no way be construed to create any such interest). I agree that I will take no action at any time to hinder the operation of the transactions contemplated in and by the Award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5417820</wp:posOffset>
            </wp:positionH>
            <wp:positionV relativeFrom="paragraph">
              <wp:posOffset>-1624965</wp:posOffset>
            </wp:positionV>
            <wp:extent cx="2552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25527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-1461770</wp:posOffset>
            </wp:positionV>
            <wp:extent cx="10909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1090930"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-1461770</wp:posOffset>
            </wp:positionV>
            <wp:extent cx="5632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563245"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500"/>
        <w:spacing w:after="0"/>
        <w:tabs>
          <w:tab w:leader="none" w:pos="7740" w:val="left"/>
        </w:tabs>
        <w:rPr>
          <w:sz w:val="20"/>
          <w:szCs w:val="20"/>
          <w:color w:val="auto"/>
        </w:rPr>
      </w:pPr>
      <w:r>
        <w:rPr>
          <w:rFonts w:ascii="Arial" w:cs="Arial" w:eastAsia="Arial" w:hAnsi="Arial"/>
          <w:sz w:val="21"/>
          <w:szCs w:val="21"/>
          <w:color w:val="auto"/>
        </w:rPr>
        <w:t>IN WITNESS WHEREOF, this Spousal Consent has been executed as of ,</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4622800</wp:posOffset>
            </wp:positionH>
            <wp:positionV relativeFrom="paragraph">
              <wp:posOffset>-19050</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-19050</wp:posOffset>
            </wp:positionV>
            <wp:extent cx="1714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21"/>
          <w:szCs w:val="21"/>
          <w:color w:val="auto"/>
          <w:highlight w:val="black"/>
        </w:rPr>
        <w:t>SPOUSE</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-19050</wp:posOffset>
            </wp:positionV>
            <wp:extent cx="1714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-19050</wp:posOffset>
            </wp:positionV>
            <wp:extent cx="1714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Brett A. Cope, certify that:</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Powell Industries, Inc.;</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ind w:left="5640"/>
        <w:spacing w:after="0" w:line="203" w:lineRule="auto"/>
        <w:rPr>
          <w:sz w:val="20"/>
          <w:szCs w:val="20"/>
          <w:color w:val="auto"/>
        </w:rPr>
      </w:pPr>
      <w:r>
        <w:rPr>
          <w:rFonts w:ascii="Times New Roman" w:cs="Times New Roman" w:eastAsia="Times New Roman" w:hAnsi="Times New Roman"/>
          <w:sz w:val="18"/>
          <w:szCs w:val="18"/>
          <w:color w:val="auto"/>
        </w:rPr>
        <w:t>Brett A. Cope</w:t>
      </w:r>
    </w:p>
    <w:p>
      <w:pPr>
        <w:ind w:left="5640"/>
        <w:spacing w:after="0" w:line="219"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2026</w:t>
      </w:r>
    </w:p>
    <w:p>
      <w:pPr>
        <w:sectPr>
          <w:pgSz w:w="11900" w:h="16838" w:orient="portrait"/>
          <w:cols w:equalWidth="0" w:num="1">
            <w:col w:w="11240"/>
          </w:cols>
          <w:pgMar w:left="320" w:top="12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W. Metcalf, certify that:</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Powell Industries, Inc.;</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ind w:left="5640"/>
        <w:spacing w:after="0" w:line="203" w:lineRule="auto"/>
        <w:rPr>
          <w:sz w:val="20"/>
          <w:szCs w:val="20"/>
          <w:color w:val="auto"/>
        </w:rPr>
      </w:pPr>
      <w:r>
        <w:rPr>
          <w:rFonts w:ascii="Times New Roman" w:cs="Times New Roman" w:eastAsia="Times New Roman" w:hAnsi="Times New Roman"/>
          <w:sz w:val="18"/>
          <w:szCs w:val="18"/>
          <w:color w:val="auto"/>
        </w:rPr>
        <w:t>Michael W. Metcalf</w:t>
      </w:r>
    </w:p>
    <w:p>
      <w:pPr>
        <w:ind w:left="5640"/>
        <w:spacing w:after="0" w:line="219" w:lineRule="auto"/>
        <w:rPr>
          <w:sz w:val="20"/>
          <w:szCs w:val="20"/>
          <w:color w:val="auto"/>
        </w:rPr>
      </w:pPr>
      <w:r>
        <w:rPr>
          <w:rFonts w:ascii="Times New Roman" w:cs="Times New Roman" w:eastAsia="Times New Roman" w:hAnsi="Times New Roman"/>
          <w:sz w:val="18"/>
          <w:szCs w:val="18"/>
          <w:color w:val="auto"/>
        </w:rPr>
        <w:t>Executive Vice President</w:t>
      </w:r>
    </w:p>
    <w:p>
      <w:pPr>
        <w:ind w:left="5640"/>
        <w:spacing w:after="0" w:line="204" w:lineRule="auto"/>
        <w:rPr>
          <w:sz w:val="20"/>
          <w:szCs w:val="20"/>
          <w:color w:val="auto"/>
        </w:rPr>
      </w:pPr>
      <w:r>
        <w:rPr>
          <w:rFonts w:ascii="Times New Roman" w:cs="Times New Roman" w:eastAsia="Times New Roman" w:hAnsi="Times New Roman"/>
          <w:sz w:val="18"/>
          <w:szCs w:val="18"/>
          <w:color w:val="auto"/>
        </w:rPr>
        <w:t>Chief Financial and Principal Accounting Officer</w:t>
      </w:r>
    </w:p>
    <w:p>
      <w:pPr>
        <w:ind w:left="564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2026</w:t>
      </w:r>
    </w:p>
    <w:p>
      <w:pPr>
        <w:sectPr>
          <w:pgSz w:w="11900" w:h="16838" w:orient="portrait"/>
          <w:cols w:equalWidth="0" w:num="1">
            <w:col w:w="11240"/>
          </w:cols>
          <w:pgMar w:left="320" w:top="12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(the “Report”) on Form 10-Q of Powell Industries, Inc. (the “Company”) for the quarter ended December 31, 2025, as filed with the Securities and Exchange Commission on the date hereof, I, Brett A. Cope,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ind w:left="5640"/>
        <w:spacing w:after="0" w:line="219" w:lineRule="auto"/>
        <w:rPr>
          <w:sz w:val="20"/>
          <w:szCs w:val="20"/>
          <w:color w:val="auto"/>
        </w:rPr>
      </w:pPr>
      <w:r>
        <w:rPr>
          <w:rFonts w:ascii="Times New Roman" w:cs="Times New Roman" w:eastAsia="Times New Roman" w:hAnsi="Times New Roman"/>
          <w:sz w:val="18"/>
          <w:szCs w:val="18"/>
          <w:color w:val="auto"/>
        </w:rPr>
        <w:t>Brett A. Cope</w:t>
      </w: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2026</w:t>
      </w:r>
    </w:p>
    <w:p>
      <w:pPr>
        <w:sectPr>
          <w:pgSz w:w="11900" w:h="16838" w:orient="portrait"/>
          <w:cols w:equalWidth="0" w:num="1">
            <w:col w:w="11240"/>
          </w:cols>
          <w:pgMar w:left="320" w:top="124"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this Quarterly Report (the “Report”) on Form 10-Q of Powell Industries, Inc. (the “Company”) for the quarter ended </w:t>
      </w:r>
      <w:r>
        <w:rPr>
          <w:rFonts w:ascii="Times New Roman" w:cs="Times New Roman" w:eastAsia="Times New Roman" w:hAnsi="Times New Roman"/>
          <w:sz w:val="16"/>
          <w:szCs w:val="16"/>
          <w:color w:val="auto"/>
        </w:rPr>
        <w:t>December 31, 2025</w:t>
      </w:r>
      <w:r>
        <w:rPr>
          <w:rFonts w:ascii="Times New Roman" w:cs="Times New Roman" w:eastAsia="Times New Roman" w:hAnsi="Times New Roman"/>
          <w:sz w:val="18"/>
          <w:szCs w:val="18"/>
          <w:color w:val="auto"/>
        </w:rPr>
        <w:t>, as filed with the Securities and Exchange Commission on the date hereof, I, Michael W. Metcalf, Executive Vice President and Chief Financial and Principal Accounting Officer of the Company, certify, pursuant to 18 U.S.C. Section 1350, as adopted pursuant to Section 906 of the Sarbanes-Oxley Act of 2002, that:</w:t>
      </w:r>
    </w:p>
    <w:p>
      <w:pPr>
        <w:spacing w:after="0" w:line="180"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ind w:left="5620"/>
        <w:spacing w:after="0" w:line="203" w:lineRule="auto"/>
        <w:rPr>
          <w:sz w:val="20"/>
          <w:szCs w:val="20"/>
          <w:color w:val="auto"/>
        </w:rPr>
      </w:pPr>
      <w:r>
        <w:rPr>
          <w:rFonts w:ascii="Times New Roman" w:cs="Times New Roman" w:eastAsia="Times New Roman" w:hAnsi="Times New Roman"/>
          <w:sz w:val="18"/>
          <w:szCs w:val="18"/>
          <w:color w:val="auto"/>
        </w:rPr>
        <w:t>Michael W. Metcalf</w:t>
      </w:r>
    </w:p>
    <w:p>
      <w:pPr>
        <w:ind w:left="5620"/>
        <w:spacing w:after="0" w:line="219" w:lineRule="auto"/>
        <w:rPr>
          <w:sz w:val="20"/>
          <w:szCs w:val="20"/>
          <w:color w:val="auto"/>
        </w:rPr>
      </w:pPr>
      <w:r>
        <w:rPr>
          <w:rFonts w:ascii="Times New Roman" w:cs="Times New Roman" w:eastAsia="Times New Roman" w:hAnsi="Times New Roman"/>
          <w:sz w:val="18"/>
          <w:szCs w:val="18"/>
          <w:color w:val="auto"/>
        </w:rPr>
        <w:t>Executive Vice President</w:t>
      </w:r>
    </w:p>
    <w:p>
      <w:pPr>
        <w:ind w:left="5620"/>
        <w:spacing w:after="0" w:line="204" w:lineRule="auto"/>
        <w:rPr>
          <w:sz w:val="20"/>
          <w:szCs w:val="20"/>
          <w:color w:val="auto"/>
        </w:rPr>
      </w:pPr>
      <w:r>
        <w:rPr>
          <w:rFonts w:ascii="Times New Roman" w:cs="Times New Roman" w:eastAsia="Times New Roman" w:hAnsi="Times New Roman"/>
          <w:sz w:val="18"/>
          <w:szCs w:val="18"/>
          <w:color w:val="auto"/>
        </w:rPr>
        <w:t>Chief Financial and Principal Accounting Officer</w:t>
      </w:r>
    </w:p>
    <w:p>
      <w:pPr>
        <w:ind w:left="56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6"/>
          <w:szCs w:val="16"/>
          <w:color w:val="auto"/>
        </w:rPr>
        <w:t>February 4,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lvl w:ilvl="1">
      <w:lvlJc w:val="left"/>
      <w:lvlText w:val="(%2)"/>
      <w:numFmt w:val="lowerLetter"/>
      <w:start w:val="1"/>
    </w:lvl>
  </w:abstractNum>
  <w:abstractNum w:abstractNumId="13">
    <w:nsid w:val="B03E0C6"/>
    <w:multiLevelType w:val="hybridMultilevel"/>
    <w:lvl w:ilvl="0">
      <w:lvlJc w:val="left"/>
      <w:lvlText w:val="%1"/>
      <w:numFmt w:val="decimal"/>
      <w:start w:val="1"/>
    </w:lvl>
    <w:lvl w:ilvl="1">
      <w:lvlJc w:val="left"/>
      <w:lvlText w:val="(%2)"/>
      <w:numFmt w:val="lowerLetter"/>
      <w:start w:val="2"/>
    </w:lvl>
  </w:abstractNum>
  <w:abstractNum w:abstractNumId="14">
    <w:nsid w:val="189A769B"/>
    <w:multiLevelType w:val="hybridMultilevel"/>
    <w:lvl w:ilvl="0">
      <w:lvlJc w:val="left"/>
      <w:lvlText w:val="%1."/>
      <w:numFmt w:val="decimal"/>
      <w:start w:val="5"/>
    </w:lvl>
    <w:lvl w:ilvl="1">
      <w:lvlJc w:val="left"/>
      <w:lvlText w:val="%2"/>
      <w:numFmt w:val="lowerLetter"/>
      <w:start w:val="1"/>
    </w:lvl>
  </w:abstractNum>
  <w:abstractNum w:abstractNumId="15">
    <w:nsid w:val="54E49EB4"/>
    <w:multiLevelType w:val="hybridMultilevel"/>
    <w:lvl w:ilvl="0">
      <w:lvlJc w:val="left"/>
      <w:lvlText w:val="%1."/>
      <w:numFmt w:val="decimal"/>
      <w:start w:val="8"/>
    </w:lvl>
  </w:abstractNum>
  <w:abstractNum w:abstractNumId="16">
    <w:nsid w:val="71F32454"/>
    <w:multiLevelType w:val="hybridMultilevel"/>
    <w:lvl w:ilvl="0">
      <w:lvlJc w:val="left"/>
      <w:lvlText w:val="%1."/>
      <w:numFmt w:val="decimal"/>
      <w:start w:val="15"/>
    </w:lvl>
  </w:abstractNum>
  <w:abstractNum w:abstractNumId="17">
    <w:nsid w:val="2CA88611"/>
    <w:multiLevelType w:val="hybridMultilevel"/>
    <w:lvl w:ilvl="0">
      <w:lvlJc w:val="left"/>
      <w:lvlText w:val="%1."/>
      <w:numFmt w:val="decimal"/>
      <w:start w:val="20"/>
    </w:lvl>
    <w:lvl w:ilvl="1">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3"/>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2"/>
    </w:lvl>
  </w:abstractNum>
  <w:abstractNum w:abstractNumId="22">
    <w:nsid w:val="1E7FF521"/>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2"/>
    </w:lvl>
  </w:abstractNum>
  <w:abstractNum w:abstractNumId="23">
    <w:nsid w:val="7C3DBD3D"/>
    <w:multiLevelType w:val="hybridMultilevel"/>
    <w:lvl w:ilvl="0">
      <w:lvlJc w:val="left"/>
      <w:lvlText w:val="(%1)"/>
      <w:numFmt w:val="upperLetter"/>
      <w:start w:val="3"/>
    </w:lvl>
    <w:lvl w:ilvl="1">
      <w:lvlJc w:val="left"/>
      <w:lvlText w:val="%2."/>
      <w:numFmt w:val="decimal"/>
      <w:start w:val="3"/>
    </w:lvl>
    <w:lvl w:ilvl="2">
      <w:lvlJc w:val="left"/>
      <w:lvlText w:val="%3"/>
      <w:numFmt w:val="upperLetter"/>
      <w:start w:val="1"/>
    </w:lvl>
  </w:abstractNum>
  <w:abstractNum w:abstractNumId="24">
    <w:nsid w:val="737B8DDC"/>
    <w:multiLevelType w:val="hybridMultilevel"/>
    <w:lvl w:ilvl="0">
      <w:lvlJc w:val="left"/>
      <w:lvlText w:val="%1."/>
      <w:numFmt w:val="decimal"/>
      <w:start w:val="1"/>
    </w:lvl>
    <w:lvl w:ilvl="1">
      <w:lvlJc w:val="left"/>
      <w:lvlText w:val="(%2)"/>
      <w:numFmt w:val="lowerLetter"/>
      <w:start w:val="1"/>
    </w:lvl>
  </w:abstractNum>
  <w:abstractNum w:abstractNumId="25">
    <w:nsid w:val="6CEAF087"/>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6">
    <w:nsid w:val="22221A70"/>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27">
    <w:nsid w:val="4516DDE9"/>
    <w:multiLevelType w:val="hybridMultilevel"/>
    <w:lvl w:ilvl="0">
      <w:lvlJc w:val="left"/>
      <w:lvlText w:val="%1"/>
      <w:numFmt w:val="decimal"/>
      <w:start w:val="1"/>
    </w:lvl>
    <w:lvl w:ilvl="1">
      <w:lvlJc w:val="left"/>
      <w:lvlText w:val="(%2)"/>
      <w:numFmt w:val="lowerLetter"/>
      <w:start w:val="3"/>
    </w:lvl>
  </w:abstractNum>
  <w:abstractNum w:abstractNumId="28">
    <w:nsid w:val="3006C83E"/>
    <w:multiLevelType w:val="hybridMultilevel"/>
    <w:lvl w:ilvl="0">
      <w:lvlJc w:val="left"/>
      <w:lvlText w:val="%1."/>
      <w:numFmt w:val="decimal"/>
      <w:start w:val="5"/>
    </w:lvl>
    <w:lvl w:ilvl="1">
      <w:lvlJc w:val="left"/>
      <w:lvlText w:val="%2"/>
      <w:numFmt w:val="lowerLetter"/>
      <w:start w:val="1"/>
    </w:lvl>
  </w:abstractNum>
  <w:abstractNum w:abstractNumId="29">
    <w:nsid w:val="614FD4A1"/>
    <w:multiLevelType w:val="hybridMultilevel"/>
    <w:lvl w:ilvl="0">
      <w:lvlJc w:val="left"/>
      <w:lvlText w:val="%1"/>
      <w:numFmt w:val="lowerRoman"/>
      <w:start w:val="1"/>
    </w:lvl>
    <w:lvl w:ilvl="1">
      <w:lvlJc w:val="left"/>
      <w:lvlText w:val="%2."/>
      <w:numFmt w:val="decimal"/>
      <w:start w:val="6"/>
    </w:lvl>
  </w:abstractNum>
  <w:abstractNum w:abstractNumId="30">
    <w:nsid w:val="419AC241"/>
    <w:multiLevelType w:val="hybridMultilevel"/>
    <w:lvl w:ilvl="0">
      <w:lvlJc w:val="left"/>
      <w:lvlText w:val="(%1)"/>
      <w:numFmt w:val="lowerRoman"/>
      <w:start w:val="2"/>
    </w:lvl>
    <w:lvl w:ilvl="1">
      <w:lvlJc w:val="left"/>
      <w:lvlText w:val="%2."/>
      <w:numFmt w:val="decimal"/>
      <w:start w:val="7"/>
    </w:lvl>
  </w:abstractNum>
  <w:abstractNum w:abstractNumId="31">
    <w:nsid w:val="5577F8E1"/>
    <w:multiLevelType w:val="hybridMultilevel"/>
    <w:lvl w:ilvl="0">
      <w:lvlJc w:val="left"/>
      <w:lvlText w:val="%1."/>
      <w:numFmt w:val="decimal"/>
      <w:start w:val="12"/>
    </w:lvl>
  </w:abstractNum>
  <w:abstractNum w:abstractNumId="32">
    <w:nsid w:val="440BADFC"/>
    <w:multiLevelType w:val="hybridMultilevel"/>
    <w:lvl w:ilvl="0">
      <w:lvlJc w:val="left"/>
      <w:lvlText w:val="%1."/>
      <w:numFmt w:val="decimal"/>
      <w:start w:val="19"/>
    </w:lvl>
    <w:lvl w:ilvl="1">
      <w:lvlJc w:val="left"/>
      <w:lvlText w:val="*"/>
      <w:numFmt w:val="bullet"/>
      <w:start w:val="1"/>
    </w:lvl>
  </w:abstractNum>
  <w:abstractNum w:abstractNumId="33">
    <w:nsid w:val="5072367"/>
    <w:multiLevelType w:val="hybridMultilevel"/>
    <w:lvl w:ilvl="0">
      <w:lvlJc w:val="left"/>
      <w:lvlText w:val="%1."/>
      <w:numFmt w:val="decimal"/>
      <w:start w:val="3"/>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7"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46" Type="http://schemas.openxmlformats.org/officeDocument/2006/relationships/hyperlink" Target="https://www.sec.gov/Archives/edgar/data/80420/000008042025000034/ex31-amendedandrestatedcer.htm" TargetMode="External"/><Relationship Id="rId48" Type="http://schemas.openxmlformats.org/officeDocument/2006/relationships/hyperlink" Target="https://www.sec.gov/Archives/edgar/data/80420/000008042025000044/ex31-second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2026-02-04T11:36:41Z</dcterms:created>
  <dcterms:modified xsi:type="dcterms:W3CDTF">2026-02-04T11:36:41Z</dcterms:modified>
</cp:coreProperties>
</file>