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417"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417"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417"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3, 2026</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POWELL INDUSTRIES, INC.</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798" w:type="dxa"/>
        <w:jc w:val="center"/>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530"/>
        <w:gridCol w:w="530"/>
        <w:gridCol w:w="755"/>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001-12488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88-0106100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269" w:type="dxa"/>
        <w:jc w:val="center"/>
        <w:tblInd w:w="0" w:type="dxa"/>
        <w:tblLayout w:type="fixed"/>
        <w:tblCellMar>
          <w:top w:w="28" w:type="dxa"/>
          <w:left w:w="28" w:type="dxa"/>
          <w:bottom w:w="28" w:type="dxa"/>
          <w:right w:w="28" w:type="dxa"/>
        </w:tblCellMar>
      </w:tblPr>
      <w:tblGrid>
        <w:gridCol w:w="563"/>
        <w:gridCol w:w="496"/>
        <w:gridCol w:w="498"/>
        <w:gridCol w:w="269"/>
        <w:gridCol w:w="269"/>
        <w:gridCol w:w="271"/>
        <w:gridCol w:w="185"/>
        <w:gridCol w:w="185"/>
        <w:gridCol w:w="186"/>
        <w:gridCol w:w="109"/>
        <w:gridCol w:w="109"/>
        <w:gridCol w:w="109"/>
        <w:gridCol w:w="298"/>
        <w:gridCol w:w="298"/>
        <w:gridCol w:w="424"/>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8550 Mosley Road</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Houston </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77075-1180</w:t>
            </w:r>
          </w:p>
        </w:tc>
      </w:tr>
      <w:tr>
        <w:trPr/>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(713) 944-6900</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417"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78"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474"/>
        <w:gridCol w:w="474"/>
        <w:gridCol w:w="476"/>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before="0" w:after="0"/>
        <w:jc w:val="both"/>
        <w:rPr/>
      </w:pPr>
      <w:r>
        <w:rPr/>
      </w:r>
    </w:p>
    <w:p>
      <w:pPr>
        <w:pStyle w:val="TextBody"/>
        <w:bidi w:val="0"/>
        <w:spacing w:lineRule="auto" w:line="345" w:before="0" w:after="0"/>
        <w:jc w:val="both"/>
        <w:rPr/>
      </w:pPr>
      <w:r>
        <w:rPr>
          <w:rFonts w:ascii="Times New Roman;serif" w:hAnsi="Times New Roman;serif"/>
          <w:b w:val="false"/>
          <w:color w:val="000000"/>
          <w:sz w:val="22"/>
        </w:rPr>
        <w:t>On August 3, 2026,</w:t>
      </w:r>
      <w:r>
        <w:rPr>
          <w:color w:val="000000"/>
        </w:rPr>
        <w:t xml:space="preserve"> </w:t>
      </w:r>
      <w:r>
        <w:rPr>
          <w:rFonts w:ascii="Times New Roman;serif" w:hAnsi="Times New Roman;serif"/>
          <w:b w:val="false"/>
          <w:color w:val="000000"/>
          <w:sz w:val="22"/>
        </w:rPr>
        <w:t>Powell Industries, Inc. (NASDAQ: POWL) (the “Company”) issued a press release regarding the Company’s results of operations for its fiscal 2026 third quarter ended June 30, 2026. A copy of the press release is attached hereto as Exhibit 99.1 and is incorporated herein by reference.</w:t>
      </w:r>
    </w:p>
    <w:p>
      <w:pPr>
        <w:pStyle w:val="TextBody"/>
        <w:bidi w:val="0"/>
        <w:spacing w:lineRule="auto" w:line="345" w:before="120" w:after="240"/>
        <w:jc w:val="both"/>
        <w:rPr>
          <w:rFonts w:ascii="Times New Roman;serif" w:hAnsi="Times New Roman;serif"/>
          <w:b w:val="false"/>
          <w:color w:val="000000"/>
          <w:sz w:val="22"/>
        </w:rPr>
      </w:pPr>
      <w:r>
        <w:rPr>
          <w:rFonts w:ascii="Times New Roman;serif" w:hAnsi="Times New Roman;serif"/>
          <w:b w:val="false"/>
          <w:color w:val="000000"/>
          <w:sz w:val="22"/>
        </w:rPr>
        <w:t>The information in Item 2.02 of this Current Report on Form 8-K (“Current Report”) and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unless specifically identified therein as being incorporated by reference.</w:t>
      </w:r>
    </w:p>
    <w:p>
      <w:pPr>
        <w:pStyle w:val="TextBody"/>
        <w:bidi w:val="0"/>
        <w:spacing w:lineRule="auto" w:line="345" w:before="120" w:after="240"/>
        <w:jc w:val="both"/>
        <w:rPr>
          <w:rFonts w:ascii="Times New Roman;serif" w:hAnsi="Times New Roman;serif"/>
          <w:b/>
          <w:color w:val="000000"/>
          <w:sz w:val="22"/>
        </w:rPr>
      </w:pPr>
      <w:r>
        <w:rPr>
          <w:rFonts w:ascii="Times New Roman;serif" w:hAnsi="Times New Roman;serif"/>
          <w:b/>
          <w:color w:val="000000"/>
          <w:sz w:val="22"/>
        </w:rPr>
        <w:t>Item 8.01 – Other Events.</w:t>
      </w:r>
    </w:p>
    <w:p>
      <w:pPr>
        <w:pStyle w:val="TextBody"/>
        <w:bidi w:val="0"/>
        <w:spacing w:lineRule="auto" w:line="345" w:before="0" w:after="0"/>
        <w:jc w:val="both"/>
        <w:rPr>
          <w:rFonts w:ascii="Times New Roman;serif" w:hAnsi="Times New Roman;serif"/>
          <w:b w:val="false"/>
          <w:color w:val="000000"/>
          <w:sz w:val="22"/>
        </w:rPr>
      </w:pPr>
      <w:r>
        <w:rPr>
          <w:rFonts w:ascii="Times New Roman;serif" w:hAnsi="Times New Roman;serif"/>
          <w:b w:val="false"/>
          <w:color w:val="000000"/>
          <w:sz w:val="22"/>
        </w:rPr>
        <w:t>On August 3, 2026, the Company also issued a press release announcing that its Board of Directors declared a quarterly cash dividend of $0.09 per share payable to shareholders of record at the close of business on August 19, 2026. This dividend will be paid on September 16, 2026. A copy of the press release is attached hereto as Exhibit 99.2 and is incorporated herein by reference.</w:t>
      </w:r>
    </w:p>
    <w:p>
      <w:pPr>
        <w:pStyle w:val="TextBody"/>
        <w:bidi w:val="0"/>
        <w:spacing w:before="0" w:after="0"/>
        <w:jc w:val="both"/>
        <w:rPr/>
      </w:pPr>
      <w:r>
        <w:rPr/>
      </w:r>
    </w:p>
    <w:p>
      <w:pPr>
        <w:pStyle w:val="TextBody"/>
        <w:bidi w:val="0"/>
        <w:spacing w:lineRule="auto" w:line="345" w:before="0" w:after="240"/>
        <w:jc w:val="both"/>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0" w:after="38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Exhibits. The following exhibits are furnished as part of this Report.</w:t>
      </w:r>
    </w:p>
    <w:tbl>
      <w:tblPr>
        <w:tblW w:w="9284" w:type="dxa"/>
        <w:jc w:val="center"/>
        <w:tblInd w:w="0" w:type="dxa"/>
        <w:tblLayout w:type="fixed"/>
        <w:tblCellMar>
          <w:top w:w="28" w:type="dxa"/>
          <w:left w:w="28" w:type="dxa"/>
          <w:bottom w:w="28" w:type="dxa"/>
          <w:right w:w="28" w:type="dxa"/>
        </w:tblCellMar>
      </w:tblPr>
      <w:tblGrid>
        <w:gridCol w:w="609"/>
        <w:gridCol w:w="534"/>
        <w:gridCol w:w="537"/>
        <w:gridCol w:w="2222"/>
        <w:gridCol w:w="2222"/>
        <w:gridCol w:w="316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26" w:before="40" w:after="40"/>
              <w:jc w:val="center"/>
              <w:rPr/>
            </w:pPr>
            <w:r>
              <w:rPr>
                <w:rFonts w:ascii="Times New Roman;serif" w:hAnsi="Times New Roman;serif"/>
                <w:b/>
                <w:color w:val="000000"/>
                <w:sz w:val="22"/>
                <w:u w:val="single"/>
              </w:rPr>
              <w:t>Exhibit</w:t>
            </w:r>
            <w:r>
              <w:rPr>
                <w:color w:val="000000"/>
                <w:u w:val="single"/>
              </w:rPr>
              <w:t xml:space="preserve"> </w:t>
            </w:r>
            <w:r>
              <w:rPr>
                <w:rFonts w:ascii="Times New Roman;serif" w:hAnsi="Times New Roman;serif"/>
                <w:b/>
                <w:color w:val="000000"/>
                <w:sz w:val="22"/>
                <w:u w:val="single"/>
              </w:rPr>
              <w:t>Number</w:t>
            </w:r>
          </w:p>
        </w:tc>
        <w:tc>
          <w:tcPr>
            <w:tcW w:w="7604" w:type="dxa"/>
            <w:gridSpan w:val="3"/>
            <w:tcBorders/>
            <w:tcMar>
              <w:top w:w="0" w:type="dxa"/>
              <w:left w:w="0" w:type="dxa"/>
              <w:bottom w:w="0" w:type="dxa"/>
              <w:right w:w="0" w:type="dxa"/>
            </w:tcMar>
            <w:vAlign w:val="center"/>
          </w:tcPr>
          <w:p>
            <w:pPr>
              <w:pStyle w:val="TableContents"/>
              <w:bidi w:val="0"/>
              <w:spacing w:before="40" w:after="283"/>
              <w:jc w:val="both"/>
              <w:rPr/>
            </w:pPr>
            <w:r>
              <w:rPr/>
            </w:r>
          </w:p>
          <w:p>
            <w:pPr>
              <w:pStyle w:val="TableContents"/>
              <w:bidi w:val="0"/>
              <w:spacing w:lineRule="auto" w:line="326" w:before="40" w:after="40"/>
              <w:jc w:val="center"/>
              <w:rPr>
                <w:rFonts w:ascii="Times New Roman;serif" w:hAnsi="Times New Roman;serif"/>
                <w:b/>
                <w:color w:val="000000"/>
                <w:sz w:val="22"/>
                <w:u w:val="single"/>
              </w:rPr>
            </w:pPr>
            <w:r>
              <w:rPr>
                <w:rFonts w:ascii="Times New Roman;serif" w:hAnsi="Times New Roman;serif"/>
                <w:b/>
                <w:color w:val="000000"/>
                <w:sz w:val="22"/>
                <w:u w:val="single"/>
              </w:rPr>
              <w:t>Description</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99.1</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color w:val="000000"/>
              </w:rPr>
              <w:t> </w:t>
            </w:r>
            <w:hyperlink w:anchor="ex991-powlq3xfy2026earning.htm">
              <w:r>
                <w:rPr>
                  <w:rStyle w:val="InternetLink"/>
                  <w:rFonts w:ascii="Times New Roman;serif" w:hAnsi="Times New Roman;serif"/>
                  <w:b w:val="false"/>
                  <w:color w:val="0000FF"/>
                  <w:sz w:val="22"/>
                  <w:u w:val="single"/>
                </w:rPr>
                <w:t>Press Release dated August 3, 2026</w:t>
              </w:r>
            </w:hyperlink>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99.2</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40"/>
              <w:jc w:val="center"/>
              <w:rPr/>
            </w:pPr>
            <w:r>
              <w:rPr>
                <w:color w:val="000000"/>
              </w:rPr>
              <w:t> </w:t>
            </w:r>
            <w:hyperlink w:anchor="ex992-powlq3xfy2026dividen.htm">
              <w:r>
                <w:rPr>
                  <w:rStyle w:val="InternetLink"/>
                  <w:rFonts w:ascii="Times New Roman;serif" w:hAnsi="Times New Roman;serif"/>
                  <w:b w:val="false"/>
                  <w:color w:val="0000FF"/>
                  <w:sz w:val="22"/>
                  <w:u w:val="single"/>
                </w:rPr>
                <w:t>Press Release dated August 3, 2026</w:t>
              </w:r>
            </w:hyperlink>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345"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45" w:before="0" w:after="24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003" w:type="dxa"/>
        <w:jc w:val="center"/>
        <w:tblInd w:w="0" w:type="dxa"/>
        <w:tblLayout w:type="fixed"/>
        <w:tblCellMar>
          <w:top w:w="28" w:type="dxa"/>
          <w:left w:w="28" w:type="dxa"/>
          <w:bottom w:w="28" w:type="dxa"/>
          <w:right w:w="28" w:type="dxa"/>
        </w:tblCellMar>
      </w:tblPr>
      <w:tblGrid>
        <w:gridCol w:w="667"/>
        <w:gridCol w:w="587"/>
        <w:gridCol w:w="590"/>
        <w:gridCol w:w="269"/>
        <w:gridCol w:w="269"/>
        <w:gridCol w:w="269"/>
        <w:gridCol w:w="269"/>
        <w:gridCol w:w="269"/>
        <w:gridCol w:w="269"/>
        <w:gridCol w:w="1312"/>
        <w:gridCol w:w="1312"/>
        <w:gridCol w:w="192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POWELL INDUSTRIES,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W. Metcalf</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W. Metcalf</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Principal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bl>
    <w:p>
      <w:pPr>
        <w:pStyle w:val="TextBody"/>
        <w:bidi w:val="0"/>
        <w:spacing w:before="60" w:after="283"/>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drawing>
          <wp:inline distT="0" distB="0" distL="0" distR="0">
            <wp:extent cx="1962150" cy="581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581025"/>
                    </a:xfrm>
                    <a:prstGeom prst="rect">
                      <a:avLst/>
                    </a:prstGeom>
                  </pic:spPr>
                </pic:pic>
              </a:graphicData>
            </a:graphic>
          </wp:inline>
        </w:drawing>
      </w:r>
      <w:r>
        <w:rPr>
          <w:color w:val="000000"/>
        </w:rPr>
        <w:t>        </w:t>
      </w:r>
      <w:r>
        <w:rPr>
          <w:rFonts w:ascii="Times New Roman;serif" w:hAnsi="Times New Roman;serif"/>
          <w:b/>
          <w:i/>
          <w:color w:val="000000"/>
          <w:sz w:val="56"/>
        </w:rPr>
        <w:t>PRESS RELEASE</w:t>
      </w:r>
    </w:p>
    <w:p>
      <w:pPr>
        <w:pStyle w:val="TextBody"/>
        <w:bidi w:val="0"/>
        <w:spacing w:before="0" w:after="0"/>
        <w:jc w:val="both"/>
        <w:rPr/>
      </w:pPr>
      <w:r>
        <w:rPr/>
      </w:r>
    </w:p>
    <w:tbl>
      <w:tblPr>
        <w:tblW w:w="5827"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109"/>
        <w:gridCol w:w="109"/>
        <w:gridCol w:w="109"/>
        <w:gridCol w:w="294"/>
        <w:gridCol w:w="294"/>
        <w:gridCol w:w="296"/>
        <w:gridCol w:w="655"/>
        <w:gridCol w:w="655"/>
        <w:gridCol w:w="925"/>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For Immediate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Contacts:</w:t>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W. Metcalf, CFO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Powell Industries, Inc.</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713-947-4422</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Winters</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 IR Group</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POWL@alpha-ir.com</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312-445-2870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center"/>
        <w:rPr>
          <w:rFonts w:ascii="Times New Roman;serif" w:hAnsi="Times New Roman;serif"/>
          <w:b/>
          <w:color w:val="000000"/>
          <w:sz w:val="30"/>
        </w:rPr>
      </w:pPr>
      <w:r>
        <w:rPr>
          <w:rFonts w:ascii="Times New Roman;serif" w:hAnsi="Times New Roman;serif"/>
          <w:b/>
          <w:color w:val="000000"/>
          <w:sz w:val="30"/>
        </w:rPr>
        <w:t>POWELL INDUSTRIES ANNOUNCES THIRD QUARTER FISCAL 2026 RESULTS</w:t>
      </w:r>
    </w:p>
    <w:p>
      <w:pPr>
        <w:pStyle w:val="TextBody"/>
        <w:bidi w:val="0"/>
        <w:spacing w:before="0" w:after="0"/>
        <w:jc w:val="center"/>
        <w:rPr/>
      </w:pPr>
      <w:r>
        <w:rPr/>
      </w:r>
    </w:p>
    <w:p>
      <w:pPr>
        <w:pStyle w:val="TextBody"/>
        <w:bidi w:val="0"/>
        <w:spacing w:lineRule="auto" w:line="432" w:before="0" w:after="0"/>
        <w:jc w:val="both"/>
        <w:rPr>
          <w:rFonts w:ascii="Times New Roman;serif" w:hAnsi="Times New Roman;serif"/>
          <w:b w:val="false"/>
          <w:color w:val="000000"/>
          <w:sz w:val="24"/>
        </w:rPr>
      </w:pPr>
      <w:r>
        <w:rPr>
          <w:rFonts w:ascii="Times New Roman;serif" w:hAnsi="Times New Roman;serif"/>
          <w:b w:val="false"/>
          <w:color w:val="000000"/>
          <w:sz w:val="24"/>
        </w:rPr>
        <w:t>HOUSTON — August 3, 2026 — Powell Industries, Inc. (NASDAQ: POWL) (“Powell” or the “Company”), a leading supplier of custom-engineered solutions for the management, control and distribution of electrical energy, today announced results for the third quarter Fiscal 2026 ended June 30, 2026. All comparisons are to the third quarter of Fiscal 2025, unless otherwise noted.</w:t>
      </w:r>
    </w:p>
    <w:p>
      <w:pPr>
        <w:pStyle w:val="TextBody"/>
        <w:bidi w:val="0"/>
        <w:spacing w:before="0" w:after="0"/>
        <w:jc w:val="left"/>
        <w:rPr/>
      </w:pPr>
      <w:r>
        <w:rPr/>
      </w:r>
    </w:p>
    <w:p>
      <w:pPr>
        <w:pStyle w:val="TextBody"/>
        <w:bidi w:val="0"/>
        <w:spacing w:lineRule="auto" w:line="432" w:before="0" w:after="0"/>
        <w:jc w:val="both"/>
        <w:rPr>
          <w:rFonts w:ascii="Times New Roman;serif" w:hAnsi="Times New Roman;serif"/>
          <w:b/>
          <w:color w:val="000000"/>
          <w:sz w:val="24"/>
        </w:rPr>
      </w:pPr>
      <w:r>
        <w:rPr>
          <w:rFonts w:ascii="Times New Roman;serif" w:hAnsi="Times New Roman;serif"/>
          <w:b/>
          <w:color w:val="000000"/>
          <w:sz w:val="24"/>
        </w:rPr>
        <w:t xml:space="preserve">Key Highlights: </w:t>
      </w:r>
    </w:p>
    <w:p>
      <w:pPr>
        <w:pStyle w:val="TextBody"/>
        <w:bidi w:val="0"/>
        <w:spacing w:lineRule="auto" w:line="432" w:before="0" w:after="0"/>
        <w:ind w:left="0" w:right="0" w:hanging="360"/>
        <w:jc w:val="both"/>
        <w:rPr/>
      </w:pPr>
      <w:r>
        <w:rPr>
          <w:color w:val="000000"/>
        </w:rPr>
        <w:t>•</w:t>
      </w:r>
      <w:r>
        <w:rPr>
          <w:rFonts w:ascii="Times New Roman;serif" w:hAnsi="Times New Roman;serif"/>
          <w:b w:val="false"/>
          <w:color w:val="000000"/>
          <w:sz w:val="24"/>
        </w:rPr>
        <w:t xml:space="preserve">Revenues of $312 million increased 9%; </w:t>
      </w:r>
    </w:p>
    <w:p>
      <w:pPr>
        <w:pStyle w:val="TextBody"/>
        <w:bidi w:val="0"/>
        <w:spacing w:lineRule="auto" w:line="432" w:before="0" w:after="0"/>
        <w:ind w:left="0" w:right="0" w:hanging="360"/>
        <w:jc w:val="both"/>
        <w:rPr/>
      </w:pPr>
      <w:r>
        <w:rPr>
          <w:color w:val="000000"/>
        </w:rPr>
        <w:t>•</w:t>
      </w:r>
      <w:r>
        <w:rPr>
          <w:rFonts w:ascii="Times New Roman;serif" w:hAnsi="Times New Roman;serif"/>
          <w:b w:val="false"/>
          <w:color w:val="000000"/>
          <w:sz w:val="24"/>
        </w:rPr>
        <w:t>Gross profit of $95 million, or 30.6% of revenue, increased 8%;</w:t>
      </w:r>
    </w:p>
    <w:p>
      <w:pPr>
        <w:pStyle w:val="TextBody"/>
        <w:bidi w:val="0"/>
        <w:spacing w:lineRule="auto" w:line="432" w:before="0" w:after="0"/>
        <w:ind w:left="0" w:right="0" w:hanging="360"/>
        <w:jc w:val="both"/>
        <w:rPr/>
      </w:pPr>
      <w:r>
        <w:rPr>
          <w:color w:val="000000"/>
        </w:rPr>
        <w:t>•</w:t>
      </w:r>
      <w:r>
        <w:rPr>
          <w:rFonts w:ascii="Times New Roman;serif" w:hAnsi="Times New Roman;serif"/>
          <w:b w:val="false"/>
          <w:color w:val="000000"/>
          <w:sz w:val="24"/>
        </w:rPr>
        <w:t>Net income of $52 million, or $1.42 per diluted share</w:t>
      </w:r>
      <w:r>
        <w:rPr>
          <w:rFonts w:ascii="Times New Roman;serif" w:hAnsi="Times New Roman;serif"/>
          <w:b w:val="false"/>
          <w:color w:val="000000"/>
          <w:sz w:val="13"/>
        </w:rPr>
        <w:t>(1)</w:t>
      </w:r>
      <w:r>
        <w:rPr>
          <w:rFonts w:ascii="Times New Roman;serif" w:hAnsi="Times New Roman;serif"/>
          <w:b w:val="false"/>
          <w:color w:val="000000"/>
          <w:sz w:val="24"/>
        </w:rPr>
        <w:t>, increased 8%;</w:t>
      </w:r>
    </w:p>
    <w:p>
      <w:pPr>
        <w:pStyle w:val="TextBody"/>
        <w:bidi w:val="0"/>
        <w:spacing w:lineRule="auto" w:line="432" w:before="0" w:after="0"/>
        <w:ind w:left="0" w:right="0" w:hanging="360"/>
        <w:jc w:val="both"/>
        <w:rPr/>
      </w:pPr>
      <w:r>
        <w:rPr>
          <w:color w:val="000000"/>
        </w:rPr>
        <w:t>•</w:t>
      </w:r>
      <w:r>
        <w:rPr>
          <w:rFonts w:ascii="Times New Roman;serif" w:hAnsi="Times New Roman;serif"/>
          <w:b w:val="false"/>
          <w:color w:val="000000"/>
          <w:sz w:val="24"/>
        </w:rPr>
        <w:t>New orders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4"/>
        </w:rPr>
        <w:t>totaled $934 million, an increase of 158%;</w:t>
      </w:r>
    </w:p>
    <w:p>
      <w:pPr>
        <w:pStyle w:val="TextBody"/>
        <w:bidi w:val="0"/>
        <w:spacing w:lineRule="auto" w:line="432" w:before="0" w:after="0"/>
        <w:ind w:left="0" w:right="0" w:hanging="360"/>
        <w:jc w:val="both"/>
        <w:rPr/>
      </w:pPr>
      <w:r>
        <w:rPr>
          <w:color w:val="000000"/>
        </w:rPr>
        <w:t>•</w:t>
      </w:r>
      <w:r>
        <w:rPr>
          <w:rFonts w:ascii="Times New Roman;serif" w:hAnsi="Times New Roman;serif"/>
          <w:b w:val="false"/>
          <w:color w:val="000000"/>
          <w:sz w:val="24"/>
        </w:rPr>
        <w:t>Backlog</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4"/>
        </w:rPr>
        <w:t>as of June 30, 2026 totaled $2.4 billion, an increase of 69%;</w:t>
      </w:r>
    </w:p>
    <w:p>
      <w:pPr>
        <w:pStyle w:val="TextBody"/>
        <w:bidi w:val="0"/>
        <w:spacing w:lineRule="auto" w:line="432" w:before="0" w:after="0"/>
        <w:ind w:left="0" w:right="0" w:hanging="360"/>
        <w:jc w:val="both"/>
        <w:rPr/>
      </w:pPr>
      <w:r>
        <w:rPr>
          <w:color w:val="000000"/>
        </w:rPr>
        <w:t>•</w:t>
      </w:r>
      <w:r>
        <w:rPr>
          <w:rFonts w:ascii="Times New Roman;serif" w:hAnsi="Times New Roman;serif"/>
          <w:b w:val="false"/>
          <w:color w:val="000000"/>
          <w:sz w:val="24"/>
        </w:rPr>
        <w:t xml:space="preserve">Cash and short-term investments as of June 30, 2026 totaled $634 million; </w:t>
      </w:r>
    </w:p>
    <w:p>
      <w:pPr>
        <w:pStyle w:val="TextBody"/>
        <w:bidi w:val="0"/>
        <w:spacing w:lineRule="auto" w:line="432" w:before="0" w:after="0"/>
        <w:ind w:left="0" w:right="0" w:hanging="360"/>
        <w:jc w:val="both"/>
        <w:rPr/>
      </w:pPr>
      <w:r>
        <w:rPr>
          <w:color w:val="000000"/>
        </w:rPr>
        <w:t>•</w:t>
      </w:r>
      <w:r>
        <w:rPr>
          <w:rFonts w:ascii="Times New Roman;serif" w:hAnsi="Times New Roman;serif"/>
          <w:b w:val="false"/>
          <w:color w:val="000000"/>
          <w:sz w:val="24"/>
        </w:rPr>
        <w:t>Powell was awarded three mega</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4"/>
        </w:rPr>
        <w:t>orders during the fiscal third quarter, including the previously announced data center order with a value exceeding $400 million, as well as orders in the Petrochemical market and the LNG end market.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ind w:left="0" w:right="0" w:firstLine="720"/>
        <w:jc w:val="both"/>
        <w:rPr/>
      </w:pPr>
      <w:r>
        <w:rPr>
          <w:rFonts w:ascii="Times New Roman;serif" w:hAnsi="Times New Roman;serif"/>
          <w:b w:val="false"/>
          <w:color w:val="000000"/>
          <w:sz w:val="24"/>
        </w:rPr>
        <w:t>Brett A. Cope, Powell’s Chairman and Chief Executive Officer, stated, “Commercial momentum across our key end markets continues to accelerate as Powell was awarded a record $934 million of new orders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4"/>
        </w:rPr>
        <w:t>in the quarter and reported a book-to-bill ratio of 3.0x. Activity levels across Oil and Gas, Electric Utility and Commercial and Industrial end markets have remained very robust, highlighted in this most recent quarter by our previously announced mega</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4"/>
        </w:rPr>
        <w:t>data center order with a value in excess of $400 million, as well as two additional mega</w:t>
      </w:r>
      <w:r>
        <w:rPr>
          <w:rFonts w:ascii="Times New Roman;serif" w:hAnsi="Times New Roman;serif"/>
          <w:b w:val="false"/>
          <w:color w:val="000000"/>
          <w:sz w:val="13"/>
        </w:rPr>
        <w:t xml:space="preserve">(4) </w:t>
      </w:r>
      <w:r>
        <w:rPr>
          <w:rFonts w:ascii="Times New Roman;serif" w:hAnsi="Times New Roman;serif"/>
          <w:b w:val="false"/>
          <w:color w:val="000000"/>
          <w:sz w:val="24"/>
        </w:rPr>
        <w:t>orders; one within the LNG end market that approximated $60 million and the other a Petrochemical order for roughly $75 million. The Powell team also continues to focus on strong project execution as we deliver our record backlog</w:t>
      </w:r>
      <w:r>
        <w:rPr>
          <w:rFonts w:ascii="Times New Roman;serif" w:hAnsi="Times New Roman;serif"/>
          <w:b w:val="false"/>
          <w:color w:val="000000"/>
          <w:sz w:val="13"/>
        </w:rPr>
        <w:t>(3)</w:t>
      </w:r>
      <w:r>
        <w:rPr>
          <w:rFonts w:ascii="Times New Roman;serif" w:hAnsi="Times New Roman;serif"/>
          <w:b w:val="false"/>
          <w:color w:val="000000"/>
          <w:sz w:val="24"/>
        </w:rPr>
        <w:t xml:space="preserve">, demonstrated by a strong gross margin performance of 30.6%.” </w:t>
      </w:r>
    </w:p>
    <w:p>
      <w:pPr>
        <w:pStyle w:val="TextBody"/>
        <w:bidi w:val="0"/>
        <w:spacing w:before="0" w:after="0"/>
        <w:jc w:val="left"/>
        <w:rPr/>
      </w:pPr>
      <w:r>
        <w:rPr/>
      </w:r>
    </w:p>
    <w:p>
      <w:pPr>
        <w:pStyle w:val="TextBody"/>
        <w:bidi w:val="0"/>
        <w:spacing w:lineRule="auto" w:line="432" w:before="0" w:after="0"/>
        <w:jc w:val="both"/>
        <w:rPr>
          <w:rFonts w:ascii="Times New Roman;serif" w:hAnsi="Times New Roman;serif"/>
          <w:b/>
          <w:color w:val="000000"/>
          <w:sz w:val="24"/>
        </w:rPr>
      </w:pPr>
      <w:r>
        <w:rPr>
          <w:rFonts w:ascii="Times New Roman;serif" w:hAnsi="Times New Roman;serif"/>
          <w:b/>
          <w:color w:val="000000"/>
          <w:sz w:val="24"/>
        </w:rPr>
        <w:t xml:space="preserve">Third Quarter Fiscal 2026 Results </w:t>
      </w:r>
    </w:p>
    <w:p>
      <w:pPr>
        <w:pStyle w:val="TextBody"/>
        <w:bidi w:val="0"/>
        <w:spacing w:lineRule="auto" w:line="43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Revenues totaled $312 million, an increase of 9% compared to $286.3 million in the prior year, and a sequential increase of 5% compared to $296.6 million in the second quarter of Fiscal 2026. The growth compared to the prior year was driven by higher revenue levels from the Commercial &amp; Other Industrial market, which grew 54%, as well as from the Electric Utility market, which grew 18%. This was partially offset by lower revenue within the Petrochemical market, which declined 49%. </w:t>
      </w:r>
    </w:p>
    <w:p>
      <w:pPr>
        <w:pStyle w:val="TextBody"/>
        <w:bidi w:val="0"/>
        <w:spacing w:lineRule="auto" w:line="43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Gross profit of $95.3 million, or 30.6% of revenue, increased 8% compared to $87.9 million, or 30.7% of revenue, in the prior year and increased sequentially by 8% compared to $87.9 million, or 29.6% of revenue in the second quarter of Fiscal 2026. The increases in gross profit were primarily driven by higher volume levels and a continued strong and stable pricing environment.</w:t>
      </w:r>
    </w:p>
    <w:p>
      <w:pPr>
        <w:pStyle w:val="TextBody"/>
        <w:bidi w:val="0"/>
        <w:spacing w:lineRule="auto" w:line="432" w:before="0" w:after="0"/>
        <w:ind w:left="0" w:right="0" w:firstLine="720"/>
        <w:jc w:val="both"/>
        <w:rPr/>
      </w:pPr>
      <w:r>
        <w:rPr>
          <w:rFonts w:ascii="Times New Roman;serif" w:hAnsi="Times New Roman;serif"/>
          <w:b w:val="false"/>
          <w:color w:val="000000"/>
          <w:sz w:val="24"/>
        </w:rPr>
        <w:t>New orders</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4"/>
        </w:rPr>
        <w:t>totaled $934 million compared to $362 million in the prior year and $490 million in the second quarter of Fiscal 2026. The increases were driven by improved bookings predominantly within the Commercial &amp; Other Industrial, Oil &amp; Gas, and Petrochemical markets. During the quarter, the Company was awarded three mega</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4"/>
        </w:rPr>
        <w:t xml:space="preserve">orders; one for a data center with a value exceeding $400 million related to a behind-the-meter design of on-site generation assets, a Petrochemical order with a value of approximately $75 million in the fertilizer industry, and a LNG order with a value of approximately $60 million to support the liquefaction and export of LNG along the U.S. Gulf Coast. </w:t>
      </w:r>
    </w:p>
    <w:p>
      <w:pPr>
        <w:pStyle w:val="TextBody"/>
        <w:bidi w:val="0"/>
        <w:spacing w:lineRule="auto" w:line="432"/>
        <w:ind w:left="0" w:right="0" w:firstLine="720"/>
        <w:jc w:val="both"/>
        <w:rPr/>
      </w:pPr>
      <w:r>
        <w:rPr>
          <w:rFonts w:ascii="Times New Roman;serif" w:hAnsi="Times New Roman;serif"/>
          <w:b w:val="false"/>
          <w:color w:val="000000"/>
          <w:sz w:val="24"/>
        </w:rPr>
        <w:t>Backlog</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4"/>
        </w:rPr>
        <w:t>totaled $2.4 billion as of June 30, 2026, an increase of 69% compared to $1.4 billion as of June 30, 2025, and a sequential increase of 35% compared to $1.8 billion as of March 31, 2026.</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ind w:left="0" w:right="0" w:firstLine="720"/>
        <w:jc w:val="both"/>
        <w:rPr/>
      </w:pPr>
      <w:r>
        <w:rPr>
          <w:rFonts w:ascii="Times New Roman;serif" w:hAnsi="Times New Roman;serif"/>
          <w:b w:val="false"/>
          <w:color w:val="000000"/>
          <w:sz w:val="24"/>
        </w:rPr>
        <w:t>Net income of $52.2 million, or $1.42 per diluted share</w:t>
      </w:r>
      <w:r>
        <w:rPr>
          <w:rFonts w:ascii="Times New Roman;serif" w:hAnsi="Times New Roman;serif"/>
          <w:b w:val="false"/>
          <w:color w:val="000000"/>
          <w:sz w:val="13"/>
        </w:rPr>
        <w:t>(1)</w:t>
      </w:r>
      <w:r>
        <w:rPr>
          <w:rFonts w:ascii="Times New Roman;serif" w:hAnsi="Times New Roman;serif"/>
          <w:b w:val="false"/>
          <w:color w:val="000000"/>
          <w:sz w:val="24"/>
        </w:rPr>
        <w:t>, increased 8% compared to $48.2 million, or $1.32 per diluted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4"/>
        </w:rPr>
        <w:t>in the prior year. The increase was the result of higher revenues coupled with strong gross margins during the quarter. Net income in the quarter increased sequentially by 14% compared to $45.9 million, or $1.25 per diluted share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4"/>
        </w:rPr>
        <w:t xml:space="preserve">in the second quarter of Fiscal 2026. </w:t>
      </w:r>
    </w:p>
    <w:p>
      <w:pPr>
        <w:pStyle w:val="TextBody"/>
        <w:bidi w:val="0"/>
        <w:spacing w:lineRule="auto" w:line="43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April 2, 2026, Powell effected a three-for-one forward split of our common stock and proportionately increased the number of authorized common stock from 30,000,000 to 90,000,000. Each shareholder of record as of the close of trading on March 20, 2026 (the “Record Date”) received, after the close of trading on April 2, 2026, two additional shares for every one share held on the Record Date. Trading began on a split-adjusted basis at market open on April 6,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OUTLOOK</w:t>
      </w:r>
    </w:p>
    <w:p>
      <w:pPr>
        <w:pStyle w:val="TextBody"/>
        <w:bidi w:val="0"/>
        <w:spacing w:lineRule="auto" w:line="43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Commenting on the Company’s expectations for the remainder of Fiscal 2026, Cope added, “The outlook for each of our core end markets are highly favorable, supported by durable and diverse demand drivers, including the continuation of U.S. LNG in the global energy landscape, growth in utility generation coupled with ongoing grid strengthening initiatives, as well as increasing demand to support data centers and related AI capacity demand. We anticipate activity across each of our core markets will remain robust. Our near-to-midterm focus remains on ensuring that Powell is adequately positioned to address these thematic, secular tailwinds driving the growing demand for electrical distribution equipment and custom, engineered-to-order solutions.”</w:t>
      </w:r>
    </w:p>
    <w:p>
      <w:pPr>
        <w:pStyle w:val="TextBody"/>
        <w:bidi w:val="0"/>
        <w:spacing w:before="0" w:after="0"/>
        <w:jc w:val="left"/>
        <w:rPr/>
      </w:pPr>
      <w:r>
        <w:rPr/>
      </w:r>
    </w:p>
    <w:p>
      <w:pPr>
        <w:pStyle w:val="TextBody"/>
        <w:bidi w:val="0"/>
        <w:spacing w:lineRule="auto" w:line="432" w:before="0" w:after="0"/>
        <w:ind w:left="0" w:right="0" w:firstLine="720"/>
        <w:jc w:val="both"/>
        <w:rPr/>
      </w:pPr>
      <w:r>
        <w:rPr>
          <w:rFonts w:ascii="Times New Roman;serif" w:hAnsi="Times New Roman;serif"/>
          <w:b w:val="false"/>
          <w:color w:val="000000"/>
          <w:sz w:val="24"/>
        </w:rPr>
        <w:t>Michael Metcalf, Powell’s Chief Financial Officer, commented, “Our strong project execution levels, combined with our growing backlog</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4"/>
        </w:rPr>
        <w:t>and its overall composition across our core end markets, make us confident that Powell will deliver another very strong year of financial results as we close out Fiscal 2026 and look ahead to Fiscal 2027. We expect that gross margins will maintain levels consistent to the trailing twelve months, while prudently adding capacity to support the acceleration in our backlog</w:t>
      </w:r>
      <w:r>
        <w:rPr>
          <w:rFonts w:ascii="Times New Roman;serif" w:hAnsi="Times New Roman;serif"/>
          <w:b w:val="false"/>
          <w:color w:val="000000"/>
          <w:sz w:val="13"/>
        </w:rPr>
        <w:t>(3)</w:t>
      </w:r>
      <w:r>
        <w:rPr>
          <w:rFonts w:ascii="Times New Roman;serif" w:hAnsi="Times New Roman;serif"/>
          <w:b w:val="false"/>
          <w:color w:val="000000"/>
          <w:sz w:val="24"/>
        </w:rPr>
        <w:t>. The expansion of our Jacintoport fabrication yard is expected to be completed by the close of Fiscal 2026, and we anticipate production to ramp up as we leverage this additional capacity to support recent core industrial project awards. We are also evaluating greenfield capacity expansions incremental to our added leased capacity in Houston and Ohio, while prioritizing adequate returns and ensuring the optimal manufacturing footprint for Powell over the long term.”</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jc w:val="both"/>
        <w:rPr/>
      </w:pPr>
      <w:r>
        <w:rPr>
          <w:rFonts w:ascii="Times New Roman;serif" w:hAnsi="Times New Roman;serif"/>
          <w:b/>
          <w:color w:val="000000"/>
          <w:sz w:val="24"/>
        </w:rPr>
        <w:t>CONFERENCE CALL</w:t>
      </w:r>
      <w:r>
        <w:rPr>
          <w:color w:val="000000"/>
        </w:rPr>
        <w:t xml:space="preserve"> </w:t>
      </w:r>
    </w:p>
    <w:p>
      <w:pPr>
        <w:pStyle w:val="TextBody"/>
        <w:bidi w:val="0"/>
        <w:spacing w:lineRule="auto" w:line="43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Powell Industries has scheduled a conference call for Tuesday, August 4, 2026 at 11:00 a.m. Eastern time. To participate in the conference call, dial 1-833-953-2431 (domestic) or 1-412-317-5760 (international) at least 10 minutes before the call begins and ask for the Powell Industries conference call. A telephonic replay of the conference call will be available through August 11, 2026 and may be accessed by calling 1-855-669-9658 (domestic) or 1-412-317-0088 (international) and using passcode 3105582#. </w:t>
      </w:r>
    </w:p>
    <w:p>
      <w:pPr>
        <w:pStyle w:val="TextBody"/>
        <w:bidi w:val="0"/>
        <w:spacing w:lineRule="auto" w:line="43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Investors, analysts and the general public will also have the opportunity to listen to the conference call over the Internet by visiting powellind.com. To listen to the live call on the web, please visit the website at least 15 minutes before the call begins to register, download and install any necessary audio software. For those who cannot listen to the live webcast, an archive will be available shortly after the call and will remain available for approximately twelve months at powellind.com.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jc w:val="both"/>
        <w:rPr>
          <w:rFonts w:ascii="Times New Roman;serif" w:hAnsi="Times New Roman;serif"/>
          <w:b/>
          <w:color w:val="000000"/>
          <w:sz w:val="24"/>
        </w:rPr>
      </w:pPr>
      <w:r>
        <w:rPr>
          <w:rFonts w:ascii="Times New Roman;serif" w:hAnsi="Times New Roman;serif"/>
          <w:b/>
          <w:color w:val="000000"/>
          <w:sz w:val="24"/>
        </w:rPr>
        <w:t>About Powell Industries</w:t>
      </w:r>
    </w:p>
    <w:p>
      <w:pPr>
        <w:pStyle w:val="TextBody"/>
        <w:bidi w:val="0"/>
        <w:spacing w:lineRule="auto" w:line="432"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Powell Industries, Inc., headquartered in Houston, Texas, develops, designs, manufactures and services custom-engineered equipment and systems that distribute, control and monitor the flow of electrical energy and provide protection to motors, transformers and other electrically powered equipment. Powell Industries, Inc. primarily serves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 For more information, please visit powellind.com.</w:t>
      </w:r>
    </w:p>
    <w:p>
      <w:pPr>
        <w:pStyle w:val="TextBody"/>
        <w:bidi w:val="0"/>
        <w:spacing w:before="0" w:after="0"/>
        <w:jc w:val="left"/>
        <w:rPr/>
      </w:pPr>
      <w:r>
        <w:rPr/>
      </w:r>
    </w:p>
    <w:p>
      <w:pPr>
        <w:pStyle w:val="TextBody"/>
        <w:bidi w:val="0"/>
        <w:spacing w:lineRule="auto" w:line="432" w:before="0" w:after="0"/>
        <w:jc w:val="both"/>
        <w:rPr/>
      </w:pPr>
      <w:r>
        <w:rPr>
          <w:rFonts w:ascii="Times New Roman;serif" w:hAnsi="Times New Roman;serif"/>
          <w:b w:val="false"/>
          <w:i/>
          <w:color w:val="000000"/>
          <w:sz w:val="22"/>
        </w:rPr>
        <w:t>Any forward-looking statements in the preceding paragraphs of this release, including those related to our outlook, are made pursuant to the safe harbor provisions of the Private Securities Litigation Reform Act of 1995. Investors are cautioned that such forward-looking statements involve risks and uncertainties in that actual results may differ materially from those projected in the forward-looking statements.</w:t>
      </w:r>
      <w:r>
        <w:rPr>
          <w:color w:val="000000"/>
        </w:rPr>
        <w:t xml:space="preserve"> </w:t>
      </w:r>
      <w:r>
        <w:rPr>
          <w:rFonts w:ascii="Times New Roman;serif" w:hAnsi="Times New Roman;serif"/>
          <w:b w:val="false"/>
          <w:i/>
          <w:color w:val="000000"/>
          <w:sz w:val="22"/>
        </w:rPr>
        <w:t>In the course of operations, we are subject to certain risk factors, competition and competitive pressures, sensitivity to general economic and industrial conditions, international political and economic risks, availability and price of raw materials, the impact of tariffs and execution of business strategy. In addition, our backlog</w:t>
      </w:r>
      <w:r>
        <w:rPr>
          <w:rFonts w:ascii="Times New Roman;serif" w:hAnsi="Times New Roman;serif"/>
          <w:b w:val="false"/>
          <w:i/>
          <w:color w:val="000000"/>
          <w:sz w:val="13"/>
        </w:rPr>
        <w:t>(3)</w:t>
      </w:r>
      <w:r>
        <w:rPr>
          <w:color w:val="000000"/>
        </w:rPr>
        <w:t xml:space="preserve"> </w:t>
      </w:r>
      <w:r>
        <w:rPr>
          <w:rFonts w:ascii="Times New Roman;serif" w:hAnsi="Times New Roman;serif"/>
          <w:b w:val="false"/>
          <w:i/>
          <w:color w:val="000000"/>
          <w:sz w:val="22"/>
        </w:rPr>
        <w:t xml:space="preserve">may not be indicative of future operating results as orders may be cancelled or modified by our customers and associated backlog may not be recognized as revenue on the timeline we expect or at all. For further information, please refer to the Company’s filings with the Securities and Exchange Commission (the “SEC”), copies of which are available from the Company without charge. </w:t>
      </w:r>
    </w:p>
    <w:p>
      <w:pPr>
        <w:pStyle w:val="TextBody"/>
        <w:bidi w:val="0"/>
        <w:spacing w:before="0" w:after="0"/>
        <w:jc w:val="both"/>
        <w:rPr/>
      </w:pPr>
      <w:r>
        <w:rPr/>
      </w:r>
    </w:p>
    <w:p>
      <w:pPr>
        <w:pStyle w:val="TextBody"/>
        <w:bidi w:val="0"/>
        <w:spacing w:lineRule="auto" w:line="432" w:before="0" w:after="0"/>
        <w:jc w:val="both"/>
        <w:rPr>
          <w:rFonts w:ascii="Times New Roman;serif" w:hAnsi="Times New Roman;serif"/>
          <w:b w:val="false"/>
          <w:i/>
          <w:color w:val="000000"/>
          <w:sz w:val="22"/>
        </w:rPr>
      </w:pPr>
      <w:r>
        <w:rPr>
          <w:rFonts w:ascii="Times New Roman;serif" w:hAnsi="Times New Roman;serif"/>
          <w:b w:val="false"/>
          <w:i/>
          <w:color w:val="000000"/>
          <w:sz w:val="22"/>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release.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POWELL INDUSTRIES, INC. &amp; SUBSIDIARIES</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9345" w:type="dxa"/>
        <w:jc w:val="center"/>
        <w:tblInd w:w="0" w:type="dxa"/>
        <w:tblLayout w:type="fixed"/>
        <w:tblCellMar>
          <w:top w:w="28" w:type="dxa"/>
          <w:left w:w="28" w:type="dxa"/>
          <w:bottom w:w="28" w:type="dxa"/>
          <w:right w:w="28" w:type="dxa"/>
        </w:tblCellMar>
      </w:tblPr>
      <w:tblGrid>
        <w:gridCol w:w="1353"/>
        <w:gridCol w:w="1187"/>
        <w:gridCol w:w="119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333" w:before="0" w:after="30"/>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(Unaudited)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87,899</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230,855</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166,012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Earnings per share</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shares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SELECTED FINANCIAL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00"/>
        <w:jc w:val="center"/>
        <w:rPr>
          <w:rFonts w:ascii="Times New Roman;serif" w:hAnsi="Times New Roman;serif"/>
          <w:b/>
          <w:color w:val="000000"/>
          <w:sz w:val="24"/>
        </w:rPr>
      </w:pPr>
      <w:r>
        <w:rPr>
          <w:rFonts w:ascii="Times New Roman;serif" w:hAnsi="Times New Roman;serif"/>
          <w:b/>
          <w:color w:val="000000"/>
          <w:sz w:val="24"/>
        </w:rPr>
        <w:t>POWELL INDUSTRIES, INC. &amp; SUBSIDIARIES</w:t>
      </w:r>
    </w:p>
    <w:p>
      <w:pPr>
        <w:pStyle w:val="TextBody"/>
        <w:bidi w:val="0"/>
        <w:spacing w:lineRule="auto" w:line="501"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tbl>
      <w:tblPr>
        <w:tblW w:w="7637" w:type="dxa"/>
        <w:jc w:val="left"/>
        <w:tblInd w:w="0" w:type="dxa"/>
        <w:tblLayout w:type="fixed"/>
        <w:tblCellMar>
          <w:top w:w="28" w:type="dxa"/>
          <w:left w:w="28" w:type="dxa"/>
          <w:bottom w:w="28" w:type="dxa"/>
          <w:right w:w="28" w:type="dxa"/>
        </w:tblCellMar>
      </w:tblPr>
      <w:tblGrid>
        <w:gridCol w:w="1600"/>
        <w:gridCol w:w="1409"/>
        <w:gridCol w:w="1416"/>
        <w:gridCol w:w="211"/>
        <w:gridCol w:w="976"/>
        <w:gridCol w:w="109"/>
        <w:gridCol w:w="109"/>
        <w:gridCol w:w="109"/>
        <w:gridCol w:w="109"/>
        <w:gridCol w:w="250"/>
        <w:gridCol w:w="1157"/>
        <w:gridCol w:w="182"/>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1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 xml:space="preserve">Cash, cash equivalents and short-term investments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88" w:before="40" w:after="40"/>
              <w:jc w:val="left"/>
              <w:rPr>
                <w:color w:val="000000"/>
              </w:rPr>
            </w:pPr>
            <w:r>
              <w:rPr>
                <w:color w:val="000000"/>
              </w:rPr>
              <w:t>   </w:t>
            </w:r>
            <w:r>
              <w:rPr>
                <w:rFonts w:ascii="Times New Roman;serif" w:hAnsi="Times New Roman;serif"/>
                <w:b w:val="false"/>
                <w:color w:val="000000"/>
                <w:sz w:val="20"/>
              </w:rPr>
              <w:t>All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40" w:after="40"/>
              <w:ind w:left="0" w:right="0" w:hanging="240"/>
              <w:jc w:val="left"/>
              <w:rPr/>
            </w:pPr>
            <w:r>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Long-term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40" w:after="40"/>
              <w:ind w:left="0" w:right="0" w:hanging="240"/>
              <w:jc w:val="left"/>
              <w:rPr/>
            </w:pPr>
            <w:r>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1,108,984 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40" w:after="40"/>
              <w:ind w:left="0" w:right="0" w:hanging="240"/>
              <w:jc w:val="left"/>
              <w:rPr/>
            </w:pPr>
            <w:r>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40" w:after="40"/>
              <w:ind w:left="0" w:right="0" w:hanging="240"/>
              <w:jc w:val="left"/>
              <w:rPr/>
            </w:pPr>
            <w:r>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Deferred and 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40" w:after="40"/>
              <w:ind w:left="0" w:right="0" w:hanging="240"/>
              <w:jc w:val="left"/>
              <w:rPr/>
            </w:pPr>
            <w:r>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Stockholders’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640,770 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40" w:after="40"/>
              <w:ind w:left="0" w:right="0" w:hanging="240"/>
              <w:jc w:val="left"/>
              <w:rPr/>
            </w:pPr>
            <w:r>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333" w:before="40" w:after="40"/>
              <w:ind w:left="0" w:right="0" w:hanging="240"/>
              <w:jc w:val="left"/>
              <w:rPr>
                <w:color w:val="000000"/>
              </w:rPr>
            </w:pPr>
            <w:r>
              <w:rPr>
                <w:color w:val="000000"/>
              </w:rPr>
              <w:t>      </w:t>
            </w:r>
            <w:r>
              <w:rPr>
                <w:rFonts w:ascii="Times New Roman;serif" w:hAnsi="Times New Roman;serif"/>
                <w:b w:val="false"/>
                <w:color w:val="000000"/>
                <w:sz w:val="20"/>
              </w:rPr>
              <w:t>Total liabilities and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1,108,984 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SELECTED FINANCIAL DATA:</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333" w:before="40" w:after="40"/>
              <w:ind w:left="0" w:right="0" w:hanging="240"/>
              <w:jc w:val="left"/>
              <w:rPr/>
            </w:pPr>
            <w:r>
              <w:rPr>
                <w:color w:val="000000"/>
              </w:rPr>
              <w:t>   </w:t>
            </w:r>
            <w:r>
              <w:rPr>
                <w:rFonts w:ascii="Times New Roman;serif" w:hAnsi="Times New Roman;serif"/>
                <w:b w:val="false"/>
                <w:color w:val="000000"/>
                <w:sz w:val="20"/>
              </w:rPr>
              <w:t>Working capital</w:t>
            </w:r>
            <w:r>
              <w:rPr>
                <w:rFonts w:ascii="Times New Roman;serif" w:hAnsi="Times New Roman;serif"/>
                <w:b w:val="false"/>
                <w:color w:val="000000"/>
                <w:sz w:val="13"/>
              </w:rPr>
              <w:t>(5)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485,329 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76" w:before="0" w:after="0"/>
        <w:ind w:left="0" w:right="0" w:hanging="360"/>
        <w:jc w:val="left"/>
        <w:rPr/>
      </w:pPr>
      <w:r>
        <w:rPr>
          <w:rFonts w:ascii="Arial;sans-serif" w:hAnsi="Arial;sans-serif"/>
          <w:b w:val="false"/>
          <w:color w:val="000000"/>
          <w:sz w:val="13"/>
        </w:rPr>
        <w:t>(1)</w:t>
      </w:r>
      <w:r>
        <w:rPr>
          <w:rFonts w:ascii="Times New Roman;serif" w:hAnsi="Times New Roman;serif"/>
          <w:b w:val="false"/>
          <w:color w:val="000000"/>
          <w:sz w:val="13"/>
        </w:rPr>
        <w:t>On April 2, 2026, the Company effected a three-for-one forward split of its common stock (the “Stock Split”). Share and per-share amounts disclosed for all periods have been retroactively adjusted to reflect the effect of the Stock Split.</w:t>
      </w:r>
    </w:p>
    <w:p>
      <w:pPr>
        <w:pStyle w:val="TextBody"/>
        <w:bidi w:val="0"/>
        <w:spacing w:lineRule="auto" w:line="276" w:before="0" w:after="0"/>
        <w:ind w:left="0" w:right="0" w:hanging="360"/>
        <w:jc w:val="left"/>
        <w:rPr>
          <w:rFonts w:ascii="Times New Roman;serif" w:hAnsi="Times New Roman;serif"/>
          <w:b w:val="false"/>
          <w:color w:val="000000"/>
          <w:sz w:val="13"/>
        </w:rPr>
      </w:pPr>
      <w:r>
        <w:rPr>
          <w:rFonts w:ascii="Times New Roman;serif" w:hAnsi="Times New Roman;serif"/>
          <w:b w:val="false"/>
          <w:color w:val="000000"/>
          <w:sz w:val="13"/>
        </w:rPr>
        <w:t>(2)New orders (bookings) represent the estimated value of contracts added to existing backlog (unsatisfied performance obligations).</w:t>
      </w:r>
    </w:p>
    <w:p>
      <w:pPr>
        <w:pStyle w:val="TextBody"/>
        <w:bidi w:val="0"/>
        <w:spacing w:lineRule="auto" w:line="276" w:before="0" w:after="0"/>
        <w:ind w:left="0" w:right="0" w:hanging="360"/>
        <w:jc w:val="left"/>
        <w:rPr>
          <w:rFonts w:ascii="Times New Roman;serif" w:hAnsi="Times New Roman;serif"/>
          <w:b w:val="false"/>
          <w:color w:val="000000"/>
          <w:sz w:val="13"/>
        </w:rPr>
      </w:pPr>
      <w:r>
        <w:rPr>
          <w:rFonts w:ascii="Times New Roman;serif" w:hAnsi="Times New Roman;serif"/>
          <w:b w:val="false"/>
          <w:color w:val="000000"/>
          <w:sz w:val="13"/>
        </w:rPr>
        <w:t xml:space="preserve">(3)The amounts recorded in backlog may not be a reliable indicator of our future operating results and may not be indicative of continuing revenue performance over future fiscal quarters or years primarily due to unexpected contract adjustments, cancellations or scope reductions. </w:t>
      </w:r>
    </w:p>
    <w:p>
      <w:pPr>
        <w:pStyle w:val="TextBody"/>
        <w:bidi w:val="0"/>
        <w:spacing w:lineRule="auto" w:line="276" w:before="0" w:after="0"/>
        <w:ind w:left="0" w:right="0" w:hanging="360"/>
        <w:jc w:val="left"/>
        <w:rPr>
          <w:rFonts w:ascii="Times New Roman;serif" w:hAnsi="Times New Roman;serif"/>
          <w:b w:val="false"/>
          <w:color w:val="000000"/>
          <w:sz w:val="13"/>
        </w:rPr>
      </w:pPr>
      <w:r>
        <w:rPr>
          <w:rFonts w:ascii="Times New Roman;serif" w:hAnsi="Times New Roman;serif"/>
          <w:b w:val="false"/>
          <w:color w:val="000000"/>
          <w:sz w:val="13"/>
        </w:rPr>
        <w:t>(4)A mega order is defined as an order with a contract value exceeding $50 million.</w:t>
      </w:r>
    </w:p>
    <w:p>
      <w:pPr>
        <w:pStyle w:val="TextBody"/>
        <w:bidi w:val="0"/>
        <w:spacing w:lineRule="auto" w:line="276" w:before="0" w:after="0"/>
        <w:ind w:left="0" w:right="0" w:hanging="360"/>
        <w:jc w:val="left"/>
        <w:rPr>
          <w:rFonts w:ascii="Times New Roman;serif" w:hAnsi="Times New Roman;serif"/>
          <w:b w:val="false"/>
          <w:color w:val="000000"/>
          <w:sz w:val="13"/>
        </w:rPr>
      </w:pPr>
      <w:r>
        <w:rPr>
          <w:rFonts w:ascii="Times New Roman;serif" w:hAnsi="Times New Roman;serif"/>
          <w:b w:val="false"/>
          <w:color w:val="000000"/>
          <w:sz w:val="13"/>
        </w:rPr>
        <w:t>(5)Working capital is equal to current assets (including cash and short-term investments) minus current liabilities.</w:t>
      </w:r>
    </w:p>
    <w:p>
      <w:pPr>
        <w:pStyle w:val="TextBody"/>
        <w:bidi w:val="0"/>
        <w:spacing w:before="0" w:after="1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drawing>
          <wp:inline distT="0" distB="0" distL="0" distR="0">
            <wp:extent cx="1962150" cy="5810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1962150" cy="581025"/>
                    </a:xfrm>
                    <a:prstGeom prst="rect">
                      <a:avLst/>
                    </a:prstGeom>
                  </pic:spPr>
                </pic:pic>
              </a:graphicData>
            </a:graphic>
          </wp:inline>
        </w:drawing>
      </w:r>
      <w:r>
        <w:rPr>
          <w:color w:val="000000"/>
        </w:rPr>
        <w:t>        </w:t>
      </w:r>
      <w:r>
        <w:rPr>
          <w:rFonts w:ascii="Times New Roman;serif" w:hAnsi="Times New Roman;serif"/>
          <w:b/>
          <w:i/>
          <w:color w:val="000000"/>
          <w:sz w:val="56"/>
        </w:rPr>
        <w:t>PRESS RELEASE</w:t>
      </w:r>
    </w:p>
    <w:p>
      <w:pPr>
        <w:pStyle w:val="TextBody"/>
        <w:bidi w:val="0"/>
        <w:spacing w:before="0" w:after="0"/>
        <w:jc w:val="both"/>
        <w:rPr/>
      </w:pPr>
      <w:r>
        <w:rPr/>
      </w:r>
    </w:p>
    <w:tbl>
      <w:tblPr>
        <w:tblW w:w="5481"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109"/>
        <w:gridCol w:w="109"/>
        <w:gridCol w:w="109"/>
        <w:gridCol w:w="269"/>
        <w:gridCol w:w="269"/>
        <w:gridCol w:w="271"/>
        <w:gridCol w:w="575"/>
        <w:gridCol w:w="575"/>
        <w:gridCol w:w="81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For Immediate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Metcalf, CFO</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Powell Industries, Inc.</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713-947-4422</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Winters</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Alpha IR Group</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POWL@alpha-ir.com</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312-445-2870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Powell Industries Declares Quarterly Cash Dividend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32"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HOUSTON — August 3, 2026 — Powell Industries, Inc. (NASDAQ: POWL), a leading supplier of custom engineered solutions for the management, control and distribution of electrical energy, today announced that its Board of Directors has declared a quarterly cash dividend on the Company’s common stock of $0.09 per share. The dividend is payable on September 16, 2026, to shareholders of record at the close of business on August 19, 2026. </w:t>
      </w:r>
    </w:p>
    <w:p>
      <w:pPr>
        <w:pStyle w:val="TextBody"/>
        <w:bidi w:val="0"/>
        <w:spacing w:before="0" w:after="0"/>
        <w:jc w:val="left"/>
        <w:rPr/>
      </w:pPr>
      <w:r>
        <w:rPr/>
      </w:r>
    </w:p>
    <w:p>
      <w:pPr>
        <w:pStyle w:val="TextBody"/>
        <w:bidi w:val="0"/>
        <w:spacing w:lineRule="auto" w:line="432"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Powell Industries, Inc., headquartered in Houston, designs, manufactures and services custom-engineered equipment and systems for the distribution, control and monitoring of electrical energy. Powell markets include large industrial customers such as utilities, oil and gas producers, refineries, petrochemical plants, pulp and paper producers, mining operations and commuter railways. For more information, please visit powellind.com.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2711</Words>
  <Characters>15113</Characters>
  <CharactersWithSpaces>17681</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