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603250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517525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107315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161290</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18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120015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90170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626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3"/>
              </w:rPr>
              <w:t>Delaware</w:t>
            </w:r>
          </w:p>
        </w:tc>
        <w:tc>
          <w:tcPr>
            <w:tcW w:w="1280" w:type="dxa"/>
            <w:vAlign w:val="bottom"/>
          </w:tcPr>
          <w:p>
            <w:pPr>
              <w:jc w:val="center"/>
              <w:ind w:left="61"/>
              <w:spacing w:after="0"/>
              <w:rPr>
                <w:sz w:val="20"/>
                <w:szCs w:val="20"/>
                <w:color w:val="auto"/>
              </w:rPr>
            </w:pPr>
            <w:r>
              <w:rPr>
                <w:rFonts w:ascii="Arial" w:cs="Arial" w:eastAsia="Arial" w:hAnsi="Arial"/>
                <w:sz w:val="18"/>
                <w:szCs w:val="18"/>
                <w:b w:val="1"/>
                <w:bCs w:val="1"/>
                <w:color w:val="auto"/>
                <w:w w:val="89"/>
              </w:rPr>
              <w:t>88-0106100</w:t>
            </w:r>
          </w:p>
        </w:tc>
      </w:tr>
      <w:tr>
        <w:trPr>
          <w:trHeight w:val="234"/>
        </w:trPr>
        <w:tc>
          <w:tcPr>
            <w:tcW w:w="6260" w:type="dxa"/>
            <w:vAlign w:val="bottom"/>
            <w:gridSpan w:val="3"/>
          </w:tcPr>
          <w:p>
            <w:pPr>
              <w:jc w:val="center"/>
              <w:ind w:right="3900"/>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260" w:type="dxa"/>
            <w:vAlign w:val="bottom"/>
            <w:gridSpan w:val="3"/>
          </w:tcPr>
          <w:p>
            <w:pPr>
              <w:jc w:val="center"/>
              <w:ind w:right="3900"/>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626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89"/>
              </w:rPr>
              <w:t>8550 Mosley Road</w:t>
            </w:r>
          </w:p>
        </w:tc>
        <w:tc>
          <w:tcPr>
            <w:tcW w:w="1280" w:type="dxa"/>
            <w:vAlign w:val="bottom"/>
          </w:tcPr>
          <w:p>
            <w:pPr>
              <w:spacing w:after="0"/>
              <w:rPr>
                <w:sz w:val="20"/>
                <w:szCs w:val="20"/>
                <w:color w:val="auto"/>
              </w:rPr>
            </w:pPr>
          </w:p>
        </w:tc>
      </w:tr>
      <w:tr>
        <w:trPr>
          <w:trHeight w:val="234"/>
        </w:trPr>
        <w:tc>
          <w:tcPr>
            <w:tcW w:w="626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88"/>
              </w:rPr>
              <w:t>Houston, Texas</w:t>
            </w:r>
          </w:p>
        </w:tc>
        <w:tc>
          <w:tcPr>
            <w:tcW w:w="1280" w:type="dxa"/>
            <w:vAlign w:val="bottom"/>
          </w:tcPr>
          <w:p>
            <w:pPr>
              <w:jc w:val="center"/>
              <w:ind w:left="6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260" w:type="dxa"/>
            <w:vAlign w:val="bottom"/>
            <w:gridSpan w:val="3"/>
          </w:tcPr>
          <w:p>
            <w:pPr>
              <w:jc w:val="center"/>
              <w:ind w:right="38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260" w:type="dxa"/>
            <w:vAlign w:val="bottom"/>
            <w:gridSpan w:val="3"/>
          </w:tcPr>
          <w:p>
            <w:pPr>
              <w:jc w:val="center"/>
              <w:ind w:left="185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280" w:type="dxa"/>
            <w:vAlign w:val="bottom"/>
          </w:tcPr>
          <w:p>
            <w:pPr>
              <w:spacing w:after="0"/>
              <w:rPr>
                <w:sz w:val="24"/>
                <w:szCs w:val="24"/>
                <w:color w:val="auto"/>
              </w:rPr>
            </w:pPr>
          </w:p>
        </w:tc>
      </w:tr>
      <w:tr>
        <w:trPr>
          <w:trHeight w:val="234"/>
        </w:trPr>
        <w:tc>
          <w:tcPr>
            <w:tcW w:w="576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(713) 944-6900</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35"/>
        </w:trPr>
        <w:tc>
          <w:tcPr>
            <w:tcW w:w="2460" w:type="dxa"/>
            <w:vAlign w:val="bottom"/>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Title of each class</w:t>
            </w: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Common Stock, par value $0.01 per share</w:t>
            </w: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POWL</w:t>
            </w:r>
          </w:p>
        </w:tc>
        <w:tc>
          <w:tcPr>
            <w:tcW w:w="448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80" w:lineRule="exact"/>
        <w:rPr>
          <w:sz w:val="24"/>
          <w:szCs w:val="24"/>
          <w:color w:val="auto"/>
        </w:rPr>
      </w:pPr>
    </w:p>
    <w:p>
      <w:pPr>
        <w:jc w:val="both"/>
        <w:ind w:firstLine="49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9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9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780" w:type="dxa"/>
            <w:vAlign w:val="bottom"/>
          </w:tcPr>
          <w:p>
            <w:pPr>
              <w:spacing w:after="0"/>
              <w:rPr>
                <w:sz w:val="18"/>
                <w:szCs w:val="18"/>
                <w:color w:val="auto"/>
              </w:rPr>
            </w:pPr>
          </w:p>
        </w:tc>
        <w:tc>
          <w:tcPr>
            <w:tcW w:w="2400" w:type="dxa"/>
            <w:vAlign w:val="bottom"/>
            <w:vMerge w:val="restart"/>
          </w:tcPr>
          <w:p>
            <w:pPr>
              <w:ind w:left="2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Accelerated filer x</w:t>
            </w:r>
          </w:p>
        </w:tc>
        <w:tc>
          <w:tcPr>
            <w:tcW w:w="2400" w:type="dxa"/>
            <w:vAlign w:val="bottom"/>
            <w:vMerge w:val="continue"/>
          </w:tcPr>
          <w:p>
            <w:pPr>
              <w:spacing w:after="0"/>
              <w:rPr>
                <w:sz w:val="24"/>
                <w:szCs w:val="24"/>
                <w:color w:val="auto"/>
              </w:rPr>
            </w:pPr>
          </w:p>
        </w:tc>
        <w:tc>
          <w:tcPr>
            <w:tcW w:w="2140" w:type="dxa"/>
            <w:vAlign w:val="bottom"/>
          </w:tcPr>
          <w:p>
            <w:pPr>
              <w:jc w:val="center"/>
              <w:spacing w:after="0" w:line="207" w:lineRule="exact"/>
              <w:rPr>
                <w:sz w:val="20"/>
                <w:szCs w:val="20"/>
                <w:color w:val="auto"/>
              </w:rPr>
            </w:pPr>
            <w:r>
              <w:rPr>
                <w:rFonts w:ascii="Arial" w:cs="Arial" w:eastAsia="Arial" w:hAnsi="Arial"/>
                <w:sz w:val="18"/>
                <w:szCs w:val="18"/>
                <w:color w:val="auto"/>
                <w:w w:val="95"/>
              </w:rPr>
              <w:t xml:space="preserve">company </w:t>
            </w:r>
            <w:r>
              <w:rPr>
                <w:rFonts w:ascii="MS PGothic" w:cs="MS PGothic" w:eastAsia="MS PGothic" w:hAnsi="MS PGothic"/>
                <w:sz w:val="18"/>
                <w:szCs w:val="18"/>
                <w:color w:val="auto"/>
                <w:w w:val="95"/>
              </w:rPr>
              <w:t>☐</w:t>
            </w:r>
          </w:p>
        </w:tc>
        <w:tc>
          <w:tcPr>
            <w:tcW w:w="1720" w:type="dxa"/>
            <w:vAlign w:val="bottom"/>
          </w:tcPr>
          <w:p>
            <w:pPr>
              <w:jc w:val="center"/>
              <w:ind w:left="370"/>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4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2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May 4, 2020, there were 11,614,013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1016" w:right="339" w:bottom="420" w:gutter="0" w:footer="0" w:header="0"/>
        </w:sect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016" w:right="339" w:bottom="42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988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43"/>
        </w:trPr>
        <w:tc>
          <w:tcPr>
            <w:tcW w:w="1054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6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10540" w:type="dxa"/>
            <w:vAlign w:val="bottom"/>
            <w:gridSpan w:val="2"/>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Condensed Consolidated Financial Statements</w:t>
              </w:r>
            </w:hyperlink>
          </w:p>
        </w:tc>
        <w:tc>
          <w:tcPr>
            <w:tcW w:w="6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6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6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0"/>
        </w:trPr>
        <w:tc>
          <w:tcPr>
            <w:tcW w:w="10540" w:type="dxa"/>
            <w:vAlign w:val="bottom"/>
            <w:gridSpan w:val="2"/>
          </w:tcPr>
          <w:p>
            <w:pPr>
              <w:ind w:left="3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Income (Loss)</w:t>
              </w:r>
            </w:hyperlink>
          </w:p>
        </w:tc>
        <w:tc>
          <w:tcPr>
            <w:tcW w:w="6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tc>
        <w:tc>
          <w:tcPr>
            <w:tcW w:w="6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w:t>
              </w:r>
            </w:hyperlink>
          </w:p>
        </w:tc>
        <w:tc>
          <w:tcPr>
            <w:tcW w:w="6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70"/>
        </w:trPr>
        <w:tc>
          <w:tcPr>
            <w:tcW w:w="10540" w:type="dxa"/>
            <w:vAlign w:val="bottom"/>
            <w:gridSpan w:val="2"/>
          </w:tcPr>
          <w:p>
            <w:pPr>
              <w:ind w:left="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70"/>
        </w:trPr>
        <w:tc>
          <w:tcPr>
            <w:tcW w:w="660" w:type="dxa"/>
            <w:vAlign w:val="bottom"/>
          </w:tcPr>
          <w:p>
            <w:pPr>
              <w:ind w:left="140"/>
              <w:spacing w:after="0"/>
              <w:rPr>
                <w:rFonts w:ascii="Arial" w:cs="Arial" w:eastAsia="Arial" w:hAnsi="Arial"/>
                <w:sz w:val="18"/>
                <w:szCs w:val="18"/>
                <w:u w:val="single" w:color="auto"/>
                <w:color w:val="0000EE"/>
                <w:w w:val="90"/>
              </w:rPr>
            </w:pPr>
            <w:hyperlink w:anchor="page26">
              <w:r>
                <w:rPr>
                  <w:rFonts w:ascii="Arial" w:cs="Arial" w:eastAsia="Arial" w:hAnsi="Arial"/>
                  <w:sz w:val="18"/>
                  <w:szCs w:val="18"/>
                  <w:u w:val="single" w:color="auto"/>
                  <w:color w:val="0000EE"/>
                  <w:w w:val="90"/>
                </w:rPr>
                <w:t>Item 3.</w:t>
              </w:r>
            </w:hyperlink>
          </w:p>
        </w:tc>
        <w:tc>
          <w:tcPr>
            <w:tcW w:w="988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70"/>
        </w:trPr>
        <w:tc>
          <w:tcPr>
            <w:tcW w:w="660" w:type="dxa"/>
            <w:vAlign w:val="bottom"/>
          </w:tcPr>
          <w:p>
            <w:pPr>
              <w:ind w:left="140"/>
              <w:spacing w:after="0"/>
              <w:rPr>
                <w:rFonts w:ascii="Arial" w:cs="Arial" w:eastAsia="Arial" w:hAnsi="Arial"/>
                <w:sz w:val="18"/>
                <w:szCs w:val="18"/>
                <w:u w:val="single" w:color="auto"/>
                <w:color w:val="0000EE"/>
                <w:w w:val="90"/>
              </w:rPr>
            </w:pPr>
            <w:hyperlink w:anchor="page27">
              <w:r>
                <w:rPr>
                  <w:rFonts w:ascii="Arial" w:cs="Arial" w:eastAsia="Arial" w:hAnsi="Arial"/>
                  <w:sz w:val="18"/>
                  <w:szCs w:val="18"/>
                  <w:u w:val="single" w:color="auto"/>
                  <w:color w:val="0000EE"/>
                  <w:w w:val="90"/>
                </w:rPr>
                <w:t>Item 4.</w:t>
              </w:r>
            </w:hyperlink>
          </w:p>
        </w:tc>
        <w:tc>
          <w:tcPr>
            <w:tcW w:w="9880" w:type="dxa"/>
            <w:vAlign w:val="bottom"/>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499"/>
        </w:trPr>
        <w:tc>
          <w:tcPr>
            <w:tcW w:w="10540" w:type="dxa"/>
            <w:vAlign w:val="bottom"/>
            <w:gridSpan w:val="2"/>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Part II — Other Information</w:t>
              </w:r>
            </w:hyperlink>
          </w:p>
        </w:tc>
        <w:tc>
          <w:tcPr>
            <w:tcW w:w="6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70"/>
        </w:trPr>
        <w:tc>
          <w:tcPr>
            <w:tcW w:w="660" w:type="dxa"/>
            <w:vAlign w:val="bottom"/>
          </w:tcPr>
          <w:p>
            <w:pPr>
              <w:ind w:left="140"/>
              <w:spacing w:after="0"/>
              <w:rPr>
                <w:rFonts w:ascii="Arial" w:cs="Arial" w:eastAsia="Arial" w:hAnsi="Arial"/>
                <w:sz w:val="18"/>
                <w:szCs w:val="18"/>
                <w:u w:val="single" w:color="auto"/>
                <w:color w:val="0000EE"/>
                <w:w w:val="90"/>
              </w:rPr>
            </w:pPr>
            <w:hyperlink w:anchor="page28">
              <w:r>
                <w:rPr>
                  <w:rFonts w:ascii="Arial" w:cs="Arial" w:eastAsia="Arial" w:hAnsi="Arial"/>
                  <w:sz w:val="18"/>
                  <w:szCs w:val="18"/>
                  <w:u w:val="single" w:color="auto"/>
                  <w:color w:val="0000EE"/>
                  <w:w w:val="90"/>
                </w:rPr>
                <w:t>Item 1.</w:t>
              </w:r>
            </w:hyperlink>
          </w:p>
        </w:tc>
        <w:tc>
          <w:tcPr>
            <w:tcW w:w="988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70"/>
        </w:trPr>
        <w:tc>
          <w:tcPr>
            <w:tcW w:w="10540" w:type="dxa"/>
            <w:vAlign w:val="bottom"/>
            <w:gridSpan w:val="2"/>
          </w:tcPr>
          <w:p>
            <w:pPr>
              <w:ind w:left="1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1A. Risk Factors</w:t>
              </w:r>
            </w:hyperlink>
          </w:p>
        </w:tc>
        <w:tc>
          <w:tcPr>
            <w:tcW w:w="6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70"/>
        </w:trPr>
        <w:tc>
          <w:tcPr>
            <w:tcW w:w="660" w:type="dxa"/>
            <w:vAlign w:val="bottom"/>
          </w:tcPr>
          <w:p>
            <w:pPr>
              <w:ind w:left="140"/>
              <w:spacing w:after="0"/>
              <w:rPr>
                <w:rFonts w:ascii="Arial" w:cs="Arial" w:eastAsia="Arial" w:hAnsi="Arial"/>
                <w:sz w:val="18"/>
                <w:szCs w:val="18"/>
                <w:u w:val="single" w:color="auto"/>
                <w:color w:val="0000EE"/>
                <w:w w:val="90"/>
              </w:rPr>
            </w:pPr>
            <w:hyperlink w:anchor="page29">
              <w:r>
                <w:rPr>
                  <w:rFonts w:ascii="Arial" w:cs="Arial" w:eastAsia="Arial" w:hAnsi="Arial"/>
                  <w:sz w:val="18"/>
                  <w:szCs w:val="18"/>
                  <w:u w:val="single" w:color="auto"/>
                  <w:color w:val="0000EE"/>
                  <w:w w:val="90"/>
                </w:rPr>
                <w:t>Item 6.</w:t>
              </w:r>
            </w:hyperlink>
          </w:p>
        </w:tc>
        <w:tc>
          <w:tcPr>
            <w:tcW w:w="9880" w:type="dxa"/>
            <w:vAlign w:val="bottom"/>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tc>
        <w:tc>
          <w:tcPr>
            <w:tcW w:w="6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0"/>
        </w:trPr>
        <w:tc>
          <w:tcPr>
            <w:tcW w:w="10540" w:type="dxa"/>
            <w:vAlign w:val="bottom"/>
            <w:gridSpan w:val="2"/>
          </w:tcPr>
          <w:p>
            <w:pPr>
              <w:ind w:left="1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Signatures</w:t>
              </w:r>
            </w:hyperlink>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675"/>
        </w:trPr>
        <w:tc>
          <w:tcPr>
            <w:tcW w:w="660" w:type="dxa"/>
            <w:vAlign w:val="bottom"/>
          </w:tcPr>
          <w:p>
            <w:pPr>
              <w:spacing w:after="0"/>
              <w:rPr>
                <w:sz w:val="24"/>
                <w:szCs w:val="24"/>
                <w:color w:val="auto"/>
              </w:rPr>
            </w:pPr>
          </w:p>
        </w:tc>
        <w:tc>
          <w:tcPr>
            <w:tcW w:w="9880" w:type="dxa"/>
            <w:vAlign w:val="bottom"/>
          </w:tcPr>
          <w:p>
            <w:pPr>
              <w:ind w:left="488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r>
    </w:tbl>
    <w:p>
      <w:pPr>
        <w:sectPr>
          <w:pgSz w:w="11900" w:h="16838" w:orient="portrait"/>
          <w:cols w:equalWidth="0" w:num="1">
            <w:col w:w="11200"/>
          </w:cols>
          <w:pgMar w:left="36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236"/>
        </w:trPr>
        <w:tc>
          <w:tcPr>
            <w:tcW w:w="7780" w:type="dxa"/>
            <w:vAlign w:val="bottom"/>
            <w:tcBorders>
              <w:top w:val="single" w:sz="8" w:color="CCEEFF"/>
              <w:bottom w:val="single" w:sz="8" w:color="CCEEFF"/>
            </w:tcBorders>
            <w:shd w:val="clear" w:color="auto" w:fill="CCEEFF"/>
          </w:tcPr>
          <w:p>
            <w:pPr>
              <w:ind w:left="358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118,639</w:t>
            </w: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less allowance for doubtful accounts of $300 and $301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112,093</w:t>
            </w: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Contract assets</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61,336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55,374</w:t>
            </w: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29,202</w:t>
            </w: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46"/>
        </w:trPr>
        <w:tc>
          <w:tcPr>
            <w:tcW w:w="77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328,568</w:t>
            </w:r>
          </w:p>
        </w:tc>
        <w:tc>
          <w:tcPr>
            <w:tcW w:w="0" w:type="dxa"/>
            <w:vAlign w:val="bottom"/>
          </w:tcPr>
          <w:p>
            <w:pPr>
              <w:spacing w:after="0"/>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115,192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120,812</w:t>
            </w: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11,577</w:t>
            </w:r>
          </w:p>
        </w:tc>
        <w:tc>
          <w:tcPr>
            <w:tcW w:w="0" w:type="dxa"/>
            <w:vAlign w:val="bottom"/>
          </w:tcPr>
          <w:p>
            <w:pPr>
              <w:spacing w:after="0"/>
              <w:rPr>
                <w:sz w:val="1"/>
                <w:szCs w:val="1"/>
                <w:color w:val="auto"/>
              </w:rPr>
            </w:pPr>
          </w:p>
        </w:tc>
      </w:tr>
      <w:tr>
        <w:trPr>
          <w:trHeight w:val="47"/>
        </w:trPr>
        <w:tc>
          <w:tcPr>
            <w:tcW w:w="77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467,411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1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51,180</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57,821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71,464</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20,182</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Accrued product warranty</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2,946</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10,811</w:t>
            </w:r>
          </w:p>
        </w:tc>
        <w:tc>
          <w:tcPr>
            <w:tcW w:w="0" w:type="dxa"/>
            <w:vAlign w:val="bottom"/>
          </w:tcPr>
          <w:p>
            <w:pPr>
              <w:spacing w:after="0"/>
              <w:rPr>
                <w:sz w:val="1"/>
                <w:szCs w:val="1"/>
                <w:color w:val="auto"/>
              </w:rPr>
            </w:pP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132,996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157,896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6,447</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47"/>
        </w:trPr>
        <w:tc>
          <w:tcPr>
            <w:tcW w:w="77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168,258</w:t>
            </w:r>
          </w:p>
        </w:tc>
        <w:tc>
          <w:tcPr>
            <w:tcW w:w="0" w:type="dxa"/>
            <w:vAlign w:val="bottom"/>
          </w:tcPr>
          <w:p>
            <w:pPr>
              <w:spacing w:after="0"/>
              <w:rPr>
                <w:sz w:val="1"/>
                <w:szCs w:val="1"/>
                <w:color w:val="auto"/>
              </w:rPr>
            </w:pPr>
          </w:p>
        </w:tc>
      </w:tr>
      <w:tr>
        <w:trPr>
          <w:trHeight w:val="203"/>
        </w:trPr>
        <w:tc>
          <w:tcPr>
            <w:tcW w:w="7780" w:type="dxa"/>
            <w:vAlign w:val="bottom"/>
          </w:tcPr>
          <w:p>
            <w:pPr>
              <w:ind w:left="40"/>
              <w:spacing w:after="0"/>
              <w:rPr>
                <w:sz w:val="20"/>
                <w:szCs w:val="20"/>
                <w:color w:val="auto"/>
              </w:rPr>
            </w:pPr>
            <w:r>
              <w:rPr>
                <w:rFonts w:ascii="Arial" w:cs="Arial" w:eastAsia="Arial" w:hAnsi="Arial"/>
                <w:sz w:val="16"/>
                <w:szCs w:val="16"/>
                <w:color w:val="auto"/>
              </w:rPr>
              <w:t>Commitments and Contingencies (Note F)</w:t>
            </w: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Common stock, par value $.01; 30,000,000 shares authorized; 12,420,031 and 12,372,766 shares issued,</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60,492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59,153</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289,422</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Treasury stock, 806,018 shares at cost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(24,547)</w:t>
            </w:r>
          </w:p>
        </w:tc>
        <w:tc>
          <w:tcPr>
            <w:tcW w:w="0" w:type="dxa"/>
            <w:vAlign w:val="bottom"/>
          </w:tcPr>
          <w:p>
            <w:pPr>
              <w:spacing w:after="0"/>
              <w:rPr>
                <w:sz w:val="1"/>
                <w:szCs w:val="1"/>
                <w:color w:val="auto"/>
              </w:rPr>
            </w:pP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300,131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299,153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467,411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553" w:right="339" w:bottom="110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553" w:right="339" w:bottom="1108"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4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123,737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233,088</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103,662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234,209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198,382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20,075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34,706</w:t>
            </w: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17,195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33,123</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1,663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7,421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11,632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11,673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Dividends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3" w:right="339" w:bottom="1440" w:gutter="0" w:footer="0" w:header="0"/>
        </w:sectPr>
      </w:pPr>
    </w:p>
    <w:bookmarkStart w:id="4" w:name="page5"/>
    <w:bookmarkEnd w:id="4"/>
    <w:p>
      <w:pPr>
        <w:jc w:val="center"/>
        <w:ind w:left="340" w:right="244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49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(6,916)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1,720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7"/>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2,678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5" w:name="page6"/>
    <w:bookmarkEnd w:id="5"/>
    <w:p>
      <w:pPr>
        <w:jc w:val="center"/>
        <w:ind w:right="2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Income/(Loss)</w:t>
            </w:r>
          </w:p>
        </w:tc>
        <w:tc>
          <w:tcPr>
            <w:tcW w:w="180" w:type="dxa"/>
            <w:vAlign w:val="bottom"/>
          </w:tcPr>
          <w:p>
            <w:pPr>
              <w:spacing w:after="0"/>
              <w:rPr>
                <w:sz w:val="22"/>
                <w:szCs w:val="22"/>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September 30,</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289,422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299,153</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(3,013)</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Balance, December 31,</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12,403</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5"/>
              </w:rPr>
              <w:t>124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59,524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289,184</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(22,160)</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301,673</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7,421</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170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(3,015)</w:t>
            </w: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248"/>
        </w:trPr>
        <w:tc>
          <w:tcPr>
            <w:tcW w:w="1700" w:type="dxa"/>
            <w:vAlign w:val="bottom"/>
          </w:tcPr>
          <w:p>
            <w:pPr>
              <w:ind w:left="20"/>
              <w:spacing w:after="0"/>
              <w:rPr>
                <w:sz w:val="20"/>
                <w:szCs w:val="20"/>
                <w:color w:val="auto"/>
              </w:rPr>
            </w:pPr>
            <w:r>
              <w:rPr>
                <w:rFonts w:ascii="Arial" w:cs="Arial" w:eastAsia="Arial" w:hAnsi="Arial"/>
                <w:sz w:val="14"/>
                <w:szCs w:val="14"/>
                <w:color w:val="auto"/>
              </w:rPr>
              <w:t>Balance, March 31, 2020</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293,590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300,131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Income/(Loss)</w:t>
            </w:r>
          </w:p>
        </w:tc>
        <w:tc>
          <w:tcPr>
            <w:tcW w:w="180" w:type="dxa"/>
            <w:vAlign w:val="bottom"/>
          </w:tcPr>
          <w:p>
            <w:pPr>
              <w:spacing w:after="0"/>
              <w:rPr>
                <w:sz w:val="22"/>
                <w:szCs w:val="22"/>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September 30,</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291,530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301,644</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(2,992)</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Balance, December 31,</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12,322</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5"/>
              </w:rPr>
              <w:t>123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57,258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285,843</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(25,867)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292,358</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Issuance of restricted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stock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Balance, March 31, 2019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12,353</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57,511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283,805</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(24,147)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292,294</w:t>
            </w: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180"/>
          </w:cols>
          <w:pgMar w:left="1360" w:top="553" w:right="1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180"/>
          </w:cols>
          <w:pgMar w:left="1360" w:top="553" w:right="13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Six months ended March 31,</w:t>
            </w:r>
          </w:p>
        </w:tc>
        <w:tc>
          <w:tcPr>
            <w:tcW w:w="126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2019</w:t>
            </w: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280" w:type="dxa"/>
            <w:vAlign w:val="bottom"/>
          </w:tcPr>
          <w:p>
            <w:pPr>
              <w:jc w:val="right"/>
              <w:ind w:right="107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(1,737)</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Adjustments to reconcile net income (loss) to 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6,460</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Bad debt expense</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12,716</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Contract assets and liabilities, net</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(19,614)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19,663</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6,198</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(7,080)</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7"/>
        </w:trPr>
        <w:tc>
          <w:tcPr>
            <w:tcW w:w="6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26,047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w:t>
            </w:r>
          </w:p>
        </w:tc>
        <w:tc>
          <w:tcPr>
            <w:tcW w:w="1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Maturities of short-term investments</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13,088</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 net</w:t>
            </w:r>
          </w:p>
        </w:tc>
        <w:tc>
          <w:tcPr>
            <w:tcW w:w="1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r>
      <w:tr>
        <w:trPr>
          <w:trHeight w:val="237"/>
        </w:trPr>
        <w:tc>
          <w:tcPr>
            <w:tcW w:w="6860" w:type="dxa"/>
            <w:vAlign w:val="bottom"/>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1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5,256</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(5,988)</w:t>
            </w:r>
          </w:p>
        </w:tc>
      </w:tr>
      <w:tr>
        <w:trPr>
          <w:trHeight w:val="27"/>
        </w:trPr>
        <w:tc>
          <w:tcPr>
            <w:tcW w:w="6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23,768</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118,639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61,725</w:t>
            </w:r>
          </w:p>
        </w:tc>
      </w:tr>
      <w:tr>
        <w:trPr>
          <w:trHeight w:val="27"/>
        </w:trPr>
        <w:tc>
          <w:tcPr>
            <w:tcW w:w="6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120,571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85,002</w:t>
            </w: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Overview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light rail traction power and other heavy industrial markets.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2019, which was filed with the Securities and Exchange Commission (SEC) on December 5,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References to Fiscal 2020 and Fiscal 2019 used throughout this report shall mean our fiscal years ended September 30, 2020 and 2019,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accounting principles generally accepted in the United States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October 1, 2019, we adopted the new lease accounting standard and recorded operating lease assets and operating lease liabilities of approximately $7.0 million and determined that no adjustment to retained earnings was necessary. Financial results for reporting periods after October 1, 2019 are reported under the new standard; however financial results for prior periods were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not adjusted and will continue to be presented in accordance with the previous standard. Upon adoption, we elected a package of practical expedients which, among other things, allowed for the historical classification of our existing leases to carryforward. Additionally, we elected to separate non-lease components for our real estate and IT infrastructure asset classes. All other asset classes account for both lease and non-lease components in the operating lease asset and operating lease liability calculations. See Note I for further discussion of leases.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(in thousands, except per share data):</w:t>
      </w:r>
    </w:p>
    <w:p>
      <w:pPr>
        <w:sectPr>
          <w:pgSz w:w="11900" w:h="16838" w:orient="portrait"/>
          <w:cols w:equalWidth="0" w:num="1">
            <w:col w:w="11240"/>
          </w:cols>
          <w:pgMar w:left="320" w:top="719" w:right="339" w:bottom="1440" w:gutter="0" w:footer="0" w:header="0"/>
        </w:sectPr>
      </w:pPr>
    </w:p>
    <w:p>
      <w:pPr>
        <w:spacing w:after="0" w:line="175"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31115</wp:posOffset>
            </wp:positionV>
            <wp:extent cx="2074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4" w:lineRule="exact"/>
        <w:rPr>
          <w:sz w:val="20"/>
          <w:szCs w:val="20"/>
          <w:color w:val="auto"/>
        </w:rPr>
      </w:pPr>
    </w:p>
    <w:p>
      <w:pPr>
        <w:ind w:left="5280"/>
        <w:spacing w:after="0"/>
        <w:tabs>
          <w:tab w:leader="none" w:pos="69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Six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888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14" w:lineRule="exact"/>
        <w:rPr>
          <w:sz w:val="20"/>
          <w:szCs w:val="20"/>
          <w:color w:val="auto"/>
        </w:rPr>
      </w:pPr>
    </w:p>
    <w:p>
      <w:pPr>
        <w:spacing w:after="0"/>
        <w:tabs>
          <w:tab w:leader="none" w:pos="160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86" w:lineRule="exact"/>
        <w:rPr>
          <w:sz w:val="20"/>
          <w:szCs w:val="20"/>
          <w:color w:val="auto"/>
        </w:rPr>
      </w:pPr>
    </w:p>
    <w:p>
      <w:pPr>
        <w:sectPr>
          <w:pgSz w:w="11900" w:h="16838" w:orient="portrait"/>
          <w:cols w:equalWidth="0" w:num="2">
            <w:col w:w="7980" w:space="720"/>
            <w:col w:w="2540"/>
          </w:cols>
          <w:pgMar w:left="320" w:top="719" w:right="33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10,196</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11,570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11,617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11,560</w:t>
            </w: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diluted shares</w:t>
            </w:r>
          </w:p>
        </w:tc>
        <w:tc>
          <w:tcPr>
            <w:tcW w:w="5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11,632</w:t>
            </w:r>
          </w:p>
        </w:tc>
        <w:tc>
          <w:tcPr>
            <w:tcW w:w="2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11,673</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11,560</w:t>
            </w: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(loss) per share:</w:t>
            </w: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303"/>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4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March 31, 2019, we incurred a net loss and therefore all potential common shares were deemed to be anti-dilutive.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1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C. Detail of Selected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49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980" w:type="dxa"/>
            <w:vAlign w:val="bottom"/>
            <w:tcBorders>
              <w:bottom w:val="single" w:sz="8" w:color="CFF0FC"/>
            </w:tcBorders>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157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w:t>
            </w: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9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214</w:t>
            </w:r>
          </w:p>
        </w:tc>
      </w:tr>
      <w:tr>
        <w:trPr>
          <w:trHeight w:val="20"/>
        </w:trPr>
        <w:tc>
          <w:tcPr>
            <w:tcW w:w="4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CFF0FC"/>
            </w:tcBorders>
          </w:tcPr>
          <w:p>
            <w:pPr>
              <w:spacing w:after="0"/>
              <w:rPr>
                <w:sz w:val="16"/>
                <w:szCs w:val="16"/>
                <w:color w:val="auto"/>
              </w:rPr>
            </w:pPr>
          </w:p>
        </w:tc>
        <w:tc>
          <w:tcPr>
            <w:tcW w:w="92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March 31, 2020</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9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83"/>
              </w:rPr>
              <w:t>30,512</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28,102</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FF0FC"/>
            </w:tcBorders>
          </w:tcPr>
          <w:p>
            <w:pPr>
              <w:spacing w:after="0"/>
              <w:rPr>
                <w:sz w:val="2"/>
                <w:szCs w:val="2"/>
                <w:color w:val="auto"/>
              </w:rPr>
            </w:pPr>
          </w:p>
        </w:tc>
        <w:tc>
          <w:tcPr>
            <w:tcW w:w="92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9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83"/>
              </w:rPr>
              <w:t>31,136</w:t>
            </w: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Accrued Product Warranty</w:t>
            </w:r>
          </w:p>
        </w:tc>
        <w:tc>
          <w:tcPr>
            <w:tcW w:w="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5"/>
          </w:tcPr>
          <w:p>
            <w:pPr>
              <w:spacing w:after="0"/>
              <w:rPr>
                <w:sz w:val="20"/>
                <w:szCs w:val="20"/>
                <w:color w:val="auto"/>
              </w:rPr>
            </w:pPr>
            <w:r>
              <w:rPr>
                <w:rFonts w:ascii="Arial" w:cs="Arial" w:eastAsia="Arial" w:hAnsi="Arial"/>
                <w:sz w:val="18"/>
                <w:szCs w:val="18"/>
                <w:color w:val="auto"/>
              </w:rPr>
              <w:t>Activity in our product warranty accrual consisted of the following (in thousands):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60" w:type="dxa"/>
            <w:vAlign w:val="bottom"/>
          </w:tcPr>
          <w:p>
            <w:pPr>
              <w:spacing w:after="0"/>
              <w:rPr>
                <w:sz w:val="24"/>
                <w:szCs w:val="24"/>
                <w:color w:val="auto"/>
              </w:rPr>
            </w:pPr>
          </w:p>
        </w:tc>
        <w:tc>
          <w:tcPr>
            <w:tcW w:w="3000" w:type="dxa"/>
            <w:vAlign w:val="bottom"/>
            <w:tcBorders>
              <w:bottom w:val="single" w:sz="8" w:color="auto"/>
            </w:tcBorders>
            <w:gridSpan w:val="6"/>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w w:val="97"/>
              </w:rPr>
              <w:t>Six months ended March 31,</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FF0FC"/>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3"/>
              </w:rPr>
              <w:t>3,162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2,732</w:t>
            </w:r>
          </w:p>
        </w:tc>
        <w:tc>
          <w:tcPr>
            <w:tcW w:w="600" w:type="dxa"/>
            <w:vAlign w:val="bottom"/>
            <w:tcBorders>
              <w:bottom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Increase in warranty expense</w:t>
            </w:r>
          </w:p>
        </w:tc>
        <w:tc>
          <w:tcPr>
            <w:tcW w:w="920" w:type="dxa"/>
            <w:vAlign w:val="bottom"/>
          </w:tcPr>
          <w:p>
            <w:pPr>
              <w:spacing w:after="0"/>
              <w:rPr>
                <w:sz w:val="21"/>
                <w:szCs w:val="21"/>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9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3"/>
              </w:rPr>
              <w:t>3,276</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revenues are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w:t>
      </w:r>
    </w:p>
    <w:p>
      <w:pPr>
        <w:sectPr>
          <w:pgSz w:w="11900" w:h="16838" w:orient="portrait"/>
          <w:cols w:equalWidth="0" w:num="1">
            <w:col w:w="11240"/>
          </w:cols>
          <w:pgMar w:left="320" w:top="55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553" w:right="339" w:bottom="1440" w:gutter="0" w:footer="0" w:header="0"/>
          <w:type w:val="continuous"/>
        </w:sectPr>
      </w:pPr>
    </w:p>
    <w:bookmarkStart w:id="10" w:name="page11"/>
    <w:bookmarkEnd w:id="10"/>
    <w:p>
      <w:pPr>
        <w:jc w:val="both"/>
        <w:spacing w:after="0" w:line="311" w:lineRule="auto"/>
        <w:rPr>
          <w:sz w:val="20"/>
          <w:szCs w:val="20"/>
          <w:color w:val="auto"/>
        </w:rPr>
      </w:pPr>
      <w:r>
        <w:rPr>
          <w:rFonts w:ascii="Arial" w:cs="Arial" w:eastAsia="Arial" w:hAnsi="Arial"/>
          <w:sz w:val="16"/>
          <w:szCs w:val="16"/>
          <w:color w:val="auto"/>
        </w:rPr>
        <w:t>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96% of total revenues for the three and six months ended March 31, 2020 and 93% of total revenues for the three and six months ended March 31, 2019.</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4% of total revenues for the three and six months ended March 31, 2020 and 7% of total revenues for the three and six months ended March 31, 2019.</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generally include a standard assurance warranty that typically ends 18 months after shipment.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Remaining unsatisfied performance obligations, which we refer to as backlog, represent the estimated transaction price for goods and services for which we have a material right but work has not been performed. As of March 31, 2020, we had backlog of $566.4 million, of which approximately $342.9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March 31, 2020 and 2019, our operating results were positively impacted by $9.0 million and $4.3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other changes in facts and circumstances during these periods.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1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Modifications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timing of revenue recognition, billings and cash collections affects accounts receivable, costs and estimated earnings in excess of billings on uncompleted contracts (contract assets) and billings in excess of costs and estimated earnings on uncompleted contracts (contract liabilities) in our Condensed Consolidated Balance Sheet.</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29"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as of March 31, 2020 and September 30, 2019 are summarized below (in thousands):</w:t>
      </w:r>
    </w:p>
    <w:p>
      <w:pPr>
        <w:spacing w:after="0" w:line="36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September 30, 2019</w:t>
            </w:r>
          </w:p>
        </w:tc>
      </w:tr>
      <w:tr>
        <w:trPr>
          <w:trHeight w:val="250"/>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61,336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55,374</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(57,821)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(71,464)</w:t>
            </w:r>
          </w:p>
        </w:tc>
      </w:tr>
      <w:tr>
        <w:trPr>
          <w:trHeight w:val="27"/>
        </w:trPr>
        <w:tc>
          <w:tcPr>
            <w:tcW w:w="7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 (liability)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3,515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r>
      <w:tr>
        <w:trPr>
          <w:trHeight w:val="20"/>
        </w:trPr>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net contract asset at March 31, 2020 from September 30, 2019 was primarily due to our progress towards completion on our projects and the timing of contract billing milestones and new orders. To determine the amount of revenue recognized during the period from contract liabilities, we first allocate revenue to the individual contract liability balance outstanding at the beginning of the period until the revenue exceeds that balance. During the three and six months ended March 31, 2020, we recognized revenue of approximately $50.8 million and $65.0 million related to contract liabilities outstanding at September 30, 2019.</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contain retention provisions that become due upon completion of contractual requirements. As of March 31, 2020 and September 30, 2019, accounts receivable included retention amounts of $6.0 million and $5.6 million, respectively. Of the retained amount at March 31, 2020, $3.7 million is expected to be collected in the next twelve months and is recorded in accounts receivable. The remaining $2.3 million is recorded in other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3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present our disaggregated revenue by geographic destination and market sector for the six months ended March 31, 2020 and 2019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532"/>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102,406</w:t>
            </w:r>
          </w:p>
        </w:tc>
        <w:tc>
          <w:tcPr>
            <w:tcW w:w="6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228,510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192,304</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29,861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24,809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Middle East and Africa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10,949</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Central and South America</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57"/>
        </w:trPr>
        <w:tc>
          <w:tcPr>
            <w:tcW w:w="4960" w:type="dxa"/>
            <w:vAlign w:val="bottom"/>
          </w:tcPr>
          <w:p>
            <w:pPr>
              <w:ind w:left="260"/>
              <w:spacing w:after="0"/>
              <w:rPr>
                <w:sz w:val="20"/>
                <w:szCs w:val="20"/>
                <w:color w:val="auto"/>
              </w:rPr>
            </w:pPr>
            <w:r>
              <w:rPr>
                <w:rFonts w:ascii="Arial" w:cs="Arial" w:eastAsia="Arial" w:hAnsi="Arial"/>
                <w:sz w:val="18"/>
                <w:szCs w:val="18"/>
                <w:color w:val="auto"/>
              </w:rPr>
              <w:t>Total revenues by geographic destination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151,570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123,737</w:t>
            </w: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285,720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233,088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532"/>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111,948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105,598</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Petrochemical</w:t>
            </w: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47,337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22,523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77,763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42,301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 utility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47,270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39,641</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Traction power</w:t>
            </w: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22,295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11,034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18,784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26,444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57"/>
        </w:trPr>
        <w:tc>
          <w:tcPr>
            <w:tcW w:w="4960" w:type="dxa"/>
            <w:vAlign w:val="bottom"/>
          </w:tcPr>
          <w:p>
            <w:pPr>
              <w:ind w:left="260"/>
              <w:spacing w:after="0"/>
              <w:rPr>
                <w:sz w:val="20"/>
                <w:szCs w:val="20"/>
                <w:color w:val="auto"/>
              </w:rPr>
            </w:pPr>
            <w:r>
              <w:rPr>
                <w:rFonts w:ascii="Arial" w:cs="Arial" w:eastAsia="Arial" w:hAnsi="Arial"/>
                <w:sz w:val="18"/>
                <w:szCs w:val="18"/>
                <w:color w:val="auto"/>
              </w:rPr>
              <w:t>Total revenues by market sector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151,570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123,737</w:t>
            </w: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285,720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233,088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E. Long-Term Debt</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96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1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8"/>
              </w:rPr>
              <w:t>March 31, 2020</w:t>
            </w: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11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6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27, 2019, we entered into an Amended and Restated Credit Agreement with Bank of America, N.A. (the " "U.S. Revolver"), which replaced our prior credit agreement. The U.S. Revolver is a $75.0 million revolving credit facility that is available for both borrowings and letters of credit and expires September 2024. As of March 31, 2020, there were no amounts borrowed under this facility and letters of credit outstanding were $35.1 million. There was $39.9 million available for the issuance of letters of credit and borrowings under the U.S. Revolver as of March 31, 2020.</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maintain certain financial covenants, the most significant of which are a consolidated leverage ratio less than 3.0 to 1.0 and a consolidated interest coverage ratio of greater than 3.0 to 1.0. Additionally, we must maintain a consolidated cash balance of $30 million at all times. The U.S. Revolver also contains a "material adverse effect" clause which is a material change in our operations, business, properties, liabilities or condition (financial or otherwise) or a material impairment of our ability to perform our obligations under our credit agreements. As of March 31, 2020, we were in compliance with all of the financial covenants of the U.S. Revolver.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allows the Company to elect that any borrowing under the facility bear an interest rate based on either the base rate or the eurocurrency rate, in each case, plus the applicable rate. The base rate is generally the highest of (a) the federal funds rate plus 0.50%, (b) the Bank of America prime rate or (c) the London Interbank Offered Rate ("LIBOR") plus 1.00%. The applicable rate is generally a range from (0.25)% to 1.75% depending on the type of loan and the Company's consolidated leverage ratio.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73" w:right="339" w:bottom="1440" w:gutter="0" w:footer="0" w:header="0"/>
        </w:sectPr>
      </w:pPr>
    </w:p>
    <w:bookmarkStart w:id="13" w:name="page14"/>
    <w:bookmarkEnd w:id="13"/>
    <w:p>
      <w:pPr>
        <w:jc w:val="both"/>
        <w:spacing w:after="0" w:line="301" w:lineRule="auto"/>
        <w:rPr>
          <w:sz w:val="20"/>
          <w:szCs w:val="20"/>
          <w:color w:val="auto"/>
        </w:rPr>
      </w:pPr>
      <w:r>
        <w:rPr>
          <w:rFonts w:ascii="Arial" w:cs="Arial" w:eastAsia="Arial" w:hAnsi="Arial"/>
          <w:sz w:val="16"/>
          <w:szCs w:val="16"/>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March 31, 2020. While the Bonds mature in 2021, the reimbursement agreement requires annual redemptions of $0.4 million that commenced on October 25, 2002. A sinking fund is used for the annual principal payment. The Bonds bear interest at a floating rate determined weekly by the Bonds’ remarketing agent, which was the underwriter for the Bonds and is an affiliate of the bank. This interest rate was 5.08% as of March 31, 2020 and subsequently declined to 0.57% as of April 30, 2020.</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Surety Bonds and Bank Guarantees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$35.1 million as of March 31, 2020. We also had surety bonds totaling $162.8 million that were outstanding, with additional bonding capacity of $587.2 million available, at March 31, 2020.</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$11.1 million facility agreement (Facility Agreement) between Powell (UK) Limited and a large international bank that provides Powell (UK) Limited the ability to enter into bank guarantees as well as forward exchange contracts and currency options. At March 31, 2020, we had outstanding guarantees totaling $3.1 million and amounts available under this Facility Agreement were $8.0 million. The Facility Agreement expires in May 2020 and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As of March 31, 2020, we were in compliance with all of the financial covenants of the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 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our Annual Report on Form 10-K for the fiscal year ended September 30, 2019 for a full description of our existing stock-based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issue restricted stock units (RSUs) to certain officers and key employees of the Company. The fair value of the RSUs is based on the price of our common stock as reported on the NASDAQ Global Market on the grant dates. The typical annual grant vests over a three-year period from the date of issuance and is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March 31, 2020, there were 154,200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Total RSU activity (number of shares) for the six months ended March 31, 2020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r>
      <w:tr>
        <w:trPr>
          <w:trHeight w:val="148"/>
        </w:trPr>
        <w:tc>
          <w:tcPr>
            <w:tcW w:w="8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8"/>
        </w:trPr>
        <w:tc>
          <w:tcPr>
            <w:tcW w:w="8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Fair Value</w:t>
            </w:r>
          </w:p>
        </w:tc>
      </w:tr>
      <w:tr>
        <w:trPr>
          <w:trHeight w:val="192"/>
        </w:trPr>
        <w:tc>
          <w:tcPr>
            <w:tcW w:w="836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50"/>
        </w:trPr>
        <w:tc>
          <w:tcPr>
            <w:tcW w:w="83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2019</w:t>
            </w:r>
          </w:p>
        </w:tc>
        <w:tc>
          <w:tcPr>
            <w:tcW w:w="134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131,850</w:t>
            </w: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33.76</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38.57</w:t>
            </w:r>
          </w:p>
        </w:tc>
      </w:tr>
      <w:tr>
        <w:trPr>
          <w:trHeight w:val="27"/>
        </w:trPr>
        <w:tc>
          <w:tcPr>
            <w:tcW w:w="8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(46,900)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35.65</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33.16</w:t>
            </w:r>
          </w:p>
        </w:tc>
      </w:tr>
      <w:tr>
        <w:trPr>
          <w:trHeight w:val="27"/>
        </w:trPr>
        <w:tc>
          <w:tcPr>
            <w:tcW w:w="83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r>
      <w:tr>
        <w:trPr>
          <w:trHeight w:val="257"/>
        </w:trPr>
        <w:tc>
          <w:tcPr>
            <w:tcW w:w="83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March 31, 2020</w:t>
            </w:r>
          </w:p>
        </w:tc>
        <w:tc>
          <w:tcPr>
            <w:tcW w:w="13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154,200</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35.37</w:t>
            </w:r>
          </w:p>
        </w:tc>
      </w:tr>
      <w:tr>
        <w:trPr>
          <w:trHeight w:val="20"/>
        </w:trPr>
        <w:tc>
          <w:tcPr>
            <w:tcW w:w="8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March 31, 2020 and 2019, we recorded compensation expense of $1.5 million and $1.6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In February 2020, 16,800 shares of restricted stock were issued to our non-employee directors under the 2014 Director Plan at a price of $36.25 per share. During the six months ended March 31, 2020 and 2019, we recorded compensation expense of $0.4 million and $0.3 million, respectively, related to restricted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Measurements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March 31, 2020 (in thousands):</w:t>
      </w:r>
    </w:p>
    <w:p>
      <w:pPr>
        <w:spacing w:after="0" w:line="200" w:lineRule="exact"/>
        <w:rPr>
          <w:sz w:val="20"/>
          <w:szCs w:val="20"/>
          <w:color w:val="auto"/>
        </w:rPr>
      </w:pPr>
    </w:p>
    <w:p>
      <w:pPr>
        <w:spacing w:after="0" w:line="218"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Significant Other</w:t>
            </w:r>
          </w:p>
        </w:tc>
        <w:tc>
          <w:tcPr>
            <w:tcW w:w="16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Significant</w:t>
            </w:r>
          </w:p>
        </w:tc>
        <w:tc>
          <w:tcPr>
            <w:tcW w:w="13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7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6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6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120,571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120,571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5,484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2019 (in thousands):</w:t>
      </w:r>
    </w:p>
    <w:p>
      <w:pPr>
        <w:spacing w:after="0" w:line="175"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Fair Value Measurements at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Significant Other</w:t>
            </w: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Significant</w:t>
            </w:r>
          </w:p>
        </w:tc>
        <w:tc>
          <w:tcPr>
            <w:tcW w:w="134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7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6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118,639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66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118,639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Assets/Deferred Compensation </w:t>
      </w:r>
      <w:r>
        <w:rPr>
          <w:rFonts w:ascii="Arial" w:cs="Arial" w:eastAsia="Arial" w:hAnsi="Arial"/>
          <w:sz w:val="18"/>
          <w:szCs w:val="18"/>
          <w:color w:val="auto"/>
        </w:rPr>
        <w:t>– We hold investments in an irrevocable Rabbi Trust for our deferred compensation plan. The assets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March 31,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7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leases consist primarily of office and manufacturing space, construction equipment and office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three months ended March 31, 2020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Three months ended March</w:t>
            </w: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Six months ended March</w:t>
            </w:r>
          </w:p>
        </w:tc>
      </w:tr>
      <w:tr>
        <w:trPr>
          <w:trHeight w:val="234"/>
        </w:trPr>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Lease Cost</w:t>
            </w:r>
          </w:p>
        </w:tc>
        <w:tc>
          <w:tcPr>
            <w:tcW w:w="480" w:type="dxa"/>
            <w:vAlign w:val="bottom"/>
          </w:tcPr>
          <w:p>
            <w:pPr>
              <w:spacing w:after="0"/>
              <w:rPr>
                <w:sz w:val="20"/>
                <w:szCs w:val="20"/>
                <w:color w:val="auto"/>
              </w:rPr>
            </w:pPr>
          </w:p>
        </w:tc>
        <w:tc>
          <w:tcPr>
            <w:tcW w:w="1780" w:type="dxa"/>
            <w:vAlign w:val="bottom"/>
          </w:tcPr>
          <w:p>
            <w:pPr>
              <w:jc w:val="right"/>
              <w:ind w:right="730"/>
              <w:spacing w:after="0"/>
              <w:rPr>
                <w:sz w:val="20"/>
                <w:szCs w:val="20"/>
                <w:color w:val="auto"/>
              </w:rPr>
            </w:pPr>
            <w:r>
              <w:rPr>
                <w:rFonts w:ascii="Arial" w:cs="Arial" w:eastAsia="Arial" w:hAnsi="Arial"/>
                <w:sz w:val="18"/>
                <w:szCs w:val="18"/>
                <w:b w:val="1"/>
                <w:bCs w:val="1"/>
                <w:color w:val="auto"/>
              </w:rPr>
              <w:t>31, 2020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jc w:val="right"/>
              <w:ind w:right="710"/>
              <w:spacing w:after="0"/>
              <w:rPr>
                <w:sz w:val="20"/>
                <w:szCs w:val="20"/>
                <w:color w:val="auto"/>
              </w:rPr>
            </w:pPr>
            <w:r>
              <w:rPr>
                <w:rFonts w:ascii="Arial" w:cs="Arial" w:eastAsia="Arial" w:hAnsi="Arial"/>
                <w:sz w:val="18"/>
                <w:szCs w:val="18"/>
                <w:b w:val="1"/>
                <w:bCs w:val="1"/>
                <w:color w:val="auto"/>
              </w:rPr>
              <w:t>31, 2020</w:t>
            </w:r>
          </w:p>
        </w:tc>
      </w:tr>
      <w:tr>
        <w:trPr>
          <w:trHeight w:val="27"/>
        </w:trPr>
        <w:tc>
          <w:tcPr>
            <w:tcW w:w="6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r>
      <w:tr>
        <w:trPr>
          <w:trHeight w:val="243"/>
        </w:trPr>
        <w:tc>
          <w:tcPr>
            <w:tcW w:w="6640" w:type="dxa"/>
            <w:vAlign w:val="bottom"/>
            <w:gridSpan w:val="2"/>
          </w:tcPr>
          <w:p>
            <w:pPr>
              <w:ind w:left="260"/>
              <w:spacing w:after="0"/>
              <w:rPr>
                <w:sz w:val="20"/>
                <w:szCs w:val="20"/>
                <w:color w:val="auto"/>
              </w:rPr>
            </w:pPr>
            <w:r>
              <w:rPr>
                <w:rFonts w:ascii="Arial" w:cs="Arial" w:eastAsia="Arial" w:hAnsi="Arial"/>
                <w:sz w:val="18"/>
                <w:szCs w:val="18"/>
                <w:color w:val="auto"/>
              </w:rPr>
              <w:t>Less: sublease income</w:t>
            </w: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5"/>
                <w:szCs w:val="25"/>
                <w:color w:val="auto"/>
                <w:vertAlign w:val="superscript"/>
              </w:rPr>
              <w:t>(1)</w:t>
            </w:r>
          </w:p>
        </w:tc>
        <w:tc>
          <w:tcPr>
            <w:tcW w:w="4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70"/>
        </w:trPr>
        <w:tc>
          <w:tcPr>
            <w:tcW w:w="66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5"/>
                <w:szCs w:val="25"/>
                <w:color w:val="auto"/>
                <w:vertAlign w:val="superscript"/>
              </w:rPr>
              <w:t>(2)</w:t>
            </w:r>
          </w:p>
        </w:tc>
        <w:tc>
          <w:tcPr>
            <w:tcW w:w="4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r>
      <w:tr>
        <w:trPr>
          <w:trHeight w:val="20"/>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Variable lease cost represents common area maintenance charges related to our Canadian office space leases.</w:t>
      </w:r>
    </w:p>
    <w:p>
      <w:pPr>
        <w:spacing w:after="0" w:line="1"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Short-term lease cost includes leases and rentals with initial terms of one year or less.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Our operating lease assets have been reduced by a lease accrual of $0.7 million related to certain unused facility leases in Canada. The following table provides a summary of the operating lease assets and operating lease liabilities included in our Condensed Consolidated Balance Sheets as of March 31, 2020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7"/>
        </w:trPr>
        <w:tc>
          <w:tcPr>
            <w:tcW w:w="8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0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Operating lease assets,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311"/>
        </w:trPr>
        <w:tc>
          <w:tcPr>
            <w:tcW w:w="8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7"/>
        </w:trPr>
        <w:tc>
          <w:tcPr>
            <w:tcW w:w="8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the maturities of our operating lease liabilities as of March 31, 2020 (in thousands):</w:t>
            </w: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Operating Leases</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Less: present value discount (imputed interest)</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discount rate as of March 31, 2020 was 4.25%. The weighted average remaining lease term was 2.9 years at March 31, 2020.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32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8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474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w w:val="89"/>
              </w:rPr>
              <w:t>2020</w:t>
            </w:r>
          </w:p>
        </w:tc>
        <w:tc>
          <w:tcPr>
            <w:tcW w:w="6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4"/>
              </w:rPr>
              <w:t>9,555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1,363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12,888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(1,571)</w:t>
            </w:r>
          </w:p>
        </w:tc>
      </w:tr>
      <w:tr>
        <w:trPr>
          <w:trHeight w:val="270"/>
        </w:trPr>
        <w:tc>
          <w:tcPr>
            <w:tcW w:w="4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4"/>
              </w:rPr>
              <w:t>2,134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166</w:t>
            </w:r>
          </w:p>
        </w:tc>
      </w:tr>
      <w:tr>
        <w:trPr>
          <w:trHeight w:val="230"/>
        </w:trPr>
        <w:tc>
          <w:tcPr>
            <w:tcW w:w="47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6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4"/>
              </w:rPr>
              <w:t>7,421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10,196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(1,737)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7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income tax provision reflects an effective tax rate on pre-tax income of 22% for the second quarter of Fiscal 2020 compared to 30% in the second quarter of Fiscal 2019. The effective tax rate for the quarter ended March 31, 2020 approximated the U.S. federal statutory rate as the tax benefits related to the Research and Development Tax Credit (R&amp;D Tax Credit) and the projected utilization of net operating loss carryforwards in Canada that were fully reserved with a valuation allowance were partially offset by a discrete item recorded in the second quarter of Fiscal 2020 in the amount of $0.5 million. This discrete item was related to the establishment of a valuation allowance against the deferred tax assets in the United Kingdom (UK) as discussed below. For the second quarter of Fiscal 2019, the effective tax rate was negatively impacted by Canadian tax losses that were reserved with a valuation allowance.</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effective tax rate of 21% for the six months ended March 31, 2020 was favorably impacted by the R&amp;D Tax Credit as well as the projected utilization of net operating loss carryforwards in Canada that were fully reserved with a valuation allowance. Conversely, we recorded a valuation allowance against our UK deferred tax assets as a discrete item during the second quarter of Fiscal 2020 that negatively impacted the effective tax rate for the six months ended March 31, 2020. For the six months ended March 31, 2019, the effective tax rate of negative 11% was adversely impacted by the losses recognized in Canada reserved with a valuation allowance. There were no material discrete items recognized in the first six months of Fiscal 2019.</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our assessment of deferred income taxes, in the second quarter of Fiscal 2020, we recorded a valuation allowance of $0.5 million against our UK net deferred tax assets. In assessing the realizability of net deferred tax assets, we determined it was more-likely-than-not that the net deferred tax assets may not be realized based upon recent UK tax losses and anticipated results in the near term. Estimates may change as new events occur, estimates of future taxable income are reduced or increased, additional information becomes available, or operating environments change, which may result in a full or partial reversal of the valuation allowance.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expiration of certain federal statutes of limitations and voluntary filings, management believes that, within the next twelve months, it is reasonably possible that the unrecognized tax benefits will decrease by approximately $0.7 million and would positively impact our effective tax rate. We are unable to make reasonably reliable estimates regarding the timing of future cash outflows, if any, associated with the remaining unrecognized tax benefits.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Subsequent Events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Dividend Declared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5, 2020, our Board of Directors declared a quarterly cash dividend on our common stock in the amount of $0.26 per share. The dividend is payable on June 17, 2020 to shareholders of record at the close of business on May 20, 2020.</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and Oil Price Volatility on Powell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global spread of COVID-19 has created significant volatility, uncertainty and economic disruption across the globe during Fiscal 2020. In addition, there have recently been significant reductions in oil and gas demand and steep declines in oil prices. Certain of our customers have asked that we delay our manufacturing on their projects as their operations have been negatively impacted by this pandemic and the reduced oil and gas demand and steep declines in oil prices. We continue to monitor and work with our suppliers who have been impacted by this pandemic to ensure we are able to meet our customer commitments. We also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69" w:right="339" w:bottom="1440"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7"/>
          <w:szCs w:val="17"/>
          <w:color w:val="auto"/>
        </w:rPr>
        <w:t>have reviewed and will continue to review our contracts with our suppliers, and we may need to make adjustments accordingly. From an operations standpoint, although our facilities are located in areas that have been or continue to be subject to stay-at-home orders, we have not closed any of our facilities for an extended amount of time and have continued to operate as an "essential business" under these orders across all of our locations. We continue to take the necessary steps to promote social distancing and enhanced cleaning efforts in our offices and facilities in an effort to keep our employees, customers and vendors safe. We are also exploring the use of technology across our operations to further enhance social distancing and improve safety. These safety precautions may have an adverse impact on our efficiency and productivity going forward.</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circumstances noted above, we anticipate a decrease in commercial activity which will negatively impact our business, results of operations and cash flows going forward. We have and may need to continue to adjust our workforce and labor costs to correspond to the reduced customer demand. We will take prudent measures to maintain our strong liquidity and cash position, which may include reducing our capital expenditures and research and development costs, as well as reducing or eliminating future dividend payments. However,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orders; any closures of our offices and facilities or those of our suppliers as a result of the pandemic, and how quickly and to what extent normal economic and operating conditions can resume. Therefore, the magnitude of the impact on our business, results of operations and cash flows is not currently known.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circumstances noted above, we made a reduction in our workforce across the business in early May which will result in severance and restructuring costs of less than $1 million. We may have to make additional adjustments to our workforce and labor costs in response to further changes to customer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73"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Factors Related to our Business and Industry</w:t>
      </w:r>
    </w:p>
    <w:p>
      <w:pPr>
        <w:spacing w:after="0" w:line="117" w:lineRule="exact"/>
        <w:rPr>
          <w:sz w:val="20"/>
          <w:szCs w:val="20"/>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the cyclical nature of the end markets that we serve. This has had, and may continue to have, an adverse effect on our future operating results.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requires skilled and unskilled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Misconduct by our employees or subcontractors, or a failure to </w:t>
      </w:r>
      <w:r>
        <w:rPr>
          <w:rFonts w:ascii="Arial" w:cs="Arial" w:eastAsia="Arial" w:hAnsi="Arial"/>
          <w:sz w:val="18"/>
          <w:szCs w:val="18"/>
          <w:color w:val="252525"/>
        </w:rPr>
        <w:t>comply with laws or regulations, could harm our reputation, damage our</w:t>
      </w:r>
      <w:r>
        <w:rPr>
          <w:rFonts w:ascii="Arial" w:cs="Arial" w:eastAsia="Arial" w:hAnsi="Arial"/>
          <w:sz w:val="18"/>
          <w:szCs w:val="18"/>
          <w:color w:val="auto"/>
        </w:rPr>
        <w:t xml:space="preserve"> </w:t>
      </w:r>
      <w:r>
        <w:rPr>
          <w:rFonts w:ascii="Arial" w:cs="Arial" w:eastAsia="Arial" w:hAnsi="Arial"/>
          <w:sz w:val="18"/>
          <w:szCs w:val="18"/>
          <w:color w:val="252525"/>
        </w:rPr>
        <w:t>relationships with customers and subject us to criminal and civil enforcement actions.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252525"/>
        </w:rPr>
      </w:pPr>
      <w:r>
        <w:rPr>
          <w:rFonts w:ascii="Arial" w:cs="Arial" w:eastAsia="Arial" w:hAnsi="Arial"/>
          <w:sz w:val="18"/>
          <w:szCs w:val="18"/>
          <w:color w:val="252525"/>
        </w:rPr>
        <w:t>Unsatisfactory safety performance may subject us to penalties, negatively impact customer relationships, result in higher operating costs, and negatively impact employee morale and turnover.</w:t>
      </w:r>
    </w:p>
    <w:p>
      <w:pPr>
        <w:spacing w:after="0" w:line="62" w:lineRule="exact"/>
        <w:rPr>
          <w:rFonts w:ascii="Arial" w:cs="Arial" w:eastAsia="Arial" w:hAnsi="Arial"/>
          <w:sz w:val="18"/>
          <w:szCs w:val="18"/>
          <w:color w:val="252525"/>
        </w:rPr>
      </w:pPr>
    </w:p>
    <w:p>
      <w:pPr>
        <w:ind w:left="600" w:hanging="322"/>
        <w:spacing w:after="0" w:line="277" w:lineRule="auto"/>
        <w:tabs>
          <w:tab w:leader="none" w:pos="600" w:val="left"/>
        </w:tabs>
        <w:numPr>
          <w:ilvl w:val="0"/>
          <w:numId w:val="4"/>
        </w:numPr>
        <w:rPr>
          <w:rFonts w:ascii="Arial" w:cs="Arial" w:eastAsia="Arial" w:hAnsi="Arial"/>
          <w:sz w:val="18"/>
          <w:szCs w:val="18"/>
          <w:color w:val="252525"/>
        </w:rPr>
      </w:pPr>
      <w:r>
        <w:rPr>
          <w:rFonts w:ascii="Arial" w:cs="Arial" w:eastAsia="Arial" w:hAnsi="Arial"/>
          <w:sz w:val="18"/>
          <w:szCs w:val="18"/>
          <w:color w:val="auto"/>
        </w:rPr>
        <w:t>Catastrophic events, including natural disasters, health epidemics (including the COVID-19 pandemic), acts of war and terrorism, among others, could disrupt our business. (See Part II - Other Information Item 1A. Risk Factors below.)</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Factors Related to our Financial Condition and Markets</w:t>
      </w:r>
    </w:p>
    <w:p>
      <w:pPr>
        <w:spacing w:after="0" w:line="117" w:lineRule="exact"/>
        <w:rPr>
          <w:sz w:val="20"/>
          <w:szCs w:val="20"/>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recognized over time from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3" w:right="339" w:bottom="1440" w:gutter="0" w:footer="0" w:header="0"/>
        </w:sectPr>
      </w:pPr>
    </w:p>
    <w:bookmarkStart w:id="20" w:name="page21"/>
    <w:bookmarkEnd w:id="20"/>
    <w:p>
      <w:pPr>
        <w:ind w:left="600"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extend credit to customers in conjunction with our performance under fixed price contracts which subjects us to potential credit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right="20"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Factors Related to our Common Stock</w:t>
      </w:r>
    </w:p>
    <w:p>
      <w:pPr>
        <w:spacing w:after="0" w:line="117" w:lineRule="exact"/>
        <w:rPr>
          <w:sz w:val="20"/>
          <w:szCs w:val="20"/>
          <w:color w:val="auto"/>
        </w:rPr>
      </w:pPr>
    </w:p>
    <w:p>
      <w:pPr>
        <w:ind w:left="600"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can be no assurance that we will declare or pay future dividends on our common stock.</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Factors Related to Legal and Regulatory Matters</w:t>
      </w:r>
    </w:p>
    <w:p>
      <w:pPr>
        <w:spacing w:after="0" w:line="117"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developments arising from recent U.S. Government proposals concerning tariffs and other economic proposals could adversely impact our business.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2019.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2019, which was filed with the Securities and Exchange Commission (SEC) on December 5, 2019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and light traction power.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industrial sector, specifically oil, gas and petrochemical, the demand for our electrical distribution solutions is very cyclical and highly correlated to the level of capital expenditures of our end user customers as well as prevailing global economic conditions. Substantial volatility in commodity prices in recent years has resulted in many of our industrial end user customers deferring, suspending or terminating capital expenditures, resulting in reduced volumes across the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late Fiscal 2018, the combination of a growing global economy and abundant sources of favorably priced natural gas feedstock are driving an increase in capital investment opportunities, specifically across the oil, gas and petrochemical sectors. We have seen opportunities for natural gas related projects targeting global demand for cleaner burning fuels. Additionally, projects within the domestic petrochemical sector have benefited from the low feedstock prices of natural gas.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and Oil Price Volatility on Powell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spread of COVID-19 has created significant volatility, uncertainty and economic disruption across the globe during Fiscal 2020. In addition, there have recently been significant reductions in oil and gas demand and steep declines in oil prices. We have continued to operate as an "essential business" across all of our locations. As discussed further under the heading "Outlook" below, it is difficult to predict the economic impact that this pandemic, as well as reduced oil and gas demand and the steep decline in oil prices may have on our business, results of operations and cash flows going forward. Our results of operations for the six months ended March 31, 2020 were not impacted by the COVID-19 and reductions in oil and gas demand noted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2020 Compared to the Quarter Ended March 31, 2019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increased by 22%, or $27.8 million, to $151.6 million in the second quarter of Fiscal 2020, primarily due to improved market conditions in our petrochemical and oil and gas markets beginning in late Fiscal 2018. Domestic revenues increased by 24%, or $23.5 million, to $120.9 million in the second quarter of Fiscal 2020. International revenues increased by 16%, or $4.3 million, to $30.7 million in the second quarter of Fiscal 2020, primarily driven by increased activity in our international operations. Our international revenues include both revenues generated from our international facilities as well as revenues from export projects generated at our domestic facilities.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our oil and gas markets decreased by 7%, or $4.1 million, to $52.0 million in the second quarter of Fiscal 2020 while petrochemical revenue increased by 110%, or $24.8 million, to $47.3 million in the second quarter of Fiscal 2020 driven by the previous strength across the core oil and gas and petrochemical end markets when these projects were awarded in Fiscal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311" w:lineRule="auto"/>
        <w:rPr>
          <w:sz w:val="20"/>
          <w:szCs w:val="20"/>
          <w:color w:val="auto"/>
        </w:rPr>
      </w:pPr>
      <w:r>
        <w:rPr>
          <w:rFonts w:ascii="Arial" w:cs="Arial" w:eastAsia="Arial" w:hAnsi="Arial"/>
          <w:sz w:val="16"/>
          <w:szCs w:val="16"/>
          <w:color w:val="auto"/>
        </w:rPr>
        <w:t>2018 and 2019. The petrochemical sector has benefited from lower natural gas prices. Revenue from utility markets increased by 19%, or $3.9 million, to $24.3 million and traction market revenue increased by 131%, or $7.9 million, to $13.9 million in the second quarter of Fiscal 2020, primarily driven by our mix of projects. Revenue from all other markets combined decreased by $4.7 million to $14.1 million in the second quarter of Fiscal 2020.</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increased by 48%, or $9.6 million, to $29.7 million, for the second quarter of Fiscal 2020 compared to the second quarter of Fiscal 2019. Gross profit as a percentage of revenues increased to 20% in the second quarter of Fiscal 2020, compared to 16% in the second quarter of Fiscal 2019 due to strong prior period market conditions, cost efficiencies and increased volume in our domestic and international manufacturing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8%, or $1.4 million, to $18.6 million in the second quarter of Fiscal 2020, primarily due to increased personnel costs and variable incentive compensation associated with increased project volume and profitability. Selling, general and administrative expenses, as a percentage of revenues, decreased to 12% during the second quarter of Fiscal 2020 compared to 14% in the second quarter of Fiscal 2019, primarily due to the increase in revenues and our continued focus on our cost structure.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an income tax provision of $2.1 million in the second quarter of Fiscal 2020, compared to an income tax provision of $0.4 million in the second quarter of Fiscal 2019. The effective tax rate for the second quarter of Fiscal 2020 was 22%, compared to an effective tax rate of 30% in the second quarter of Fiscal 2019. For the three months ended March 31, 2020, the effective tax rate was favorably impacted by the Research and Development (R&amp;D) Tax Credit as well as the projected utilization of net operating loss carryforwards in Canada that were fully reserved with a valuation allowance and negatively impacted by a discrete item related to the establishment of a valuation allowance against the UK deferred tax assets. The effective tax rate for the three months ended March 31, 2019 was negatively impacted by Canadian losses recognized that were fully reserved with a valuation allowance.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quarter of Fiscal 2020, net income of $7.4 million, or $0.64 per diluted share, improved from net income of $1.0 million, or $0.08 per diluted share, in the second quarter of Fiscal 2019, primarily due to improved market conditions coming into Fiscal 2020 and efficiencies from increased volume in our domestic and Canadian manufacturing facilities.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order backlog at March 31, 2020 was $566.4 million, an increase of 33% from $425.9 million at December 31, 2019 and a 43% increase over the $397.2 million backlog at March 31, 2019. New orders increased by 53% in the second quarter of Fiscal 2020 to $300.7 million, compared to $196.7 million in the second quarter of Fiscal 2019, as the business was awarded a substantial contract in January 2020 that will support the integrated electrical distribution requirements for a large industrial complex being built in the United States. This specific project will take over three years to design, manufacture, integrate, test and ship.</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2020 Compared to the Six Months Ended March 31, 2019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increased by 23%, or $52.6 million, to $285.7 million in the six months ended March 31, 2020, primarily due to improved market conditions in our petrochemical and oil and gas markets beginning in late Fiscal 2018. Domestic revenues increased by 21%, or $39.8 million, to $227.0 million in the six months ended March 31, 2020. International revenues increased by 28%, or $12.9 million, to $58.7 million in the six months ended March 31, 2020, primarily driven by increased activity in our international operations. Our international revenues include both revenues generated from our international facilities as well as revenues from export projects generated at our domestic facilities.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our oil and gas markets increased by 6%, or $6.3 million, to $111.9 million in the six months ended March 31, 2020 while petrochemical revenue increased by 84%, or $35.5 million, to $77.8 million in the six months ended March 31, 2020 driven by the previous strength across the core oil and gas and petrochemical end markets when these projects were awarded in Fiscal 2018 and 2019. Revenue from utility markets increased by 19%, or $7.6 million, to $47.3 million and traction market revenue increased by 102%, or $11.3 million, to $22.3 million in the six months ended March 31, 2020, primarily driven by our mix of projects. Revenue from all other markets combined decreased by $8.1 million to $26.4 million in the six months ended March 31,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311" w:lineRule="auto"/>
        <w:rPr>
          <w:sz w:val="20"/>
          <w:szCs w:val="20"/>
          <w:color w:val="auto"/>
        </w:rPr>
      </w:pPr>
      <w:r>
        <w:rPr>
          <w:rFonts w:ascii="Arial" w:cs="Arial" w:eastAsia="Arial" w:hAnsi="Arial"/>
          <w:sz w:val="16"/>
          <w:szCs w:val="16"/>
          <w:color w:val="auto"/>
        </w:rPr>
        <w:t>Gross profit increased by 48%, or $16.8 million, to $51.5 million, for the six months ended March 31, 2020 compared to the six months ended March 31, 2019. Gross profit as a percentage of revenues increased to 18% in the six months ended March 31, 2020, compared to 15% in the six months ended March 31, 2019 due to strong prior period market conditions, cost efficiencies and increased volume in our domestic and international manufacturing facilities.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increased by 8%, or $2.7 million, to $35.9 million in the six months ended March 31, 2020, primarily due to increased personnel costs and variable incentive compensation associated with increased project volume and profitability. Selling, general and administrative expenses, as a percentage of revenues, decreased to 13% during the six months ended March 31, 2020, compared to 14% during the six months ended March 31, 2019, primarily due to the increase in revenues and our continued focus on our cost structure.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an income tax provision of $2.7 million in the six months ended March 31, 2020, compared to an income tax provision of $0.2 million in the six months ended March 31, 2019. The effective tax rate for the six months ended March 31, 2020 was 21%, compared to an effective tax rate of negative 11% for the six months ended March 31, 2019. For the six months ended March 31, 2020, the effective tax rate was favorably impacted by the R&amp;D Tax Credit as well as the projected utilization of net operating loss carryforwards in Canada that were fully reserved with a valuation allowance and negatively impacted by a discrete item related to the establishment of a valuation allowance against the UK deferred tax assets. The effective tax rate for the six months ended March 31, 2019 was adversely impacted by Canadian losses recognized that were fully reserved with a valuation allowance.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six months ended March 31, 2020, net income of $10.2 million, or $0.87 per diluted share, improved from a net loss of $1.7 million, or $0.15 loss per diluted share, in the six months ended March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order backlog at March 31, 2020 was $566.4 million, a 35% increase from the $419.0 million at September 30, 2019. New orders increased by 19% during the six months ended March 31, 2020 to $438.1 million, compared to $369.1 million in the six months ended March 31, 2019, due to the timing of select orders awarded in the six months ended March 31, 2020, as the business was awarded a substantial contract in January 2020 that will support the integrated electrical distribution requirements for a large industrial complex being built in the United States. This specific project will take over three years to design, manufacture, integrate, test and ship.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significant portion of our revenues have historically been from the oil, gas and petrochemical markets. Oil and gas commodity price levels have been unstable over the last several years, and our customers delayed some of their major capital investment projects. Beginning in late Fiscal 2018, our customers' decisions to invest in projects in our key oil and gas and petrochemical markets were influenced somewhat by the stabilization of commodity prices and the increased global demand for cleaner burning fuels during that period of time. We believe that change in market sentiment during that period of time had a favorable impact on our orders and backlog entering Fiscal 2020, although recent declines in oil prices may negatively impact our business going forward, as discussed in more detail below. Specific to natural gas, the business was awarded a substantial contract in January 2020 that will support the integrated electrical distribution requirements for a large industrial complex being built in the United States. This specific project will take over three years to design, manufacture, integrate, test and ship.</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may result in periods of underutilization of our resources and facilities and negatively impact our ability to cover our fixed costs. The increased orders in Fiscal 2018 and 2019 have led to improvement in revenues and operating results for the first six months of Fiscal 2020. We continue to monitor the factors that drive our markets and will continue to strive to maintain our leadership and competitive advantage in the markets we serve while aligning our cost structure and workforce with these changing market conditions.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global spread of COVID-19 has created significant volatility, uncertainty and economic disruption across the globe during Fiscal 2020. In addition, there have recently been significant reductions in oil and gas demand and steep declines in oil prices. Certain of our customers have asked that we delay our manufacturing on their projects as their operations have been negatively impacted by this pandemic and the reduced oil and gas demand and steep declines in oil prices. We continue to monitor and work with our suppliers who have been impacted by this pandemic to ensure we are able to meet our customer commitments. We also have reviewed and will continue to review our contracts with our suppliers, and we may need to make adjustments accordingly. From an operations standpoint, although our facilities are located in areas that have been or continue to be subject to stay-at-home orders, we have not closed any of our facilities for an extended amount of time and have continued to operate as an "essential business" under these orders across all of our locations. We continue to take the necessary steps to promote social distancing and enhanced cleaning efforts in our offices and facilities in an effort to keep our employees, customers and vendors safe. We are also exploring the use of technology across our operations to further enhance social distancing and improve safety. These safety precautions may have an adverse impact on our efficiency and productivity going forward.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circumstances noted above, we anticipate a decrease in commercial activity which will negatively impact our business, results of operations and cash flows going forward. We have and may need to continue to adjust our workforce and labor costs to correspond to the reduced customer demand. We will take prudent measures to maintain our strong liquidity and cash position, which may include reducing our capital expenditures and research and development costs, as well as reducing or eliminating future dividend payments. However,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orders; any closures of our offices and facilities or those of our suppliers as a result of the pandemic, and how quickly and to what extent normal economic and operating conditions can resume. Therefore, the magnitude of the impact on our business, results of operations and cash flows is not currently known.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current assets exceeded current liabilities by 2.3 times and our debt to total capitalization was 0.27%.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short-term investments decreased to $120.6 million at March 31, 2020, compared to $124.7 million at September 30, 2019. Our increase in project volume typically requires cash to fund operations. We believe that our strong working capital position, available borrowings under our credit facility (U.S. Revolver) and available cash should be sufficient to finance future operating activities, capital improvements, research and development initiatives and debt repayments for the foreseeable future.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U.S. Revolver is a $75.0 million revolving credit facility, which is available for both borrowings and letters of credit. As of March 31, 2020, there were no amounts borrowed under this facility, and letters of credit outstanding were $35.1 million. As of March 31, 2020, $39.9 million was available for the issuance of letters of credit and borrowing under the U.S. Revolver. Total long-term debt, including current maturities, totaled $0.8 million at March 31, 2020 related to outstanding industrial development revenue bonds. For further information regarding our debt, see Note E of Notes to Condensed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$20.8 million of our cash and cash equivalents at March 31, 2020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activities provided net cash of $7.4 million during the six months ended March 31, 2020 and $26.0 million during the same period in Fiscal 2019. Cash flow from operations is primarily influenced by project volume, the timing of milestone payments from our customers and the payment terms with our suppliers. This decrease in operating cash flow was primarily due to the timing of project billings and the receipt of a $6.6 million income tax refund during the six months ended March 31,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activities provided $2.7 million during the six months ended March 31, 2020 compared to $5.3 million during the same period in Fiscal 2019. The decrease in cash provided by investing activities in the first six months of in Fiscal 2020 was primarily due to an increase of $1.5 million in the purchases of plant, property and equipment in the first six months of Fiscal 2020 and is primarily related to our increase in project activity.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$7.0 million during the six months ended March 31, 2020 and $7.5 million during the same period in Fiscal 2019, which primarily consisted of approximately $6.0 million of dividends paid in each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October 1, 2019, we adopted the new lease accounting standard which resulted in changes to our lease policy. See Note I of Notes to Condensed Consolidated Financial Statements for information on the new lease accounting guidance and related disclosures. There have been no other material changes to our critical accounting policies as disclosed in our Annual Report on Form 10-K for the year ended September 30,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liquefied natural gas terminals, as well as petrochemical, electric utility and light traction power. Occasionally, our customer may be an engineering, procurement and construction firm (EPC)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881" w:right="339" w:bottom="1440" w:gutter="0" w:footer="0" w:header="0"/>
        </w:sectPr>
      </w:pPr>
    </w:p>
    <w:bookmarkStart w:id="26" w:name="page27"/>
    <w:bookmarkEnd w:id="26"/>
    <w:p>
      <w:pPr>
        <w:jc w:val="both"/>
        <w:spacing w:after="0" w:line="311" w:lineRule="auto"/>
        <w:rPr>
          <w:sz w:val="20"/>
          <w:szCs w:val="20"/>
          <w:color w:val="auto"/>
        </w:rPr>
      </w:pPr>
      <w:r>
        <w:rPr>
          <w:rFonts w:ascii="Arial" w:cs="Arial" w:eastAsia="Arial" w:hAnsi="Arial"/>
          <w:sz w:val="16"/>
          <w:szCs w:val="16"/>
          <w:color w:val="auto"/>
        </w:rPr>
        <w:t>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six months ended March 31, 2020, our realized foreign exchange loss was $0.3 million and is included in selling, general and administrative expenses in the Condensed Consolidated Statements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accumulated other comprehensive loss, which is included as a component of stockholders’ equity, was $29.1 million as of March 31, 2020, an increase of $4.5 million compared to September 30, 2019. This increase in comprehensive loss was primarily a result of fluctuations in the currency exchange rates for the Canadian Dollar and British Pound Sterling as we remeasured the foreign operations of those divisions.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discussed below, there have been no material changes from the risk factors previously disclosed in the Company's Annual Report on Form 10-K for the fiscal year ended September 30, 2019 (the "Annual Report"), filed on December 5, 2019. Our business is subject to a variety of risks and uncertainties, including, but not limited to, the risks and uncertainties described in Part I, Item 1A, “Risk Factors” in the Annual Report. We previously disclosed in our Annual Report a risk factor with the heading, “</w:t>
      </w:r>
      <w:r>
        <w:rPr>
          <w:rFonts w:ascii="Arial" w:cs="Arial" w:eastAsia="Arial" w:hAnsi="Arial"/>
          <w:sz w:val="18"/>
          <w:szCs w:val="18"/>
          <w:i w:val="1"/>
          <w:iCs w:val="1"/>
          <w:color w:val="auto"/>
        </w:rPr>
        <w:t>Catastrophic events could disrupt our business.”</w:t>
      </w:r>
      <w:r>
        <w:rPr>
          <w:rFonts w:ascii="Arial" w:cs="Arial" w:eastAsia="Arial" w:hAnsi="Arial"/>
          <w:sz w:val="18"/>
          <w:szCs w:val="18"/>
          <w:color w:val="auto"/>
        </w:rPr>
        <w:t xml:space="preserve"> The following supplements and updates this risk factor previously disclosed in our Annual Report.</w:t>
      </w:r>
    </w:p>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Catastrophic events, including natural disasters, health epidemics (including the COVID-19 pandemic), acts of war and terrorism, among others, could disrupt our business.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occurrence of catastrophic events, </w:t>
      </w:r>
      <w:r>
        <w:rPr>
          <w:rFonts w:ascii="Arial" w:cs="Arial" w:eastAsia="Arial" w:hAnsi="Arial"/>
          <w:sz w:val="17"/>
          <w:szCs w:val="17"/>
          <w:color w:val="252525"/>
        </w:rPr>
        <w:t>ranging from natural disasters to health epidemics (including the COVID-19 pandemic), to acts of war and</w:t>
      </w:r>
      <w:r>
        <w:rPr>
          <w:rFonts w:ascii="Arial" w:cs="Arial" w:eastAsia="Arial" w:hAnsi="Arial"/>
          <w:sz w:val="17"/>
          <w:szCs w:val="17"/>
          <w:color w:val="auto"/>
        </w:rPr>
        <w:t xml:space="preserve"> </w:t>
      </w:r>
      <w:r>
        <w:rPr>
          <w:rFonts w:ascii="Arial" w:cs="Arial" w:eastAsia="Arial" w:hAnsi="Arial"/>
          <w:sz w:val="17"/>
          <w:szCs w:val="17"/>
          <w:color w:val="252525"/>
        </w:rPr>
        <w:t>terrorism, among others, could disrupt or delay our ability to operate our business and complete projects for our customers and could potentially expose us to third-party liability claims. We may declare the existence of a force majeure event under our contracts in certain situations; however, a customer may dispute our force majeure claim, which may result in additional liabilities. Losses arising from such events may or may not be fully covered by our various insurance policies or may be subject to deductibles or exceed coverage limits. In addition, such events could result in temporary or long-term delays and/or cancellations of orders for raw materials from our suppliers that could impact our project execution. These situations or other disruptions are outside of our control and may adversely impact our business and results of operations.</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52525"/>
        </w:rPr>
        <w:t xml:space="preserve">For example, the global spread of COVID-19 </w:t>
      </w:r>
      <w:r>
        <w:rPr>
          <w:rFonts w:ascii="Arial" w:cs="Arial" w:eastAsia="Arial" w:hAnsi="Arial"/>
          <w:sz w:val="17"/>
          <w:szCs w:val="17"/>
          <w:color w:val="000000"/>
        </w:rPr>
        <w:t>has created significant volatility, uncertainty and economic disruption across the globe in Fiscal 2020. It is</w:t>
      </w:r>
      <w:r>
        <w:rPr>
          <w:rFonts w:ascii="Arial" w:cs="Arial" w:eastAsia="Arial" w:hAnsi="Arial"/>
          <w:sz w:val="17"/>
          <w:szCs w:val="17"/>
          <w:color w:val="252525"/>
        </w:rPr>
        <w:t xml:space="preserve"> </w:t>
      </w:r>
      <w:r>
        <w:rPr>
          <w:rFonts w:ascii="Arial" w:cs="Arial" w:eastAsia="Arial" w:hAnsi="Arial"/>
          <w:sz w:val="17"/>
          <w:szCs w:val="17"/>
          <w:color w:val="000000"/>
        </w:rPr>
        <w:t>difficult to predict the economic impact that the COVID-19 pandemic may have on our business, results of operations and cash flows going forward. For example, certain of our customers have asked that we delay our manufacturing on their projects as their operations have been negatively impacted by this pandemic and the reduced oil and gas demand and steep declines in oil prices. These delays may have a negative effect on the timing of revenue recognition and cash flow. Any delays in the supply of material or labor, could negatively impact our production schedule and delay the completion of certain projects.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orders; any closures of our offices and facilities or those of our suppliers as a result of the pandemic, and how quickly and to what extent normal economic and operating conditions can resume. Any of these factors, as well as other related business impacts resulting from COVID-19, could contribute to the risks and uncertainties described in our Annual Report. As a result, the magnitude of the impact on our business, results of operations and cash flows is not currently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920"/>
        <w:spacing w:after="0"/>
        <w:tabs>
          <w:tab w:leader="none" w:pos="1360" w:val="left"/>
          <w:tab w:leader="none" w:pos="1700" w:val="left"/>
        </w:tabs>
        <w:rPr>
          <w:rFonts w:ascii="Arial" w:cs="Arial" w:eastAsia="Arial" w:hAnsi="Arial"/>
          <w:sz w:val="17"/>
          <w:szCs w:val="17"/>
          <w:u w:val="single" w:color="auto"/>
          <w:color w:val="0000FF"/>
        </w:rPr>
      </w:pPr>
      <w:r>
        <w:rPr>
          <w:rFonts w:ascii="Arial" w:cs="Arial" w:eastAsia="Arial" w:hAnsi="Arial"/>
          <w:sz w:val="18"/>
          <w:szCs w:val="18"/>
          <w:color w:val="auto"/>
        </w:rPr>
        <w:t>3.1</w:t>
        <w:tab/>
        <w:t>—</w:t>
      </w:r>
      <w:r>
        <w:rPr>
          <w:sz w:val="20"/>
          <w:szCs w:val="20"/>
          <w:color w:val="auto"/>
        </w:rPr>
        <w:tab/>
      </w:r>
      <w:hyperlink r:id="rId22">
        <w:r>
          <w:rPr>
            <w:rFonts w:ascii="Arial" w:cs="Arial" w:eastAsia="Arial" w:hAnsi="Arial"/>
            <w:sz w:val="17"/>
            <w:szCs w:val="17"/>
            <w:u w:val="single" w:color="auto"/>
            <w:color w:val="0000FF"/>
          </w:rPr>
          <w:t>Certificate of Incorporation of Powell Industries, Inc. filed with the Secretary of State of the State of Delaware on February 11,</w:t>
        </w:r>
      </w:hyperlink>
    </w:p>
    <w:p>
      <w:pPr>
        <w:spacing w:after="0" w:line="37" w:lineRule="exact"/>
        <w:rPr>
          <w:sz w:val="20"/>
          <w:szCs w:val="20"/>
          <w:color w:val="auto"/>
        </w:rPr>
      </w:pPr>
    </w:p>
    <w:p>
      <w:pPr>
        <w:ind w:left="172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2004 (filed as Exhibit 3.1 to our Form 8-A/A filed November 1, 2004, and incorporated herein by reference)</w:t>
        </w:r>
        <w:r>
          <w:rPr>
            <w:rFonts w:ascii="Arial" w:cs="Arial" w:eastAsia="Arial" w:hAnsi="Arial"/>
            <w:sz w:val="18"/>
            <w:szCs w:val="18"/>
            <w:u w:val="single" w:color="auto"/>
            <w:color w:val="000000"/>
          </w:rPr>
          <w:t>.</w:t>
        </w:r>
      </w:hyperlink>
    </w:p>
    <w:p>
      <w:pPr>
        <w:spacing w:after="0" w:line="265" w:lineRule="exact"/>
        <w:rPr>
          <w:sz w:val="20"/>
          <w:szCs w:val="20"/>
          <w:color w:val="auto"/>
        </w:rPr>
      </w:pPr>
    </w:p>
    <w:p>
      <w:pPr>
        <w:ind w:left="1380" w:hanging="804"/>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23">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FF"/>
          </w:rPr>
          <w:t>incorporated herein by reference).</w:t>
        </w:r>
      </w:hyperlink>
    </w:p>
    <w:p>
      <w:pPr>
        <w:spacing w:after="0" w:line="224" w:lineRule="exact"/>
        <w:rPr>
          <w:sz w:val="20"/>
          <w:szCs w:val="20"/>
          <w:color w:val="auto"/>
        </w:rPr>
      </w:pPr>
    </w:p>
    <w:p>
      <w:pPr>
        <w:ind w:left="740"/>
        <w:spacing w:after="0"/>
        <w:tabs>
          <w:tab w:leader="none" w:pos="1360" w:val="left"/>
          <w:tab w:leader="none" w:pos="170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31">
        <w:r>
          <w:rPr>
            <w:rFonts w:ascii="Arial" w:cs="Arial" w:eastAsia="Arial" w:hAnsi="Arial"/>
            <w:sz w:val="16"/>
            <w:szCs w:val="16"/>
            <w:u w:val="single" w:color="auto"/>
            <w:color w:val="0000FF"/>
          </w:rPr>
          <w:t>Certification of Chief Executive Officer pursuant to Rule 13a-14(a)/15d-14(a).</w:t>
        </w:r>
      </w:hyperlink>
    </w:p>
    <w:p>
      <w:pPr>
        <w:spacing w:after="0" w:line="279" w:lineRule="exact"/>
        <w:rPr>
          <w:sz w:val="20"/>
          <w:szCs w:val="20"/>
          <w:color w:val="auto"/>
        </w:rPr>
      </w:pPr>
    </w:p>
    <w:p>
      <w:pPr>
        <w:ind w:left="740"/>
        <w:spacing w:after="0"/>
        <w:tabs>
          <w:tab w:leader="none" w:pos="1360" w:val="left"/>
          <w:tab w:leader="none" w:pos="170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32">
        <w:r>
          <w:rPr>
            <w:rFonts w:ascii="Arial" w:cs="Arial" w:eastAsia="Arial" w:hAnsi="Arial"/>
            <w:sz w:val="16"/>
            <w:szCs w:val="16"/>
            <w:u w:val="single" w:color="auto"/>
            <w:color w:val="0000FF"/>
          </w:rPr>
          <w:t>Certification of Chief Financial Officer pursuant to Rule 13a-14(a)/15d-14(a)</w:t>
        </w:r>
        <w:r>
          <w:rPr>
            <w:rFonts w:ascii="Arial" w:cs="Arial" w:eastAsia="Arial" w:hAnsi="Arial"/>
            <w:sz w:val="16"/>
            <w:szCs w:val="16"/>
            <w:color w:val="0000FF"/>
          </w:rPr>
          <w:t>.</w:t>
        </w:r>
      </w:hyperlink>
    </w:p>
    <w:p>
      <w:pPr>
        <w:spacing w:after="0" w:line="279" w:lineRule="exact"/>
        <w:rPr>
          <w:sz w:val="20"/>
          <w:szCs w:val="20"/>
          <w:color w:val="auto"/>
        </w:rPr>
      </w:pPr>
    </w:p>
    <w:p>
      <w:pPr>
        <w:ind w:left="1380" w:right="20" w:hanging="1074"/>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33">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33">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1380" w:hanging="1074"/>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34">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440"/>
        <w:spacing w:after="0"/>
        <w:tabs>
          <w:tab w:leader="none" w:pos="1360" w:val="left"/>
          <w:tab w:leader="none" w:pos="170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00"/>
        <w:spacing w:after="0"/>
        <w:tabs>
          <w:tab w:leader="none" w:pos="1360" w:val="left"/>
          <w:tab w:leader="none" w:pos="170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00"/>
        <w:spacing w:after="0"/>
        <w:tabs>
          <w:tab w:leader="none" w:pos="1360" w:val="left"/>
          <w:tab w:leader="none" w:pos="170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71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553"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880" w:type="dxa"/>
            <w:vAlign w:val="bottom"/>
            <w:gridSpan w:val="2"/>
          </w:tcPr>
          <w:p>
            <w:pPr>
              <w:ind w:left="1960"/>
              <w:spacing w:after="0"/>
              <w:rPr>
                <w:sz w:val="20"/>
                <w:szCs w:val="20"/>
                <w:color w:val="auto"/>
              </w:rPr>
            </w:pPr>
            <w:r>
              <w:rPr>
                <w:rFonts w:ascii="Arial" w:cs="Arial" w:eastAsia="Arial" w:hAnsi="Arial"/>
                <w:sz w:val="18"/>
                <w:szCs w:val="18"/>
                <w:color w:val="auto"/>
              </w:rPr>
              <w:t>POWELL INDUSTRIES, INC.</w:t>
            </w:r>
          </w:p>
        </w:tc>
      </w:tr>
      <w:tr>
        <w:trPr>
          <w:trHeight w:val="270"/>
        </w:trPr>
        <w:tc>
          <w:tcPr>
            <w:tcW w:w="3320" w:type="dxa"/>
            <w:vAlign w:val="bottom"/>
          </w:tcPr>
          <w:p>
            <w:pPr>
              <w:spacing w:after="0"/>
              <w:rPr>
                <w:sz w:val="23"/>
                <w:szCs w:val="23"/>
                <w:color w:val="auto"/>
              </w:rPr>
            </w:pPr>
          </w:p>
        </w:tc>
        <w:tc>
          <w:tcPr>
            <w:tcW w:w="7880" w:type="dxa"/>
            <w:vAlign w:val="bottom"/>
            <w:gridSpan w:val="2"/>
          </w:tcPr>
          <w:p>
            <w:pPr>
              <w:ind w:left="1960"/>
              <w:spacing w:after="0"/>
              <w:rPr>
                <w:sz w:val="20"/>
                <w:szCs w:val="20"/>
                <w:color w:val="auto"/>
              </w:rPr>
            </w:pPr>
            <w:r>
              <w:rPr>
                <w:rFonts w:ascii="Arial" w:cs="Arial" w:eastAsia="Arial" w:hAnsi="Arial"/>
                <w:sz w:val="18"/>
                <w:szCs w:val="18"/>
                <w:color w:val="auto"/>
              </w:rPr>
              <w:t>(Registrant)</w:t>
            </w:r>
          </w:p>
        </w:tc>
      </w:tr>
      <w:tr>
        <w:trPr>
          <w:trHeight w:val="540"/>
        </w:trPr>
        <w:tc>
          <w:tcPr>
            <w:tcW w:w="3320" w:type="dxa"/>
            <w:vAlign w:val="bottom"/>
          </w:tcPr>
          <w:p>
            <w:pPr>
              <w:spacing w:after="0"/>
              <w:rPr>
                <w:sz w:val="20"/>
                <w:szCs w:val="20"/>
                <w:color w:val="auto"/>
              </w:rPr>
            </w:pPr>
            <w:r>
              <w:rPr>
                <w:rFonts w:ascii="Arial" w:cs="Arial" w:eastAsia="Arial" w:hAnsi="Arial"/>
                <w:sz w:val="18"/>
                <w:szCs w:val="18"/>
                <w:color w:val="auto"/>
              </w:rPr>
              <w:t>Date: May 6, 2020</w:t>
            </w:r>
          </w:p>
        </w:tc>
        <w:tc>
          <w:tcPr>
            <w:tcW w:w="2720" w:type="dxa"/>
            <w:vAlign w:val="bottom"/>
          </w:tcPr>
          <w:p>
            <w:pPr>
              <w:ind w:left="1960"/>
              <w:spacing w:after="0"/>
              <w:rPr>
                <w:sz w:val="20"/>
                <w:szCs w:val="20"/>
                <w:color w:val="auto"/>
              </w:rPr>
            </w:pPr>
            <w:r>
              <w:rPr>
                <w:rFonts w:ascii="Arial" w:cs="Arial" w:eastAsia="Arial" w:hAnsi="Arial"/>
                <w:sz w:val="18"/>
                <w:szCs w:val="18"/>
                <w:color w:val="auto"/>
              </w:rPr>
              <w:t>By:</w:t>
            </w:r>
          </w:p>
        </w:tc>
        <w:tc>
          <w:tcPr>
            <w:tcW w:w="5160" w:type="dxa"/>
            <w:vAlign w:val="bottom"/>
          </w:tcPr>
          <w:p>
            <w:pPr>
              <w:ind w:left="40"/>
              <w:spacing w:after="0"/>
              <w:rPr>
                <w:sz w:val="20"/>
                <w:szCs w:val="20"/>
                <w:color w:val="auto"/>
              </w:rPr>
            </w:pPr>
            <w:r>
              <w:rPr>
                <w:rFonts w:ascii="Arial" w:cs="Arial" w:eastAsia="Arial" w:hAnsi="Arial"/>
                <w:sz w:val="18"/>
                <w:szCs w:val="18"/>
                <w:color w:val="auto"/>
              </w:rPr>
              <w:t>/s/ Brett A. Cope</w:t>
            </w:r>
          </w:p>
        </w:tc>
      </w:tr>
      <w:tr>
        <w:trPr>
          <w:trHeight w:val="27"/>
        </w:trPr>
        <w:tc>
          <w:tcPr>
            <w:tcW w:w="3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Brett A. Cope</w:t>
            </w:r>
          </w:p>
        </w:tc>
      </w:tr>
      <w:tr>
        <w:trPr>
          <w:trHeight w:val="270"/>
        </w:trPr>
        <w:tc>
          <w:tcPr>
            <w:tcW w:w="3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320" w:type="dxa"/>
            <w:vAlign w:val="bottom"/>
          </w:tcPr>
          <w:p>
            <w:pPr>
              <w:spacing w:after="0"/>
              <w:rPr>
                <w:sz w:val="20"/>
                <w:szCs w:val="20"/>
                <w:color w:val="auto"/>
              </w:rPr>
            </w:pPr>
            <w:r>
              <w:rPr>
                <w:rFonts w:ascii="Arial" w:cs="Arial" w:eastAsia="Arial" w:hAnsi="Arial"/>
                <w:sz w:val="18"/>
                <w:szCs w:val="18"/>
                <w:color w:val="auto"/>
              </w:rPr>
              <w:t>Date: May 6, 2020</w:t>
            </w:r>
          </w:p>
        </w:tc>
        <w:tc>
          <w:tcPr>
            <w:tcW w:w="2720" w:type="dxa"/>
            <w:vAlign w:val="bottom"/>
          </w:tcPr>
          <w:p>
            <w:pPr>
              <w:ind w:left="1960"/>
              <w:spacing w:after="0"/>
              <w:rPr>
                <w:sz w:val="20"/>
                <w:szCs w:val="20"/>
                <w:color w:val="auto"/>
              </w:rPr>
            </w:pPr>
            <w:r>
              <w:rPr>
                <w:rFonts w:ascii="Arial" w:cs="Arial" w:eastAsia="Arial" w:hAnsi="Arial"/>
                <w:sz w:val="18"/>
                <w:szCs w:val="18"/>
                <w:color w:val="auto"/>
              </w:rPr>
              <w:t>By:</w:t>
            </w:r>
          </w:p>
        </w:tc>
        <w:tc>
          <w:tcPr>
            <w:tcW w:w="5160" w:type="dxa"/>
            <w:vAlign w:val="bottom"/>
          </w:tcPr>
          <w:p>
            <w:pPr>
              <w:ind w:left="40"/>
              <w:spacing w:after="0"/>
              <w:rPr>
                <w:sz w:val="20"/>
                <w:szCs w:val="20"/>
                <w:color w:val="auto"/>
              </w:rPr>
            </w:pPr>
            <w:r>
              <w:rPr>
                <w:rFonts w:ascii="Arial" w:cs="Arial" w:eastAsia="Arial" w:hAnsi="Arial"/>
                <w:sz w:val="18"/>
                <w:szCs w:val="18"/>
                <w:color w:val="auto"/>
              </w:rPr>
              <w:t>/s/ Michael W. Metcalf</w:t>
            </w:r>
          </w:p>
        </w:tc>
      </w:tr>
      <w:tr>
        <w:trPr>
          <w:trHeight w:val="27"/>
        </w:trPr>
        <w:tc>
          <w:tcPr>
            <w:tcW w:w="3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Michael W. Metcalf</w:t>
            </w:r>
          </w:p>
        </w:tc>
      </w:tr>
      <w:tr>
        <w:trPr>
          <w:trHeight w:val="270"/>
        </w:trPr>
        <w:tc>
          <w:tcPr>
            <w:tcW w:w="3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70"/>
        </w:trPr>
        <w:tc>
          <w:tcPr>
            <w:tcW w:w="3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3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459"/>
        </w:trPr>
        <w:tc>
          <w:tcPr>
            <w:tcW w:w="3320" w:type="dxa"/>
            <w:vAlign w:val="bottom"/>
          </w:tcPr>
          <w:p>
            <w:pPr>
              <w:spacing w:after="0"/>
              <w:rPr>
                <w:sz w:val="24"/>
                <w:szCs w:val="24"/>
                <w:color w:val="auto"/>
              </w:rPr>
            </w:pPr>
          </w:p>
        </w:tc>
        <w:tc>
          <w:tcPr>
            <w:tcW w:w="2720" w:type="dxa"/>
            <w:vAlign w:val="bottom"/>
          </w:tcPr>
          <w:p>
            <w:pPr>
              <w:ind w:left="2180"/>
              <w:spacing w:after="0"/>
              <w:rPr>
                <w:sz w:val="20"/>
                <w:szCs w:val="20"/>
                <w:color w:val="auto"/>
              </w:rPr>
            </w:pPr>
            <w:r>
              <w:rPr>
                <w:rFonts w:ascii="Arial" w:cs="Arial" w:eastAsia="Arial" w:hAnsi="Arial"/>
                <w:sz w:val="18"/>
                <w:szCs w:val="18"/>
                <w:color w:val="auto"/>
              </w:rPr>
              <w:t>30</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1300" w:right="40" w:hanging="320"/>
        <w:spacing w:after="0" w:line="26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1300" w:right="180" w:hanging="320"/>
        <w:spacing w:after="0" w:line="27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120" w:hanging="320"/>
        <w:spacing w:after="0" w:line="27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ectPr>
          <w:pgSz w:w="11900" w:h="16838" w:orient="portrait"/>
          <w:cols w:equalWidth="0" w:num="1">
            <w:col w:w="11240"/>
          </w:cols>
          <w:pgMar w:left="320" w:top="55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1300" w:right="4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1300" w:right="18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12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6"/>
          <w:szCs w:val="16"/>
          <w:u w:val="single" w:color="auto"/>
          <w:color w:val="auto"/>
        </w:rPr>
        <w:t>/s/ Michael W. Metcalf</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Michael W. Metcalf</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ectPr>
          <w:pgSz w:w="11900" w:h="16838" w:orient="portrait"/>
          <w:cols w:equalWidth="0" w:num="1">
            <w:col w:w="11240"/>
          </w:cols>
          <w:pgMar w:left="320" w:top="55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March 31, 2020,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66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ectPr>
          <w:pgSz w:w="11900" w:h="16838" w:orient="portrait"/>
          <w:cols w:equalWidth="0" w:num="1">
            <w:col w:w="11240"/>
          </w:cols>
          <w:pgMar w:left="320" w:top="55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March 31, 2020,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60"/>
        <w:spacing w:after="0"/>
        <w:rPr>
          <w:sz w:val="20"/>
          <w:szCs w:val="20"/>
          <w:color w:val="auto"/>
        </w:rPr>
      </w:pPr>
      <w:r>
        <w:rPr>
          <w:rFonts w:ascii="Arial" w:cs="Arial" w:eastAsia="Arial" w:hAnsi="Arial"/>
          <w:sz w:val="16"/>
          <w:szCs w:val="16"/>
          <w:u w:val="single" w:color="auto"/>
          <w:color w:val="auto"/>
        </w:rPr>
        <w:t>/s/ Michael W. Metcalf</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Michael W. Metcalf</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Chief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sectPr>
      <w:pgSz w:w="11900" w:h="16838" w:orient="portrait"/>
      <w:cols w:equalWidth="0" w:num="1">
        <w:col w:w="11240"/>
      </w:cols>
      <w:pgMar w:left="320" w:top="5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2" Type="http://schemas.openxmlformats.org/officeDocument/2006/relationships/hyperlink" Target="http://www.sec.gov/Archives/edgar/data/80420/000008042004000044/exhibit3_1.htm" TargetMode="External"/><Relationship Id="rId23" Type="http://schemas.openxmlformats.org/officeDocument/2006/relationships/hyperlink" Target="http://www.sec.gov/Archives/edgar/data/80420/000119312512421889/d4243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2020-05-06T13:44:27Z</dcterms:created>
  <dcterms:modified xsi:type="dcterms:W3CDTF">2020-05-06T13:44:27Z</dcterms:modified>
</cp:coreProperties>
</file>