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380365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107315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101600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4"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39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480" w:type="dxa"/>
            <w:vAlign w:val="bottom"/>
            <w:tcBorders>
              <w:bottom w:val="single" w:sz="8" w:color="auto"/>
            </w:tcBorders>
          </w:tcPr>
          <w:p>
            <w:pPr>
              <w:spacing w:after="0"/>
              <w:rPr>
                <w:sz w:val="16"/>
                <w:szCs w:val="16"/>
                <w:color w:val="auto"/>
              </w:rPr>
            </w:pPr>
          </w:p>
        </w:tc>
      </w:tr>
      <w:tr>
        <w:trPr>
          <w:trHeight w:val="366"/>
        </w:trPr>
        <w:tc>
          <w:tcPr>
            <w:tcW w:w="32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106680</wp:posOffset>
            </wp:positionV>
            <wp:extent cx="2202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315"/>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Powell Industries, Inc.</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800" w:type="dxa"/>
            <w:vAlign w:val="bottom"/>
            <w:vMerge w:val="restart"/>
          </w:tcPr>
          <w:p>
            <w:pPr>
              <w:jc w:val="center"/>
              <w:ind w:left="154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00" w:type="dxa"/>
            <w:vAlign w:val="bottom"/>
            <w:vMerge w:val="restart"/>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88-0106100</w:t>
            </w:r>
          </w:p>
        </w:tc>
        <w:tc>
          <w:tcPr>
            <w:tcW w:w="0" w:type="dxa"/>
            <w:vAlign w:val="bottom"/>
          </w:tcPr>
          <w:p>
            <w:pPr>
              <w:spacing w:after="0"/>
              <w:rPr>
                <w:sz w:val="1"/>
                <w:szCs w:val="1"/>
                <w:color w:val="auto"/>
              </w:rPr>
            </w:pPr>
          </w:p>
        </w:tc>
      </w:tr>
      <w:tr>
        <w:trPr>
          <w:trHeight w:val="335"/>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jc w:val="center"/>
              <w:ind w:left="1524"/>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00" w:type="dxa"/>
            <w:vAlign w:val="bottom"/>
          </w:tcPr>
          <w:p>
            <w:pPr>
              <w:jc w:val="center"/>
              <w:ind w:right="2064"/>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91"/>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8550 Mosley Road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77075-1180</w:t>
            </w:r>
          </w:p>
        </w:tc>
        <w:tc>
          <w:tcPr>
            <w:tcW w:w="0" w:type="dxa"/>
            <w:vAlign w:val="bottom"/>
          </w:tcPr>
          <w:p>
            <w:pPr>
              <w:spacing w:after="0"/>
              <w:rPr>
                <w:sz w:val="1"/>
                <w:szCs w:val="1"/>
                <w:color w:val="auto"/>
              </w:rPr>
            </w:pPr>
          </w:p>
        </w:tc>
      </w:tr>
      <w:tr>
        <w:trPr>
          <w:trHeight w:val="203"/>
        </w:trPr>
        <w:tc>
          <w:tcPr>
            <w:tcW w:w="7400" w:type="dxa"/>
            <w:vAlign w:val="bottom"/>
            <w:gridSpan w:val="8"/>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7"/>
                <w:szCs w:val="17"/>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98"/>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2640" w:type="dxa"/>
            <w:vAlign w:val="bottom"/>
            <w:gridSpan w:val="4"/>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(713) 944-6900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9"/>
        </w:trPr>
        <w:tc>
          <w:tcPr>
            <w:tcW w:w="3800" w:type="dxa"/>
            <w:vAlign w:val="bottom"/>
          </w:tcPr>
          <w:p>
            <w:pPr>
              <w:spacing w:after="0"/>
              <w:rPr>
                <w:sz w:val="24"/>
                <w:szCs w:val="24"/>
                <w:color w:val="auto"/>
              </w:rPr>
            </w:pPr>
          </w:p>
        </w:tc>
        <w:tc>
          <w:tcPr>
            <w:tcW w:w="36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00" w:type="dxa"/>
            <w:vAlign w:val="bottom"/>
          </w:tcPr>
          <w:p>
            <w:pPr>
              <w:jc w:val="center"/>
              <w:ind w:left="584"/>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color w:val="auto"/>
              </w:rPr>
              <w:t>Trading Symbol</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8"/>
        </w:trPr>
        <w:tc>
          <w:tcPr>
            <w:tcW w:w="3800" w:type="dxa"/>
            <w:vAlign w:val="bottom"/>
            <w:tcBorders>
              <w:top w:val="single" w:sz="8" w:color="auto"/>
            </w:tcBorders>
          </w:tcPr>
          <w:p>
            <w:pPr>
              <w:jc w:val="center"/>
              <w:ind w:left="584"/>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NASDAQ Global Market</w:t>
            </w:r>
          </w:p>
        </w:tc>
        <w:tc>
          <w:tcPr>
            <w:tcW w:w="0" w:type="dxa"/>
            <w:vAlign w:val="bottom"/>
          </w:tcPr>
          <w:p>
            <w:pPr>
              <w:spacing w:after="0"/>
              <w:rPr>
                <w:sz w:val="1"/>
                <w:szCs w:val="1"/>
                <w:color w:val="auto"/>
              </w:rPr>
            </w:pPr>
          </w:p>
        </w:tc>
      </w:tr>
      <w:tr>
        <w:trPr>
          <w:trHeight w:val="498"/>
        </w:trPr>
        <w:tc>
          <w:tcPr>
            <w:tcW w:w="7940" w:type="dxa"/>
            <w:vAlign w:val="bottom"/>
            <w:gridSpan w:val="9"/>
          </w:tcPr>
          <w:p>
            <w:pPr>
              <w:jc w:val="center"/>
              <w:ind w:left="324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00" w:type="dxa"/>
            <w:vAlign w:val="bottom"/>
            <w:gridSpan w:val="2"/>
          </w:tcPr>
          <w:p>
            <w:pPr>
              <w:spacing w:after="0"/>
              <w:rPr>
                <w:sz w:val="11"/>
                <w:szCs w:val="11"/>
                <w:color w:val="auto"/>
              </w:rPr>
            </w:pPr>
          </w:p>
        </w:tc>
        <w:tc>
          <w:tcPr>
            <w:tcW w:w="3460" w:type="dxa"/>
            <w:vAlign w:val="bottom"/>
            <w:tcBorders>
              <w:bottom w:val="single" w:sz="8" w:color="auto"/>
            </w:tcBorders>
            <w:gridSpan w:val="5"/>
          </w:tcPr>
          <w:p>
            <w:pPr>
              <w:spacing w:after="0"/>
              <w:rPr>
                <w:sz w:val="11"/>
                <w:szCs w:val="11"/>
                <w:color w:val="auto"/>
              </w:rPr>
            </w:pPr>
          </w:p>
        </w:tc>
        <w:tc>
          <w:tcPr>
            <w:tcW w:w="38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11240" w:type="dxa"/>
            <w:vAlign w:val="bottom"/>
            <w:gridSpan w:val="10"/>
          </w:tcPr>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r>
        <w:trPr>
          <w:trHeight w:val="272"/>
        </w:trPr>
        <w:tc>
          <w:tcPr>
            <w:tcW w:w="79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330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 w:lineRule="exact"/>
        <w:rPr>
          <w:sz w:val="24"/>
          <w:szCs w:val="24"/>
          <w:color w:val="auto"/>
        </w:rPr>
      </w:pPr>
    </w:p>
    <w:p>
      <w:pPr>
        <w:jc w:val="both"/>
        <w:ind w:firstLine="162"/>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p>
      <w:pPr>
        <w:ind w:left="420"/>
        <w:spacing w:after="0" w:line="361" w:lineRule="exact"/>
        <w:tabs>
          <w:tab w:leader="none" w:pos="2000" w:val="left"/>
          <w:tab w:leader="none" w:pos="2440" w:val="left"/>
          <w:tab w:leader="none" w:pos="3780" w:val="left"/>
          <w:tab w:leader="none" w:pos="4220" w:val="left"/>
          <w:tab w:leader="none" w:pos="5980" w:val="left"/>
          <w:tab w:leader="none" w:pos="6440" w:val="left"/>
          <w:tab w:leader="none" w:pos="8380" w:val="left"/>
          <w:tab w:leader="none" w:pos="8840" w:val="left"/>
          <w:tab w:leader="none" w:pos="10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28"/>
          <w:szCs w:val="28"/>
          <w:color w:val="auto"/>
          <w:vertAlign w:val="subscript"/>
        </w:rPr>
        <w:t>Smaller reporting company</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26" w:lineRule="exact"/>
        <w:rPr>
          <w:sz w:val="24"/>
          <w:szCs w:val="24"/>
          <w:color w:val="auto"/>
        </w:rPr>
      </w:pPr>
    </w:p>
    <w:p>
      <w:pPr>
        <w:jc w:val="both"/>
        <w:ind w:firstLine="162"/>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firstLine="162"/>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3" w:lineRule="exact"/>
        <w:rPr>
          <w:sz w:val="24"/>
          <w:szCs w:val="24"/>
          <w:color w:val="auto"/>
        </w:rPr>
      </w:pPr>
    </w:p>
    <w:p>
      <w:pPr>
        <w:ind w:right="140" w:firstLine="162"/>
        <w:spacing w:after="0" w:line="213" w:lineRule="exact"/>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3" w:lineRule="exact"/>
        <w:rPr>
          <w:sz w:val="24"/>
          <w:szCs w:val="24"/>
          <w:color w:val="auto"/>
        </w:rPr>
      </w:pP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38" w:lineRule="exact"/>
        <w:rPr>
          <w:sz w:val="24"/>
          <w:szCs w:val="24"/>
          <w:color w:val="auto"/>
        </w:rPr>
      </w:pPr>
    </w:p>
    <w:p>
      <w:pPr>
        <w:jc w:val="both"/>
        <w:ind w:firstLine="162"/>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approximately $324 million as of March 31, 2023, based upon the closing price on the NASDAQ Global Market on that date. The registrant, solely for the purpose of the calculation above, had deemed its board of directors, executive officers, and beneficial owners of 10% or more of the voting shares of its common stock to be affiliates, and deducted their stockholdings in determining the aggregate market value.</w:t>
      </w:r>
    </w:p>
    <w:p>
      <w:pPr>
        <w:spacing w:after="0" w:line="2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At December 4, 2023, there were 11,959,333 outstanding shares of the registrant’s common stock, par value $0.01 per share.</w:t>
      </w:r>
    </w:p>
    <w:p>
      <w:pPr>
        <w:sectPr>
          <w:pgSz w:w="11900" w:h="16838" w:orient="portrait"/>
          <w:cols w:equalWidth="0" w:num="1">
            <w:col w:w="11240"/>
          </w:cols>
          <w:pgMar w:left="320" w:top="743" w:right="339" w:bottom="61" w:gutter="0" w:footer="0" w:header="0"/>
        </w:sectPr>
      </w:pPr>
    </w:p>
    <w:bookmarkStart w:id="1" w:name="page2"/>
    <w:bookmarkEnd w:id="1"/>
    <w:p>
      <w:pPr>
        <w:ind w:left="43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ind w:firstLine="162"/>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2023 annual meeting of stockholders to be filed not later than 120 days after September 30, 2023,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78740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700"/>
          </w:cols>
          <w:pgMar w:left="320" w:top="124"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5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Statement Regarding Forward-Looking Statements; Risk Factors</w:t>
            </w:r>
          </w:p>
        </w:tc>
        <w:tc>
          <w:tcPr>
            <w:tcW w:w="3740" w:type="dxa"/>
            <w:vAlign w:val="bottom"/>
            <w:gridSpan w:val="4"/>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20" w:type="dxa"/>
            <w:vAlign w:val="bottom"/>
            <w:gridSpan w:val="21"/>
            <w:vMerge w:val="continue"/>
          </w:tcPr>
          <w:p>
            <w:pPr>
              <w:spacing w:after="0"/>
              <w:rPr>
                <w:sz w:val="15"/>
                <w:szCs w:val="15"/>
                <w:color w:val="auto"/>
              </w:rPr>
            </w:pPr>
          </w:p>
        </w:tc>
        <w:tc>
          <w:tcPr>
            <w:tcW w:w="3740" w:type="dxa"/>
            <w:vAlign w:val="bottom"/>
            <w:gridSpan w:val="4"/>
            <w:vMerge w:val="continue"/>
          </w:tcPr>
          <w:p>
            <w:pPr>
              <w:spacing w:after="0"/>
              <w:rPr>
                <w:sz w:val="15"/>
                <w:szCs w:val="15"/>
                <w:color w:val="auto"/>
              </w:rPr>
            </w:pPr>
          </w:p>
        </w:tc>
        <w:tc>
          <w:tcPr>
            <w:tcW w:w="72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74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680" w:type="dxa"/>
            <w:vAlign w:val="bottom"/>
            <w:gridSpan w:val="14"/>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360" w:type="dxa"/>
            <w:vAlign w:val="bottom"/>
            <w:gridSpan w:val="9"/>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60" w:type="dxa"/>
            <w:vAlign w:val="bottom"/>
            <w:gridSpan w:val="2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22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22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6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00" w:type="dxa"/>
            <w:vAlign w:val="bottom"/>
            <w:gridSpan w:val="19"/>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8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518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2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gridSpan w:val="11"/>
          </w:tcPr>
          <w:p>
            <w:pPr>
              <w:jc w:val="center"/>
              <w:ind w:right="4300"/>
              <w:spacing w:after="0"/>
              <w:rPr>
                <w:sz w:val="20"/>
                <w:szCs w:val="20"/>
                <w:color w:val="auto"/>
              </w:rPr>
            </w:pPr>
            <w:r>
              <w:rPr>
                <w:rFonts w:ascii="Times New Roman" w:cs="Times New Roman" w:eastAsia="Times New Roman" w:hAnsi="Times New Roman"/>
                <w:sz w:val="18"/>
                <w:szCs w:val="18"/>
                <w:b w:val="1"/>
                <w:bCs w:val="1"/>
                <w:color w:val="0000FF"/>
                <w:w w:val="89"/>
              </w:rPr>
              <w:t>PART IV</w:t>
            </w: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1400" w:type="dxa"/>
            <w:vAlign w:val="bottom"/>
            <w:gridSpan w:val="4"/>
          </w:tcPr>
          <w:p>
            <w:pPr>
              <w:spacing w:after="0"/>
              <w:rPr>
                <w:sz w:val="18"/>
                <w:szCs w:val="18"/>
                <w:color w:val="auto"/>
              </w:rPr>
            </w:pPr>
          </w:p>
        </w:tc>
        <w:tc>
          <w:tcPr>
            <w:tcW w:w="660" w:type="dxa"/>
            <w:vAlign w:val="bottom"/>
            <w:tcBorders>
              <w:top w:val="single" w:sz="8" w:color="0000FF"/>
            </w:tcBorders>
            <w:gridSpan w:val="4"/>
          </w:tcPr>
          <w:p>
            <w:pPr>
              <w:spacing w:after="0"/>
              <w:rPr>
                <w:sz w:val="18"/>
                <w:szCs w:val="18"/>
                <w:color w:val="auto"/>
              </w:rPr>
            </w:pPr>
          </w:p>
        </w:tc>
        <w:tc>
          <w:tcPr>
            <w:tcW w:w="430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36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36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gridSpan w:val="16"/>
          </w:tcPr>
          <w:p>
            <w:pPr>
              <w:ind w:left="43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includes forward-looking statements based on our current expectations, which are subject to risks and uncertainties.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These forward-looking statements are subject to risks and uncertainties, and many factors could affect the future financial results and condition of the Company. Factors that may have a material effect on our revenues, expenses and operating results include, among other things, adverse business or market conditions, our ability to meet our customers’ scheduling requirements, our customers’ financial conditions and their ability to secure financing to support current and future projects, the availability and cost of materials from suppliers, availability and cost of a skilled labor force, adverse competitive developments and changes in customer requirements as well as those circumstances discussed under “Part I, Item 1A. Risk Factors,” below. Accordingly, actual results may differ materially from those expressed or implied by the forward-looking statements contained in this Annual Report. Any forward-looking statements made by or on our behalf are made pursuant to the safe harbor provisions of the Private Securities Litigation Reform Act of 1995.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current assumptions that we will continue to develop, market, manufacture and ship products and provide services on a competitive and timely basis; that economic and competitive conditions in our markets will not change in a materially adverse way; that we will accurately identify and meet customer needs for products and services; that we will be able to hire and retain skilled laborers and key employees; that our products and capabilities will remain competitive; that the financial markets and banking systems will remain stable and availability of credit will continue; that risks related to shifts in customer demand are minimized and that there will be no material adverse change in the operations or business of the Company. Assumptions relating to these factors involve judgments that are based on available information, which may not be complete, and are subject to changes in many factors beyond the Company’s control that can materially affect results. Because of these and other factors that affect our operating results, past financial performance should not be considered an indicator of future performance, and investors should not use historical trends to anticipate results or trends in future periods.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is a Delaware corporation founded by William E. Powell in 1947. We develop, design, manufacture and service custom-engineered equipment and systems that (1) distribute, control and monitor the flow of electrical energy and (2) provide protection to motors, transformers and other electrically powered equipment. We are headquartered in Houston, Texas, and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xml:space="preserve">. We make available, free of charge on or through our website, copies of our Annual Reports on Form 10-K, Quarterly Reports on Form 10-Q, Current Reports on Form 8-K, and amendments to those reports, filed or furnished pursuant to Section 13(a) or 15(d) of the Securities Exchange Act of 1934 as soon as is reasonably practicable after we electronically file such material with, or furnish it to, the Securities and Exchange Commission (SEC). Additionally, all of our reports filed with the SEC are available via their website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2023, Fiscal 2022 and Fiscal 2021 used throughout this Annual Report relate to our fiscal years ended September 30,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We are headquartered in Houston, Texas and serve the oil and gas and petrochemical markets, which include onshore and offshore production, liquefied natural gas (LNG) facilities and terminals, pipelines, refineries and petrochemical plants. Additional markets include electric utility, light rail traction power as well as mining and metals, pulp and paper, data centers and other municipal, commercial and industrial markets. Our product scope includes designs tested to meet both United States (U.S.) and international standards, under both the American National Standards Institute (ANSI) and International Electrotechnical Commission (IEC). We assist customers by providing field service inspection, installation, commissioning, modification, and repair services, as well as spare parts, retrofit and retrofill components for existing systems, and replacement circuit breakers for obsolete switchgear no longer produced by the original manufacturer. We seek to establish long-term relationships with the end users of our systems as well as design and construction engineering firms contracted by those end users. We believe that our exemplary culture of safety and focus on customer satisfaction, along with our financial strength, allow us to continue to capitalize on opportunities in the industries we serve.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Products and services are principally sold directly to the end user or to an engineering, procurement and construction (EPC) firm on behalf of the end user. Each project is specifically engineered and manufactured to meet the exact specifications and requirements of the individual customer. Powell’s expertise is in the design, engineering, manufacturing, project management and integration of assorted systems into a single, custom-engineered deliverable. We market and sell our products and services, which are typically awarded in competitive bid situations, to a wide variety of customers and governmental agencies spanning diverse markets and geographic regions. Contracts often represent large-scale and complex projects with an individual customer. By their nature, these projects are typically non-recurring. Thus, multiple and/or continuous projects of similar magnitude with the same customer are not predictable. The timing of large project awards may cause material fluctuations in our revenues and gross profits.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Occasionally our contracts may operate under a consortium or teaming arrangement. Typically, we enter into these arrangements with reputable companies with whom we have previously conducted business. These arrangements are generally made to leverage competitive positioning, or where scale and/or size dictates the use of such arrangement.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or customer. We believe the reduction in business volume from a particular industry or the loss of a major customer could have an adverse effect on our business. From time to time, an individual manufacturing facility may have significant volume from one particular customer that would be material to that facility. If during that time the customer were to experience financial distress, a decline in business or circumstances that would otherwise necessitate a cancellation of a project with us, our revenue could be adversely impacted. No single customer accounted for more than 10% of our consolidated revenues in Fiscal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critical to Powell’s future and are focused on both the development of new products and services as well as enhancing current product offerings. Our expertise in vacuum circuit breaker engineering is internationally recognized, and we are committed to incorporating continuous product improvements that will ensure sustained operational safety and reliability across the markets we serve.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strive to be the supplier of choice for custom-engineered system solutions and services to a broad array of customers and markets. Demand for our products and services is driven predominantly by the oil and gas, petrochemical and electric utility industries, but we also serve other commercial and industrial markets where customers need to manage, monitor and control large amounts of electrical energy through a complex network of electrical components and systems.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oil, gas and petrochemical markets, we serve the upstream, midstream and downstream end markets. Within the downstream market, our primary customers typically are engaged in refining activities and/or leveraging natural gas feedstocks for the production of petrochemical or LNG products. The North American market is responding to increased international demand for LNG and gas-to-chemical processes utilizing low-cost gas feedstocks. Strong relationships have developed with our customers over the years and we are recognized as a preferred service provider to solve our customers' complex electrical needs.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One element of our strategic focus is to strengthen our project portfolio beyond our core oil, gas and petrochemical markets. Diversification efforts outside of our core oil, gas and petrochemical markets have resulted in an increase in backlog across the utility and commercial and other industrial markets.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products and services, integration capabilities, technical and project management acumen, application engineering expertise and specialty contracting experience, together with our financial strength and responsiveness to the needs of our customers, give us a sustainable competitive advantage in our markets. We compete with a small number of multinational competitors that sell to a broad industrial and geographic market, as well as smaller, regional competitors that typically have limited capabilities and scope of supply. Some of our competitors are significantly larger and have substantially greater global resources such as engineering, manufacturing and marketing. Our principal competitors include ABB, Eaton, Schneider, and Siemens.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whom we often have long, established relationships. Ultimately, our competitive position is dependent upon our ability to provide quality custom-engineered products, services and systems on a timely basis at a competitive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Backlog represents management's estimate of the remaining unsatisfied performance obligation from work to be performed on our firm orders under uncompleted contracts and customer purchase orders, including approved change orders as well as new contractual agreements on which work has not begun. Our backlog will be recognized as revenue as we complete the remaining performance obligations. Our backlog does not include service and maintenance-type contracts for which we have the right to invoice as services are performed. Typically, our contracts may have an early termination for convenience clause at the discretion of our customers; however, most of these contracts typically provide for the reimbursement of our costs incurred and a reasonable margin in the event of such early termination. Our methodology for determining backlog may not be comparable to the methodology used by other companies.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at September 30, 2023 totaled $1.3 billion compared to $592.2 million at September 30, 2022. The increase in our backlog is across all of our end markets, and particularly driven by our core oil, gas and petrochemical markets. We anticipate that approximately $648 million of Fiscal 2023 ending backlog will be fulfilled during our fiscal year ending September 30, 2024. Backlog may not be indicative of future operating results as orders may be cancelled or modified by our customers and may not be indicative of continuing revenue performance over future fiscal quarters.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raw materials used in our operations include steel, copper and aluminum, as well as various engineered electrical components. Material costs represented 49% of revenues in Fiscal 2023, 51% of revenues in Fiscal 2022, and 49% of revenues in Fiscal 2021. Unanticipated changes in material requirements, market conditions and disruptions in the supply chain or price increases could impact production costs and affect our consolidated results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equipment and materials that we use in our business are subject to availability and price fluctuations due to customer demand, producer capacity and market conditions. Uncertainty and demand disruptions have, in the past, resulted in considerable volatility across commodity markets. We have experienced supply chain disruptions driven predominately by availability and cost volatility across our raw materials, engineered components and labor force. As our procurement function seeks to address specific supply chain challenges, we continue working with our suppliers of key components and commodities to meet our customer commitments. While we have experienced, and may continue to experience, issues related to increased lead times for the purchase and delivery of key raw materials or components, we continue to monitor the availability (including transportation) and price of components and raw materials on a regular basis, as well as any potential impact on our operations. Additionally, we have adjusted our product pricing with our customers in response to the increased cost environment which has made a positive impact on our gross margins in Fiscal 2023. While the cost outlook for commodities used in the production of our products is not certain, we believe we can manage this volatility through contract pricing adjustments, with material-cost predictive estimating, hedging and by actively pursuing internal cost reduction efforts.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supply base for certain key components and raw materials is limited. Many of our products require raw materials and components supplied by a limited number of suppliers, and in some instances, a single supplier. Changes in our design to accommodate similar components from other suppliers could be implemented to resolve a supply problem related to a sole-sourced component. Supply problems could result in delays in our ability to meet commitments to our customers and potentially result in delay damages assessed by our customers. We believe that sources of supply for raw materials and components are generally sufficient, and we do not believe a temporary shortage of materials will cause any significant adverse impact to our business and results of operations in the future.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2023, we had 2,363 full-time employees and 362 contract employees located primarily in the U.S., Canada and the United Kingdom (U.K.). Our employees are not represented by unions, and we believe that our relationship with our employees is good. Periodically, we find it challenging to source qualified personnel in certain geographic areas due to increased construction or economic activity. We continue to monitor our demand for skilled and unskilled labor and provide training and competitive compensation packages in an effort to attract and retain skilled employees. A decline in our employee relations, labor shortages or increased labor costs could impair our ability to maintain our business, meet customer commitments or grow our revenues, and may adversely impact our business and results of operations.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top human capital priorities include the well-being, health and safety, and retention of our employees, as well as enhanced learning and leadership training opportunities, workplace safety, internal promotion and key employee retention. Powell emphasizes a culture of safety that runs throughout the Company. We establish annual goals and monthly operating metrics, which have resulted in a safety incident rate of 0.7 which is below the industry average, according to the U.S. Bureau of Labor Statistics. We believe that the nine-year average tenure of our employees is a reflection of our inclusive and supportive culture, and focused efforts on internal promotion, key employee retention and succession planning. Our annual Organizational Capabilities Review is focused on succession planning within our organization and is reviewed annually by our Board of Directors. We measure our success based on the percentage of internal promotions to key positions and our ability to attract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hold various patents, trademarks, servicemarks, copyrights and licenses, we do not consider any individual intellectual property to be material to our consolidated business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not generally affected by seasonality. However, weather and natural phenomena can temporarily impact the performance of our operations. Furthermore, quarterly operating results may fluctuate in our first fiscal quarter due to the reduction in the number of workdays related to the number of holidays and paid time off that is taken in that fiscal quarter.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government regulations in the U.S. as well as various international locations where we operate. These regulations cover diverse areas including environmental compliance, import and export controls, economic sanctions, data and privacy protection, transfer pricing rules, anti-bribery, anti-trafficking and anti-trust provisions. Our policies mandate compliance with applicable laws and regulations administered by various state, federal and international agencies. We have established a multi-faceted compliance program that includes educating employees and leadership, performing risk-based due diligence and evaluating our supplier base. We require legal and ethical practices in our everyday work. We do not believe that compliance with governmental regulations will have a material impact on our capital expenditures, results of operations or competitive position.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including, but not limited to, the risks and uncertainties described below. If any of the following risks occur, the business's financial condition, cash flows, liquidity and results of operations may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Industry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cyclical nature of the end markets that we serve. This has had, and may continue to have, an adverse effect on our future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end markets that we serve have historically been cyclical and will continue to be vulnerable to general downturns, which in turn could materially and adversely affect the demand for our products and services. Our customer projects, budgets for capital expenditures and the need for our services have in the past, and may in the future, be adversely affected by among other things, the price of oil and gas, poor economic conditions, commodity prices, political uncertainties, cost of capital, and currency fluctuations. These variables may impact the number and/or the amount of new awards, delays in the timing of awards or potential cancellation of projects. Changes in product mix or services can have a significant impact on our gross margins on a quarterly and annual basis. The uncertainty of our contract award timing is outside of our control and can also present difficulties in matching workforce size with contract requirements. In some cases, we bear and maintain the cost of a ready workforce that may be larger than necessary in anticipation of future workforce needs. If an expected contract is delayed or not received, we may incur additional costs in staff or facility redundancy that could have an adverse impact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are significantly larger and have substantially greater global resources such as engineering, manufacturing and marketing resources, and at various times, may be our customer or supplier on any given project. Competition in the industry depends on a number of factors, including the number of projects available, technical ability, production capacity, production lead times, location and the ability to win projects we bid. Certain of our competitors may have lower cost structures or a more favorable geographic footprint and may, therefore, be able to provide their products or services at lower prices.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and secure projects could adversely affect future revenues and could have an adverse impact on our business and results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skilled and unskilled labor, and we may be unable to attract and retain qualified employees.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maintain our productivity at competitive levels may be limited by our ability to employ, compensate, train and retain personnel necessary to meet our requirements. We face competition within and outside of our markets for qualified personnel across all of our workforce. We may experience shortages of qualified personnel such as engineers, project managers, supervisors, office personnel and select skilled trades. We cannot be certain that we will be able to maintain an adequate skilled or unskilled labor force or key technical personnel necessary to operate efficiently and to support our growth strategy and operations. We cannot be certain that our labor costs will not increase as a result of a shortage in the supply of skilled, unskilled and technical personnel or any governmental regulations. Labor shortages or increased labor costs could impair our ability to maintain our business, meet customer commitments or grow our revenues, and could adversely impact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innovations may make existing products and production methods obsolete.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products that we manufacture and sell depend upon optimizing available technology for success in the marketplace. The industries in which we operate are characterized by intense competition and are highly sensitive to technological innovation and customer requirements. It is possible for competitors (both domestic and international) to develop products or production methods that will make current products or methods obsolete or at a minimum hasten their obsolescence; therefore, we cannot be certain that our competitors will not develop the expertise, experience and resources to provide products and services that are superior in both price and quality. Our future success will depend, in part, on our ability to anticipate and offer products that meet changing industry and customer specifications as well as fund our research and development costs. Consumer demand for further automation is changing the markets we operate in. Failure to successfully develop new products, or to enhance existing products, could result in the loss of existing customers to competitors, the inability to attract new business or an overall reduction in our competitive position, any of which could adversely affect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difficulties with expansions, relocations, or consolidations of existing facilities could adversely affect our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decide to enter new markets, build or lease additional facilities, expand our existing facilities, relocate or consolidate one or more of our operations or exit a facility we may own or lease. Increased costs and production delays arising from the staffing, relocation, sublease, expansion or consolidation of our facilities could adversely affect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and erode our competitive position.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the quality of our products and our relationships with customers. In the event that one of our products fails to meet our customers' standards or safety requirements or fails to operate effectively, our reputation could be harmed, which would adversely affect our marketing and sales efforts. We provide warranties to our customers for our products and services and the cost to satisfy customer warranty claims, which may include, among other things, costs for the repair or replacement of products, could adversely impact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product diversification through strategic acquisitions involve a number of risks.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includes the pursuit of growth and product diversification through the acquisition of companies or assets and entering into joint ventures that could enable us to expand our geographic coverage and product and service offerings. We periodically review potential acquisitions; however, we may be unable to successfully implement this strategy. Acquisitions involve certain risks, including difficulties in the integration of operations and systems; failure to realize cost savings; the termination of relationships by key personnel and customers of the acquired company and a failure to retain or add additional employees to handle the increased volume of business. Additionally, financial and accounting challenges and complexities in areas such as valuation, tax planning, treasury management, systems integration and financial reporting from our acquisitions may impact our operating results. Due diligence may not be adequate or reveal all risks and challenges associated with our acquisitions. Companies that we acquire may not achieve revenues, profitability or cash flows that we expect,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 under the terms of our credit facility or other financing arrangements. Any failure to successfully complete or successfully integrate acquisitions could have a material adverse effect on our business and results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relating to the use of subcontractors.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hire subcontractors to perform work on some projects and may depend on third-party labor suppliers to provide the personnel necessary to engineer, manufacture and ship our products. If our subcontractors do not perform as expected for any reason, we may experience delays in completing our projects or incur additional costs. In addition, we may have disputes with these independent subcontractors arising from, among other things, the price, quality or timeliness of the work performed. Some of the third parties we engage in support of our operations operate internationally and thus we may be impacted by the economic, political and labor conditions in those regions as well as uncertainty caused by international relations issues between the U.S. and those countries. Any of these factors could adversely impact our business and results of operations.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Misconduct by our employees or subcontractors, or a failure to comply with laws or regulations, could harm our reputation, damage our relationships with customers and subject us to criminal and civil enforcement actions.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52525"/>
        </w:rPr>
        <w:t xml:space="preserve">Misconduct, fraud, non-compliance with applicable laws and regulations, or other improper activities by one or more of our employees or subcontractors could have a significant negative impact on our business and reputation. While we take precautions to prevent and detect these activities, such precautions may not be effective and are subject to inherent limitations, including human error and fraud. Acts of misconduct, or our failure to comply with applicable laws or regulations, could subject us to fines and penalties, harm our reputation, and/or damage our relationships with customers and </w:t>
      </w:r>
      <w:r>
        <w:rPr>
          <w:rFonts w:ascii="Times New Roman" w:cs="Times New Roman" w:eastAsia="Times New Roman" w:hAnsi="Times New Roman"/>
          <w:sz w:val="18"/>
          <w:szCs w:val="18"/>
          <w:color w:val="000000"/>
        </w:rPr>
        <w:t>could adversely</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impact our business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Unsatisfactory safety performance may subject us to penalties, negatively impact customer relationships, result in higher operating costs, and negatively impact employee morale and turnover.</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52525"/>
        </w:rPr>
        <w:t>We place great emphasis on workplace safety in our entire organization through various safety initiatives and training. We have both indoor and outdoor manufacturing and fabrication facilities that are susceptible to numerous industrial safety risks that can lead to personal injury, loss of life, damage to property and equipment, as well as potential environmental damage. While we take every precaution to avoid incidents, we have experienced accidents in the past and may again in the future, which can negatively affect our safety record. A poor safety record can harm our reputation with existing and potential customers, jeopardize our relationship with employees, increase our insurance and operating costs and could adversely impact our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Catastrophic events, including natural disasters, health epidemics, acts of war and terrorism, among others, could disrupt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52525"/>
        </w:rPr>
        <w:t>The occurrence of catastrophic events, ranging from natural disasters and extreme weather conditions to health epidemics, to acts of war and terrorism, among others, could increase operating costs and/or disrupt or delay our ability to operate our business and complete projects for our customers and could potentially expose us to third-party liability claims or delay damages under our contracts. A significant portion of our operations are located near the Texas Gulf Coast; as a result, our operations have been and are subject to the potential impacts of weather-related events, including but not limited to hurricanes and flooding. Future weather events could cause significant damage to our property and equipment or customer projects and adversely impact our operations. We may declare the existence of a force majeure event under our contracts in certain situations; however, a customer may dispute our force majeure claim, which may result in additional liabilities. Losses or delays arising from such events may or may not be fully covered by our various insurance policies or may be subject to deductibles or exceed coverage limits. In addition, such events could result in temporary or long-term delays of existing projects as well as cancellations of orders for raw materials from our suppliers that could impact our project execution. These situations or other disruptions are outside of our control and may adversely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 and Markets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uncertainty and financial market conditions may impact our customer base, suppliers and backlog.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factors drive demand for our products and services, including the price and demand for oil and gas, capital expenditures, economic forecasts, global political environments (including war and terrorism) and the cost of capital. Unanticipated increases in raw material and component requirements or prices, the imposition of tariffs, and changes in supplier availability or supplier consolidation could increase production costs and adversely affect profitability. Uncertainty regarding these factors could impact our customers and severely impact the demand for projects and orders for our products and services. Additionally, the loss of significant volume from one particular customer at one of our facilities could adversely impact the operating results of that facility. If one or more of our suppliers or subcontractors experiences difficulties that result in a reduction, delay or interruption in supply to us, or they fail to meet our manufacturing requirements, our business could be adversely impacted, and we may incur delay damages until we are able to secure alternative sources. Furthermore, our ability to maintain or expand our business would be limited in the future if we are unable to maintain or increase our bonding capacity or our bank credit facility on favorable terms or at all. Similarly, disruptions in the capital markets or increased interest rates may also adversely impact our customer's ability to finance projects, which could result in contract cancellations or delays. These disruptions could lead to reduced demand for our products and services and cancellation of existing projects, and could have an adverse impact on our business, financial condition and results of operations.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cancellations and scope reductions and, therefore, may not be a reliable indicator of our future earnings.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backlog of uncompleted contracts. Backlog represents management's best estimate of the remaining performance obligation from work to be performed on our firm orders under uncompleted contracts and customer purchase orders, including approved change orders as well as new contractual agreements on which work has not begun. From time to time, projects are cancelled, delayed or modified due to customer, industry or macroeconomic conditions. While we may be reimbursed for certain costs, we may not have a contractual right to the total revenue reflected in our backlog. The ultimate realization of the future revenue in our backlog is based upon our ability to complete the projects, and we cannot control all of the various factors that might impact the timely delivery of our projects to our customers. We may be unable to recover certain costs and an anticipated margin, and cancelled or suspended projects may also result in additional unrecoverable costs due to the underutilization of our assets and personnel. Accordingly, the amounts recorded in backlog may not be a reliable indicator of our future operating results and may not be indicative of continuing revenue performance over future fiscal years or quarters.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 from our fixed-price contracts could result in volatility in our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“Management’s Discussion and Analysis of Financial Condition and Results of Operations — Critical Accounting Estimates” and in the Notes to Consolidated Financial Statements included elsewhere in this Annual Report, the majority of our revenues are recognized over time. Revenues are recognized as work is performed and costs are incurred. The revenue earned to date is calculated by multiplying the total contract price by the percentage of performance to date, which is based on total costs incurred to date compared to the total estimated costs at completion. The determination of the revenue recognized requires the use of estimates of costs to be incurred for the performance of the contract. The timing of the costs incurred may lead to fluctuations in revenue recognized on a quarterly and annual basis. The cost estimation process is based upon the professional knowledge and experience of our management teams, engineers, project managers and financial professionals. We bear the risk of cost overruns and delays in most of our contracts, which may result in reduced profits. Contract losses are recognized in full when determined, and estimates of revenue and cost to complete are adjusted based on ongoing reviews of estimated contract performance. Previously recorded estimates of revenues and costs are adjusted as the project progresses and circumstances change. In certain circumstances, it is possible that such adjustments to estimated costs and revenues could have an adverse impact on our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may subject us to penalties or additional liabilities.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customer contracts have schedule and performance obligation clauses that, if we fail to meet, could subject us to penalty provisions, liquidated damages or claims against us, or our outstanding letters of credit or performance bonds. In addition, some customer contracts stipulate protection against our gross negligence or willful misconduct. Each individual contract seeks to define the conditions under which the customer may make a claim against us. Due to the growth in our backlog, our manufacturing and fabrication capacity as well as ability to recruit and retain qualified labor is challenged resulting in an increased risk of meeting delivery dates and other contract performance obligations. It is possible that adjustments arising from such claims, or our failure to manage our contract risk, may not be covered by insurance and could have an adverse impact on our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material costs represented 49% of our consolidated revenues for Fiscal 2023. Unanticipated shortages in raw material and components, rising prices due to overall inflationary pressure, the imposition of tariffs, changes in supplier availability, delays in production or transportation, or supplier consolidation could increase production costs or lead times and adversely affect profitability as fixed-price contracts may prohibit our ability to charge the customer for the increase in raw material prices. We purchase a wide variety of materials and component parts from various suppliers around the world to manufacture our products, including steel, aluminum, copper and various components. Our supply base for certain key components and raw materials is limited and may come from a single supplier. If we are unable to obtain key components and raw materials from these suppliers, the key components and raw materials may not be readily available from other suppliers or available with acceptable terms and price levels. Our success depends on our ability to meet customer commitments and could be negatively impacted if a supplier experiences a disruption or discontinuance in their operations, or we experience a delay in transportation of materials and components from our suppliers. The time and effort associated with the selection and qualification of a new supplier and changes in our design and testing to accommodate similar components from other suppliers could be significant. Additionally, we rely on certain competitors for key materials used in our products. This could result in damages and negatively impact our ability to manufacture our products if the relationships change or become unfavorable and could have an adverse impact on our results of operations.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mitigate our inventory risks by increasing the levels of inventory for certain key components and raw materials and entering into commodity hedges when appropriate. Such increased inventory levels may not be adequate to meet future demand and may increase the potential for excess and obsolete inventories, which could have an adverse impact on our business and results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and financial performance. Our ability to issue letters of credit is dependent upon the availability of adequate credit issued by our banks and could be negatively impacted by our compliance with our financial covenants. Future compliance with such financial covenants may be affected by factors beyond our control, including general or industry-specific economic downturns.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and would require us to issue letters of credit under our bank facilities in lieu of surety bonds, thereby reducing availability under our credit facility, which could have an adverse impact on our liquidity,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remain in compliance with covenants or obtain waivers or amendments under our credit agreement could adversely impact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agreement contains various financial covenants and restrictions, which are described in Note G of the Notes to Consolidated Financial Statements. Our ability to remain in compliance with such financial covenants and restrictions may be affected by factors beyond our control, including general or industry-specific economic downturns. If we fail to remain in compliance with such covenants and restrictions, absent an amendment or waiver, this could result in an event of default under the credit agreement. Among other things, the occurrence of an event of default could limit our ability to pay dividends, issue letters of credit, or obtain additional financing or result in acceleration of outstanding amounts under the credit agreement or a termination of the agreement, any of which could have an adverse impact on our liquidity,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extend credit to customers in conjunction with our performance under fixed-price contracts which subjects us to potential credit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agree to allow our customers to defer payment on projects until certain performance milestones have been met or until the projects are substantially completed, and customers often withhold some portion of amounts due to us as retainage. Our payment arrangements subject us to potential credit risk related to changes in business, financial markets and economic factors affecting our customers, including material changes in our customers' revenues or cash flows. If we are unable to collect amounts owed to us, or retain amounts paid to us, our cash flows would be adversely impacted, and we could experience losses if those amounts exceed current allowances. Any of these factors could adversely impact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revenues may be concentrated among a small number of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customer or industry. We believe the reduction in business volume from a particular industry or the loss of a major customer could have an adverse effect on our business. From time to time, one of our manufacturing facilities may have significant volume from one particular customer or industry that would be material to that facility. If during that time the customer were to experience financial distress, a decline in business or circumstances that would otherwise necessitate a cancellation of a project with us, our revenue and results of operations could be adversely impacted.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insurance against many potential liabilities, but our management of risk may leave us exposed to unidentified or unanticipated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maintain insurance policies with respect to our estimated exposures, including certain casualty, property, professional, employee liability, business interruption, cybersecurity and self-insured medical programs, these policies contain deductibles, self-insured retentions and limits of coverage. In addition, we may not be able to continue to obtain insurance at commercially reasonable rates, or at the policy limits we may require or may be faced with liabilities not covered by insurance, such as, but not limited to, cybersecurity, environmental contamination, acts of war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coverage limits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associated with projects located outside of the U.S., including revenues generated from our operations in the U.K. and Canada, accounted for approximately 20% of our consolidated revenues in Fiscal 2023.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and/or governmental activities that limit or disrupt markets, restrict payments or limit the movement of funds and trade restrictions or economic embargoes imposed by the U.S. or other countries. Additionally, compliance with foreign and domestic import and export regulations and anti-corruption laws, such as the U.S. Foreign Corrupt Practices Act, General Data Protection Regulation, or similar laws of other jurisdictions outside the U.S., could adversely impact our ability to compete for contracts in such jurisdictions. Moreover, the violation of such laws or regulations, by us or our representatives, could result in severe penalties including monetary fines, criminal proceedings and suspension of export privileges.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fluctuating foreign currency exchange rates may impact our financial results. The functional currency of our foreign operations is typically the currency of the country in which the foreign operation is located. Accordingly, our financial performance is subject to fluctuations due to changes in foreign currency exchange rates relative to the U.S. dollar, and such fluctuations could adversely impact our financial position and results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weaknesses in our internal controls over financial reporting could adversely affect our ability to report on our financial condition and results of operations accurately and/or on a timely basis.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dependent upon individual data input or review. We are continually working to maintain and strengthen our internal controls over operational and financial reporting, however, any system of controls has limitations, including the possibility of human error, availability of qualified personnel, circumvention or overriding of controls and/or fraud. Our failure to maintain effective internal controls over financial reporting could adversely affect our ability to report our financial results on a timely and accurate basis, which could result in a loss of investor confidence in our financial reports or a decline in our stock price, or have an adverse impact on our business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3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could decline or fluctuate significantly due to unforeseen circumstances that may be outside of our control. These fluctuations may cause our stockholders to incur losses.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 price could fluctuate or decline due to a variety of factors including, but not limited to, the risk factors described herein, declines in the overall financial and economic outlook, timing and cancellation of projects, declines in new orders or backlog,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the trading price of our common stock could decline significantly.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or pay future dividends on our common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approved a regular quarterly dividend since our fiscal year ended September 30, 2014. The declaration, amount and timing of future dividends are subject to capital availability and determinations by our Board of Directors that cash dividends are in the best interest of our stockholders and in compliance with all respective laws and applicable agreements. Our ability to declare, increase or pay dividends will depend upon, among other factors, our financial condition, results of operations, cash flows, current and anticipated expansion plans, requirements under Delaware law and other factors that our Board of Directors may deem relevant. A reduction in or elimination of our dividend payments could have a material negative effect on our stock price.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Legal and Regulatory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impacted by the effects of government regulations.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government regulations in the U.S. as well as various international locations where we operate. These regulations cover several areas including environmental, social and governance (ESG) compliance, import and export controls, economic sanctions, data and privacy protection, transfer pricing rules, anti-bribery, anti-trafficking and anti-trust provisions. These laws and regulations are administered by various state, federal and international agencies. Changes in policy, laws or regulations, including those affecting oil and gas exploration and development activities or climate change matters and the resulting decisions by customers and other industry participants, could reduce demand for our products and services, which would have a negative impact on our operations. Increased regulations and reporting requirements around the world may adversely affect the operators in the markets we serve. Further, we cannot predict future changes in any country in which we operate or do business and how those changes may affect our ability to perform projects in those regions.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 conflict minerals are most commonly found in metals. As there may be only a limited number of suppliers offering "conflict-free" metals, we cannot be sure that we will be able to obtain necessary metals in sufficient quantities or at competitive prices. Also, we may face challenges with our customers and suppliers if we are unable to sufficiently verify that the metals used in our products are "conflict-free."</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are governed by Delaware law, we are subject to the provisions of Section 203 of the Delaware General Corporation Law. These provisions prohibit a publicly 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provisions of our Certificate of Incorporation and bylaws may discourage, delay or prevent a merger, acquisition or other change in control that stockholders might otherwise consider favorable, including transactions in which stockholders might otherwise receive a premium for their shares. These provisions may frustrate or prevent any attempt by our stockholders to replace or remove our current management by making it more difficult to replace or remove our Board of Directors.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arising from tariffs and other economic proposals could adversely impact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restrictions or economic disincentives on U.S. or international trade such as significant increases in tariffs on goods could adversely impact our business. Changes in U.S. or international social, political, regulatory and economic conditions or in laws and policies governing foreign trade, manufacturing, development and investment in the territories and countries where we currently develop and sell our products, and any negative sentiment towards the U.S. as a result of such changes, could adversely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business systems or cybersecurity attacks on any of our facilities, or those of third parties, could adversely affect our business, results of operations and reputation.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networks and infrastructure in managing our day-to-day operations. In the event of systems failure or interruption, including those related to force majeure, telecommunications failures, criminal acts, including hardware/software break-ins, extortion attempts, viruses, or other cybersecurity incidents, we may have limited ability to affect the timing and success of systems restoration, and any resulting interruption in our ability to manage or operate our business could have a material adverse effect on our operating results and reputation.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Increased global information technology cybersecurity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education,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continuously working to improve our information technology systems, together with creating security boundaries around our critical and sensitive assets. We provide security awareness education to our employees and contractors that focuses on various aspects of the cybersecurity world. All of these steps are taken in order to mitigate the risk of attack and to ensure our readiness to responsibly handle any security violation or attack. If an actual or perceived breach of our security occurs, the market perception of the effectiveness of our security measures and our products could be harmed. We could lose potential projects and existing customers, our ability to operate our business could be impaired, we may incur significant liabilities, we could suffer harm to our reputation and competitive position, and our operating results could be negatively impacted.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the National Institute of Standards and Technology Framework for Improving Critical Infrastructure Cybersecurity (NIST Framework), a toolkit for organizations to manage cybersecurity risk in its assessment of cybersecurity capabilities and in developing cybersecurity priorities. In addition to internal assessments, our cybersecurity strategy and capabilities are evaluated and audited against the NIST Framework and industry best practices by independent, third-party, leading specialists in cybersecurity.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create a culture of cybersecurity resilience and awareness. This tone is set from the top and continuously reinforced with our employees and contractors through regular education and testing. We continue to mature our programs and invest in the security of our systems, operations, people, infrastructure, and cloud environments.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is briefed on our strategy and roadmap in alignment with NIST Cybersecurity Framework. The Board receives quarterly updates on program maturity, cybersecurity risks, threat landscape and overall program progress. While cybersecurity resilience is the responsibility of every employee and contractor, the cybersecurity program is led by the Chief Information Officer. The Information Technology Cybersecurity team meets regularly and reviews trending risks and remediation efforts. When necessary, we assign resources to mitigate and elevate risks to the enterprise level as part of our Enterprise Risk Management program. Any significant disruption or failure of our business systems and/or cybersecurity infrastructure could damage our reputation and have a material adverse effect on our business and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compliance with ESG initiatives could adversely impact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achieve ESG initiatives while maintaining the rights and interests of our employees and shareholders. There has been an increased focus on ESG matters by consumers, investors, as well as by governmental and non-governmental organizations. To the extent that our ESG initiatives are deemed to be insufficient by stakeholders, this could adversely impact our business, results of operations, stock price or competitive position.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 potential contamination, including contamination we did not cause. These potential environmental liabilities may or may not be fully covered by our various insurance policies and may adversely affect our business and results of operations.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Climate change regulations could require us or our customers to incur additional expenditures to either purchase new, or modify existing equipment or processes. These laws and regulations may also increase the cost of raw materials from our suppliers. The potential for future ESG and climate risk reporting requirements may result in additional costs to monitor, track and report sustainability measures. Additionally, increased attention to climate change, conservation measures, energy transition and consumer demand for alternatives to hydrocarbons could reduce the demand for oil and gas applications and have an adverse impact on the demand for the products produced by our customers and therefore reduce demand for our products, which could adversely impact our business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named as a defendant in legal proceedings that claim damages in connection with the operation of our business. Most of the actions against us arise out of the normal course of our performing services or manufacturing equipment. From time to time, we may be a plaintiff in legal proceedings against customers in which we seek to recover payment of contractual amounts due to us, as well as claims for increased costs incurred by us. When appropriate, we establish estimated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change our effective tax rate and could have a material effect on our financial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A change in tax laws, deductions or credits, treaties or regulations, or their interpretation, in the countries in which we operate, could result in a higher tax rate on our pre-tax income, which could have a material impact on our net income.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statutory tax rates or loss of our ability to claim Research and Development Tax Credits could have a material impact on our net income or loss and cash flow.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departure of key personnel could disrupt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continued efforts of our executive officers, senior management and other key personnel. We cannot be certain that any individual will continue in such capacity for any particular period of time. The loss of key personnel, or the inability to hire, train and retain qualified employees, could negatively impact our ability to perform and manage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our principal manufacturing and fabrication facilities and periodically lease smaller facilities throughout the U.S., Canada and the U.K. Our facilities are generally located in areas that are readily accessible to materials and labor pools and are maintained in good condition. These facilities are expected to meet our needs for the foreseeable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locations as of September 30, 2023,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380" w:type="dxa"/>
            <w:vAlign w:val="bottom"/>
            <w:gridSpan w:val="4"/>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1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gridSpan w:val="3"/>
            <w:vMerge w:val="continue"/>
          </w:tcPr>
          <w:p>
            <w:pPr>
              <w:spacing w:after="0"/>
              <w:rPr>
                <w:sz w:val="12"/>
                <w:szCs w:val="12"/>
                <w:color w:val="auto"/>
              </w:rPr>
            </w:pPr>
          </w:p>
        </w:tc>
        <w:tc>
          <w:tcPr>
            <w:tcW w:w="4380" w:type="dxa"/>
            <w:vAlign w:val="bottom"/>
            <w:gridSpan w:val="4"/>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tcPr>
          <w:p>
            <w:pPr>
              <w:jc w:val="right"/>
              <w:ind w:right="108"/>
              <w:spacing w:after="0" w:line="127"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10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office and manufacturing facility</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290,554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4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fabrication facility, bulkhead and yard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North Canton, OH</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Northlake, IL</w:t>
            </w:r>
          </w:p>
        </w:tc>
        <w:tc>
          <w:tcPr>
            <w:tcW w:w="4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Bradford, U.K.</w:t>
            </w:r>
          </w:p>
        </w:tc>
        <w:tc>
          <w:tcPr>
            <w:tcW w:w="43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Acheson, Alberta, Canada</w:t>
            </w:r>
          </w:p>
        </w:tc>
        <w:tc>
          <w:tcPr>
            <w:tcW w:w="4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330,168</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Market (NASDAQ) under the symbol “POWL.”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4, 2023, there were 240 stockholders of record of our common stock. All common stock held in street names is recorded in the Company’s stock register as being held by one stockholder.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“Part III, Item 12. Security Ownership of Certain Beneficial Owners and Management and Related Stockholder Matters” of this Annual Report for information regarding securities authorized for issuance under our equity compensation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anticipates declaring cash dividends in future quarters; however, there is no assurance as to future dividends or their amounts because they depend on future earnings, capital requirements, financial condition and debt covenants.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Form 10-K for the fiscal year ended September 30, 2022, the performance graph included a peer index (the "previous Industrial Electrical Equipment Group") composed of Altra Industrial Motion Corp.; Ameresco, Inc.; AZZ Inc.; Belden Inc.; Daktronics Inc.; EnerSys; Franklin Electric Co, Inc.; Gibraltar Industries, Inc.; LittelFuse Inc.; LSI Industries Inc.; Matthews International Corporation; Preformed Line Products Company; A.O. Smith Corporation; Thermon Group Holdings Inc. and Woodward, Inc. As a continuing effort to align our peer group with our industry, market capitalization, location and other factors, we have replaced Altra Industrial Motion Corp. with CECO Environmental. Accordingly, the new Industrial Electrical Equipment Group is composed of Ameresco, Inc.; A.O. Smith Corporation; AZZ Inc.; Belden Inc.; CECO Environmental; Daktronics Inc.; EnerSys; Franklin Electric Co, Inc.; Gibraltar Industries, Inc.; LittelFuse Inc.; LSI Industries Inc.; Matthews International Corporation; Preformed Line Products Company; Thermon Group Holdings Inc. and Woodward, Inc.</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graph compares, for the period from October 1, 2018 to September 30, 2023, the cumulative stockholder return on our common stock with the cumulative total return on the IShares Russell 2000, the Invesco S&amp;P SmallCap 600 Energy, the new Industrial Electrical Equipment Group and the previous Industrial Electrical Equipment Group. The comparison assumes that $100 was invested on October 1, 2018, in our common stock, the IShares Russell 2000, the Invesco S&amp;P SmallCap 600 Energy, the new Industrial Electrical Equipment Group and the previous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422275</wp:posOffset>
            </wp:positionV>
            <wp:extent cx="5863590" cy="3291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twelve months ended September 30, 2023 compared to the twelve months ended September 30, 2022 should be read in conjunction with the accompanying consolidated financial statements and related notes. We have elected to omit discussion on the earliest of the three years covered by the consolidated financial statements presented. Refer to Item 7. Management's Discussion and Analysis of Financial Condition and Results of Operations located in our Form 10-K for the fiscal year ended September 30, 2022, filed on December 6, 2022, for discussion of the fiscal year ended September 30, 2021, the earliest of the three fiscal years presented.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Risk Factors” and “Part I, Item 1A. Risk Factors,” included elsewhere in this Annual Report.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LNG facilities and terminals, pipelines, refineries and petrochemical plants. Additional markets include electric utility, light rail traction power as well as mining and metals, pulp and paper, data centers and other municipal, commercial and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 The North American market is responding to increased international demand for LNG and gas-to-chemical processes utilizing low-cost gas feedstocks. As a result, the business has been awarded a number of large LNG and petrochemical contracts that have had a positive impact on our backlog.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element of our strategic focus is to strengthen our project portfolio beyond our core oil, gas and petrochemical end market sectors. Diversification efforts outside of our core oil, gas and petrochemical end markets have resulted in an increase in backlog across the utility and commercial and other industrial sectors. Over the past year, these efforts have contributed to a strong backlog of projects coming into Fiscal 2023 and near record levels going into Fiscal 2024.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factors resulting in global economic uncertainty negatively impacted our results over the previous two years. Uncertainty and demand disruptions resulted in considerable volatility across commodity markets. We experienced supply chain disruptions driven predominantly by availability and cost volatility across our raw materials, components and labor force. All of these factors contributed to the lower margins realized in Fiscal 2022 relative to prior oil and gas cycles. Commodity prices have stabilized in Fiscal 2023; however, we continue to experience supply chain delays for specific engineered components and continue to work with our suppliers in order to meet our customer commitments. Additionally, we have adjusted our product pricing, delivery schedules and bid validity dates with our customers in response to the increased cost environment and supply chain delays, and as a result our gross margins have been improved in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September 30, 2023 Compared to Twelve Months Ended September 30,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Gross Profit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by 31%, or $166.7 million, to $699.3 million in Fiscal 2023, primarily driven by the increase in project backlog resulting from a recovery of our core oil, gas and petrochemical markets. Domestic revenues increased by 38%, or $153.0 million, to $557.9 million in Fiscal 2023. International revenues increased by 11%, or $13.8 million, to $141.4 million. Our international revenues include both revenues generated from our international facilities as well as revenues from export projects generated at our domestic facilities.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our core oil and gas markets (excluding petrochemical) increased by 27%, or $57.9 million, to $273.1 million in Fiscal 2023, and petrochemical revenue increased by 42%, or $27.6 million, to $94.2 million in Fiscal 2023. Revenue from our utility end markets increased by 29%, or $36.0 million, to $158.4 million in Fiscal 2023. Commercial and other industrial market revenue increased by 84%, or $47.5 million, to $104.0 million driven by an increase in traditionally non-core markets such as data centers, university projects and other miscellaneous applications. Revenue from all other markets combined increased by $14.5 million to $41.5 million in Fiscal 2023. These increases in revenue were driven by improved market conditions and our strategic effort to diversify our business. Revenue from our traction market decreased by 37%, or $16.8 million, to $28.1 million in Fiscal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74%, or $62.5 million, to $147.6 million in Fiscal 2023. Gross profit as a percentage of revenues increased to 21% in Fiscal 2023 as compared to 16% in the prior year. This increase in gross profit was favorably impacted by the higher volume levels across the manufacturing facilities driving key factory efficiencies, strong project execution as well as, effectively managing product pricing that corresponds to current cost levels. Additionally, project cancellations contributed $4.3 million to gross profit in Fiscal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11%, or $8.0 million, to $78.8 million in Fiscal 2023, primarily due to increased variable performance-based compensation. Selling, general and administrative expenses, as a percentage of revenues, decreased to 11% in Fiscal 2023, compared to 13% in Fiscal 2022, based upon leveraging our cost structure on the increase in revenues.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we recorded other income of $2.3 million related to a gain on the sale of a small, non-core, industrial valve repair and servicing business within our Canadian operations as well as the sale of an excess parcel of land in the U.S. We did not record other income in Fiscal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$14.4 million in Fiscal 2023, resulting in an effective tax rate of 21%, compared to an income tax benefit of $3.9 million in Fiscal 2022 at an effective tax rate of negative 40%. In Fiscal 2023, the effective tax rate approximated the U.S. federal statutory rate. The favorable impacts of the estimated Research and Development Tax Credit (R&amp;D Tax Credit) and the release of the valuation allowance previously recorded against the U.K. net deferred tax assets in the amount of $1.9 million were offset by state income tax expense, certain non-deductible items and the tax impact of U.S. global intangible income.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2022, the tax benefit primarily resulted from the release of the valuation allowance previously recorded against the Canadian net deferred tax assets in the amount of $5.9 million and the estimated R&amp;D Tax Credit. The tax benefit was partially offset by certain non-deductible items, the tax expense related to the gain on the disposition of a small, non-core division of our Canadian operations and the tax impact of U.S. global intangible income.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Fiscal 2023, we recorded net income of $54.5 million, or $4.50 per diluted share, compared to net income of $13.7 million, or $1.15 per diluted share in Fiscal 2022. This increase in net income is primarily due to the increase in bookings which led to an increase in revenues coupled with increased project margins.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at September 30, 2023 was $1.3 billion, a 118% increase from $592.2 million at September 30, 2022. This increase in backlog is driven primarily from our oil and gas markets, including LNG, petrochemical, utility and commercial and other industrial markets. Bookings, net of cancellations and scope reductions, increased by 94% in Fiscal 2023 to $1.4 billion, compared to $718.6 million in Fiscal 2022, primarily driven by continued strength from our core oil, gas and petrochemical markets, including several large LNG and petrochemical projects.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Recently we have seen a cyclical recovery across our core oil, gas and petrochemical markets combined with increased global demand for cleaner-burning fuels as well as related processes utilizing lower cost gas feedstocks. Our order activity in most of our core markets has been strong and includes multiple large LNG and petrochemical projects. This elevated project activity has increased our backlog to approximately $1.3 billion. Diversification efforts outside of our core oil, gas and petrochemical end markets have also been a positive catalyst, helping to drive the increase in backlog. This strong backlog of projects, which incorporates pricing and productivity initiatives in response to persistent inflationary pressures, should continue to support an increasing level of revenue into Fiscal 2024. Approximately $648 million of the backlog is expected to be recognized as revenue within the next twelve months. We do not anticipate our backlog will continue to grow at the same pace as we have recognized in the last twelve months, which included several large LNG and petrochemical projects booked throughout Fiscal 2023.</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in the past, negatively impacted our business and operating results due to the limited availability resulting in uncertainty in the timing of the receipt of key component parts and commodities. We continue to remain focused on the variables that impact our markets as well as cost management, labor availability and supply chain challenges.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2023, current assets exceeded current liabilities by 1.6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$279.0 million at September 30, 2023, compared to $116.5 million at September 30, 2022. The increase in cash, cash equivalents and short-term investments was primarily driven by the increased project volume and favorable timing of contract billing milestones on some of our large projects. We typically allocate a significant percentage of the progress billing to the early stages of the contract. These favorable billing milestones along with our increase in project backlog are the primary drivers for the increase at September 30, 2023. We believe that our strong working capital position, available borrowings under our credit facility and available cash and cash equivalents should be sufficient to support our future operating activities, capital improvements and research and development initiatives for the foreseeable future.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2023, we entered into a second amendment (the Second Amendment) to our credit agreement with Bank of America, N.A. (as amended, the U.S. Revolver). The Second Amendment increased the revolving credit facility, which is available for both borrowings and letters of credit from $75.0 million to $125.0 million. As amended by the Second Amendment, the U.S. Revolver states the lesser of $50 million or 50% of available cash may be deducted from the amount of letters of credit outstanding (not to be less than zero) when calculating the consolidated funded indebtedness, which is a component of the consolidated net leverage ratio. We have the option to cash collateralize all or a portion of the letters of credit outstanding, which would favorably impact the consolidated funded indebtedness calculation and the consolidated net leverage ratio.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2023, there were no amounts borrowed under the U.S. Revolver, and letters of credit outstanding were $89.1 million. There was $35.9 million available for the issuance of letters of credit and borrowings under the U.S. Revolver as of September 30, 2023. We are required to maintain certain financial covenants, the most significant of which are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G and H of Notes to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4, 2023, we entered into a third amendment to the U.S. Revolver (the Third Amendment) with Bank of America, N.A., and Texas Capital Bank has agreed to join as an additional lender under the U.S. Revolver. The Third Amendment increased the amount of the revolving line of credit from $125.0 million to $150.0 million and extended the expiry date to October 4, 2028. For further information regarding the Third Amendment, see Note G to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$57.4 million of our cash, cash equivalents and short-term investments at September 30, 2023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activities provided net cash of $182.6 million during Fiscal 2023 and used net cash of $3.6 million during Fiscal 2022. Cash flow from operations is primarily influenced by the timing of milestone payments from our customers, project volume and the associated working capital requirements, as well as payment terms with our suppliers. This increase in operating cash flow was primarily due to the increase in project volume and the favorable timing of contract billing milestones, although partially offset by the increases in accounts receivable and inventory. Inventory has increased to support our increased backlog and stock levels to help mitigate global supply chain risks.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used $26.6 million of cash during Fiscal 2023 compared to $6.5 million of cash provided in Fiscal 2022. The increase in cash used in investing activities during Fiscal 2023 was primarily due to the timing of cash used to purchase short-term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$13.1 million during Fiscal 2023 compared to $13.3 million during Fiscal 2022, which primarily consisted of approximately $12.4 million and $12.2 million of dividends paid in the respective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contingently liable for letters of credit and bank guarantees totaling $96.7 million as of September 30, 2023, with the following potential cash outflows in the event that we are unable to perform under our contracts (in thousands):</w:t>
      </w:r>
    </w:p>
    <w:p>
      <w:pPr>
        <w:sectPr>
          <w:pgSz w:w="11900" w:h="16838" w:orient="portrait"/>
          <w:cols w:equalWidth="0" w:num="1">
            <w:col w:w="11240"/>
          </w:cols>
          <w:pgMar w:left="320" w:top="1107" w:right="339" w:bottom="1440" w:gutter="0" w:footer="0" w:header="0"/>
        </w:sect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than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More than 3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long-term commercial obligations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Letters of</w:t>
      </w: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Credit/ Bank Guarantees</w:t>
      </w:r>
    </w:p>
    <w:p>
      <w:pPr>
        <w:spacing w:after="0" w:line="43" w:lineRule="exact"/>
        <w:rPr>
          <w:sz w:val="20"/>
          <w:szCs w:val="20"/>
          <w:color w:val="auto"/>
        </w:rPr>
      </w:pPr>
    </w:p>
    <w:p>
      <w:pPr>
        <w:ind w:left="1164" w:hanging="1164"/>
        <w:spacing w:after="0"/>
        <w:tabs>
          <w:tab w:leader="none" w:pos="11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48,459</w:t>
      </w:r>
    </w:p>
    <w:p>
      <w:pPr>
        <w:spacing w:after="0" w:line="27" w:lineRule="exact"/>
        <w:rPr>
          <w:rFonts w:ascii="Times New Roman" w:cs="Times New Roman" w:eastAsia="Times New Roman" w:hAnsi="Times New Roman"/>
          <w:sz w:val="18"/>
          <w:szCs w:val="18"/>
          <w:color w:val="auto"/>
        </w:rPr>
      </w:pPr>
    </w:p>
    <w:p>
      <w:pPr>
        <w:ind w:left="1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33,711</w:t>
      </w:r>
    </w:p>
    <w:p>
      <w:pPr>
        <w:spacing w:after="0" w:line="34" w:lineRule="exact"/>
        <w:rPr>
          <w:rFonts w:ascii="Times New Roman" w:cs="Times New Roman" w:eastAsia="Times New Roman" w:hAnsi="Times New Roman"/>
          <w:sz w:val="18"/>
          <w:szCs w:val="18"/>
          <w:color w:val="auto"/>
        </w:rPr>
      </w:pPr>
    </w:p>
    <w:p>
      <w:pPr>
        <w:ind w:left="1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14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 w:lineRule="exact"/>
        <w:rPr>
          <w:sz w:val="20"/>
          <w:szCs w:val="20"/>
          <w:color w:val="auto"/>
        </w:rPr>
      </w:pPr>
    </w:p>
    <w:p>
      <w:pPr>
        <w:ind w:left="1164" w:hanging="1164"/>
        <w:spacing w:after="0"/>
        <w:tabs>
          <w:tab w:leader="none" w:pos="11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44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144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756" w:space="720"/>
            <w:col w:w="1764"/>
          </w:cols>
          <w:pgMar w:left="320" w:top="1107" w:right="339" w:bottom="1440" w:gutter="0" w:footer="0" w:header="0"/>
          <w:type w:val="continuous"/>
        </w:sectPr>
      </w:pPr>
    </w:p>
    <w:p>
      <w:pPr>
        <w:spacing w:after="0" w:line="6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also had surety bonds totaling $393.4 million that were outstanding at September 30, 2023. Surety bonds are primarily used to guarantee our contract performance to our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significant off-balance sheet arrangements during the periods presented.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 Fixed-price contracts can limit our ability to pass these increases to our customers, thus negatively impacting our earnings and operations in future quarters and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(U.S. GAAP) requires management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estimates to be critical in the preparation and reporting of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commissioning of these enclosures.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separate performance obligations,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estimated revenues, thus creating a loss, a provision for the total estimated loss is recorded in that period. See Note E of Notes to Consolidated Financial Statements for disclosures related to changes in contract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operating income in the Consolidated Statements of Operations. In addition, we estimate the useful lives of our long-lived assets and other intangibles, and periodically review these estimates to determine whether these lives are appropriate.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for Contingent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 each contingent liability, including estimated legal costs, in evaluating the amount of liability that should be recorded. Actual results could differ from our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position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I of Notes to Consolidated Financial Statements for disclosures related to the valuation allowance recorded in relation to deferred taxes.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industrial markets. Occasionally, our customers may include an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our gross margin. During Fiscal 2022, we entered into a derivative contract to hedge a portion of our exposure to commodity price risk. This contract was immaterial for both Fiscal 2022 and Fiscal 2023, and ended in June 2023. In the future, we may enter into additional derivative contracts to further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Singapore Dollar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Fiscal 2023, our realized foreign exchange loss was $0.4 million and is included in selling, general and administrative expenses in our Consolidated Statements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$26.9 million as of September 30, 2023, a decrease of $2.1 million compared to September 30, 2022. This decrease in comprehensive loss was primarily a result of fluctuations in the currency exchange rates for the Canadian Dollar and British Pound Sterling as we re-measured the foreign operations of those divisions.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on our financial statements. Because we did not have any outstanding borrowings under our U.S. Revolver as of both September 30, 2023 and 2022, we have not experienced any significant interest rate risk for each of the periods presented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5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6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0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058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6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2023 and 2022</w:t>
            </w:r>
          </w:p>
        </w:tc>
        <w:tc>
          <w:tcPr>
            <w:tcW w:w="538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September 30, 2023, 2022 and 2021</w:t>
            </w:r>
          </w:p>
        </w:tc>
        <w:tc>
          <w:tcPr>
            <w:tcW w:w="364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September 30, 2023, 2022 and 2021</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September 30, 2023, 2022 and 2021</w:t>
            </w:r>
          </w:p>
        </w:tc>
        <w:tc>
          <w:tcPr>
            <w:tcW w:w="18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September 30, 2023, 2022 and 2021</w:t>
            </w:r>
          </w:p>
        </w:tc>
        <w:tc>
          <w:tcPr>
            <w:tcW w:w="680" w:type="dxa"/>
            <w:vAlign w:val="bottom"/>
          </w:tcPr>
          <w:p>
            <w:pPr>
              <w:spacing w:after="0"/>
              <w:rPr>
                <w:sz w:val="18"/>
                <w:szCs w:val="18"/>
                <w:color w:val="auto"/>
              </w:rPr>
            </w:pPr>
          </w:p>
        </w:tc>
        <w:tc>
          <w:tcPr>
            <w:tcW w:w="29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40" w:type="dxa"/>
            <w:vAlign w:val="bottom"/>
            <w:gridSpan w:val="4"/>
          </w:tcPr>
          <w:p>
            <w:pPr>
              <w:spacing w:after="0"/>
              <w:rPr>
                <w:sz w:val="18"/>
                <w:szCs w:val="18"/>
                <w:color w:val="auto"/>
              </w:rPr>
            </w:pPr>
          </w:p>
        </w:tc>
        <w:tc>
          <w:tcPr>
            <w:tcW w:w="35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4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378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Powell Industries, Inc.</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4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audited the accompanying consolidated balance sheets of Powell Industries, Inc. and its subsidiaries (the “Company”) as of September 30, 2023 and 2022, and the related consolidated statements of operations, of comprehensive income, of shareholders' equity and of cash flows for each of the three years in the period ended September 30, 2023, including the related notes (collectively referred to as the “consolidated financial statements”). We also have audited the Company's internal control over financial reporting as of September 30, 2023, based on criteria established in Internal Control - Integrated Framework (2013) issued by the Committee of Sponsoring Organizations of the Treadway Commission (COSO).</w:t>
      </w:r>
    </w:p>
    <w:p>
      <w:pPr>
        <w:spacing w:after="0" w:line="246" w:lineRule="exact"/>
        <w:rPr>
          <w:sz w:val="20"/>
          <w:szCs w:val="20"/>
          <w:color w:val="auto"/>
        </w:rPr>
      </w:pPr>
    </w:p>
    <w:p>
      <w:pPr>
        <w:ind w:right="340"/>
        <w:spacing w:after="0" w:line="251" w:lineRule="auto"/>
        <w:rPr>
          <w:sz w:val="20"/>
          <w:szCs w:val="20"/>
          <w:color w:val="auto"/>
        </w:rPr>
      </w:pPr>
      <w:r>
        <w:rPr>
          <w:rFonts w:ascii="Georgia" w:cs="Georgia" w:eastAsia="Georgia" w:hAnsi="Georgia"/>
          <w:sz w:val="17"/>
          <w:szCs w:val="17"/>
          <w:color w:val="auto"/>
        </w:rPr>
        <w:t>In our opinion, the consolidated financial statements referred to above present fairly, in all material respects, the financial position of the Company as of September 30, 2023 and 2022, and the results of its operations and its cash flows for each of the three years in the period</w:t>
      </w:r>
    </w:p>
    <w:p>
      <w:pPr>
        <w:spacing w:after="0" w:line="1" w:lineRule="exact"/>
        <w:rPr>
          <w:sz w:val="20"/>
          <w:szCs w:val="20"/>
          <w:color w:val="auto"/>
        </w:rPr>
      </w:pPr>
    </w:p>
    <w:p>
      <w:pPr>
        <w:ind w:right="80"/>
        <w:spacing w:after="0" w:line="229" w:lineRule="auto"/>
        <w:rPr>
          <w:sz w:val="20"/>
          <w:szCs w:val="20"/>
          <w:color w:val="auto"/>
        </w:rPr>
      </w:pPr>
      <w:r>
        <w:rPr>
          <w:rFonts w:ascii="Georgia" w:cs="Georgia" w:eastAsia="Georgia" w:hAnsi="Georgia"/>
          <w:sz w:val="18"/>
          <w:szCs w:val="18"/>
          <w:color w:val="auto"/>
        </w:rPr>
        <w:t>ended September 30, 2023 in conformity with accounting principles generally accepted in the United States of America. Also in our opinion, the Company maintained, in all material respects, effective internal control over financial reporting as of September 30, 2023, based on</w:t>
      </w:r>
    </w:p>
    <w:p>
      <w:pPr>
        <w:spacing w:after="0"/>
        <w:rPr>
          <w:sz w:val="20"/>
          <w:szCs w:val="20"/>
          <w:color w:val="auto"/>
        </w:rPr>
      </w:pPr>
      <w:r>
        <w:rPr>
          <w:rFonts w:ascii="Georgia" w:cs="Georgia" w:eastAsia="Georgia" w:hAnsi="Georgia"/>
          <w:sz w:val="18"/>
          <w:szCs w:val="18"/>
          <w:color w:val="auto"/>
        </w:rPr>
        <w:t>criteria established in Internal Control - Integrated Framework (2013) issued by the COSO.</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4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7"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31"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9" w:name="page30"/>
    <w:bookmarkEnd w:id="29"/>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4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w:t>
      </w:r>
    </w:p>
    <w:p>
      <w:pPr>
        <w:spacing w:after="0" w:line="3" w:lineRule="exact"/>
        <w:rPr>
          <w:sz w:val="20"/>
          <w:szCs w:val="20"/>
          <w:color w:val="auto"/>
        </w:rPr>
      </w:pPr>
    </w:p>
    <w:p>
      <w:pPr>
        <w:ind w:right="60"/>
        <w:spacing w:after="0" w:line="229" w:lineRule="auto"/>
        <w:rPr>
          <w:sz w:val="20"/>
          <w:szCs w:val="20"/>
          <w:color w:val="auto"/>
        </w:rPr>
      </w:pPr>
      <w:r>
        <w:rPr>
          <w:rFonts w:ascii="Georgia" w:cs="Georgia" w:eastAsia="Georgia" w:hAnsi="Georgia"/>
          <w:sz w:val="18"/>
          <w:szCs w:val="18"/>
          <w:color w:val="auto"/>
        </w:rPr>
        <w:t>accepted accounting principles, and that receipts and expenditures of the company are being made only in accordance with authorizations of management and directors of the company; and (iii) provide reasonable assurance regarding prevention or timely detection of unauthorized</w:t>
      </w:r>
    </w:p>
    <w:p>
      <w:pPr>
        <w:spacing w:after="0"/>
        <w:rPr>
          <w:sz w:val="20"/>
          <w:szCs w:val="20"/>
          <w:color w:val="auto"/>
        </w:rPr>
      </w:pPr>
      <w:r>
        <w:rPr>
          <w:rFonts w:ascii="Georgia" w:cs="Georgia" w:eastAsia="Georgia" w:hAnsi="Georgia"/>
          <w:sz w:val="18"/>
          <w:szCs w:val="18"/>
          <w:color w:val="auto"/>
        </w:rPr>
        <w:t>acquisition, use, or disposition of the company’s assets that could have a material effect on the financial statements.</w:t>
      </w:r>
    </w:p>
    <w:p>
      <w:pPr>
        <w:spacing w:after="0" w:line="24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4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5"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Revenue Recognition - Long-term fixed price contracts</w:t>
      </w:r>
    </w:p>
    <w:p>
      <w:pPr>
        <w:spacing w:after="0" w:line="229" w:lineRule="exact"/>
        <w:rPr>
          <w:sz w:val="20"/>
          <w:szCs w:val="20"/>
          <w:color w:val="auto"/>
        </w:rPr>
      </w:pPr>
    </w:p>
    <w:p>
      <w:pPr>
        <w:ind w:right="20"/>
        <w:spacing w:after="0" w:line="252" w:lineRule="auto"/>
        <w:rPr>
          <w:sz w:val="20"/>
          <w:szCs w:val="20"/>
          <w:color w:val="auto"/>
        </w:rPr>
      </w:pPr>
      <w:r>
        <w:rPr>
          <w:rFonts w:ascii="Georgia" w:cs="Georgia" w:eastAsia="Georgia" w:hAnsi="Georgia"/>
          <w:sz w:val="17"/>
          <w:szCs w:val="17"/>
          <w:color w:val="auto"/>
        </w:rPr>
        <w:t>As described in Notes B and E to the consolidated financial statements, approximately 94% of the Company’s total revenue of $699.3 million for the year ended September 30, 2023 was generated from the manufacturing of custom-engineered products and systems under long-term fixed-price contracts. Revenue from these contracts is generally recognized over time utilizing the cost-to-cost method to measure the extent of progress toward the completion of the performance obligation and the recognition of revenue over time. Management believes that this method is the most accurate representation of performance, because it directly measures the value of the services transferred to the customer over time as costs are incurred on the contracts. Contract costs include all direct materials, labor, and indirect costs related to contract performance, which may include indirect labor, supplies, tools, repairs and depreciation costs. Under the cost-to-cost method, the extent of progress towards completion is measured based on the ratio of costs incurred to date to the total estimated costs at completion of the performance obligation. Due to the nature of the contracts, estimating total cost and revenue can be complex and subject to variability due to change orders, back charges, spare parts, early completion bonuses, customer allowances and liquidated damages. Management estimates the amount of variable consideration based on the expected value method, which is the sum of the probability-weighted amount, or the most likely amount method which uses various factors including experience with similar transactions and assessment of anticipated performance.</w:t>
      </w:r>
    </w:p>
    <w:p>
      <w:pPr>
        <w:spacing w:after="0" w:line="239" w:lineRule="exact"/>
        <w:rPr>
          <w:sz w:val="20"/>
          <w:szCs w:val="20"/>
          <w:color w:val="auto"/>
        </w:rPr>
      </w:pPr>
    </w:p>
    <w:p>
      <w:pPr>
        <w:ind w:right="20"/>
        <w:spacing w:after="0" w:line="230"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revenue recognized over time utilizing the cost-to-cost method is a critical audit matter are the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0" w:name="page31"/>
    <w:bookmarkEnd w:id="30"/>
    <w:p>
      <w:pPr>
        <w:ind w:right="240"/>
        <w:spacing w:after="0" w:line="237" w:lineRule="auto"/>
        <w:rPr>
          <w:sz w:val="20"/>
          <w:szCs w:val="20"/>
          <w:color w:val="auto"/>
        </w:rPr>
      </w:pPr>
      <w:r>
        <w:rPr>
          <w:rFonts w:ascii="Georgia" w:cs="Georgia" w:eastAsia="Georgia" w:hAnsi="Georgia"/>
          <w:sz w:val="18"/>
          <w:szCs w:val="18"/>
          <w:color w:val="auto"/>
        </w:rPr>
        <w:t>significant judgment by management when determining the estimated total cost and revenue, which in turn led to a high degree of auditor judgment, subjectivity and effort in performing procedures and in evaluating management’s judgment about assumptions related to the estimates of costs to complete and liquidated damages.</w:t>
      </w:r>
    </w:p>
    <w:p>
      <w:pPr>
        <w:spacing w:after="0" w:line="24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total estimated costs at completion of the performance obligation and determination of total</w:t>
      </w:r>
    </w:p>
    <w:p>
      <w:pPr>
        <w:spacing w:after="0" w:line="2" w:lineRule="exact"/>
        <w:rPr>
          <w:sz w:val="20"/>
          <w:szCs w:val="20"/>
          <w:color w:val="auto"/>
        </w:rPr>
      </w:pPr>
    </w:p>
    <w:p>
      <w:pPr>
        <w:ind w:right="220"/>
        <w:spacing w:after="0" w:line="229" w:lineRule="auto"/>
        <w:rPr>
          <w:sz w:val="20"/>
          <w:szCs w:val="20"/>
          <w:color w:val="auto"/>
        </w:rPr>
      </w:pPr>
      <w:r>
        <w:rPr>
          <w:rFonts w:ascii="Georgia" w:cs="Georgia" w:eastAsia="Georgia" w:hAnsi="Georgia"/>
          <w:sz w:val="18"/>
          <w:szCs w:val="18"/>
          <w:color w:val="auto"/>
        </w:rPr>
        <w:t>contract price. These procedures also included, among others, evaluating and testing management’s process for determining the estimated total cost and revenue for a sample of contracts, which included (i) obtaining executed purchase orders and agreements, (ii) evaluating the</w:t>
      </w:r>
    </w:p>
    <w:p>
      <w:pPr>
        <w:spacing w:after="0" w:line="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appropriateness of the method to measure estimated total cost and revenue, (iii) testing the completeness and accuracy of the underlying data used by management, and (iv) evaluating the reasonableness of significant assumptions related to the total estimated costs at completion and liquidated damages used by management and considering the factors that can affect the accuracy of those estimates. Evaluating the reasonableness of significant assumptions related to estimated total cost involved assessing management’s ability to reasonably estimate total costs to complete and liquidated damages by testing management’s process to evaluate the remaining direct materials, labor, and indirect costs related to the performance obligation and evaluating the timely identification of circumstances which may warrant a modification to the total estimated costs or liquidated damages.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Houston, Texas</w:t>
      </w:r>
    </w:p>
    <w:p>
      <w:pPr>
        <w:spacing w:after="0"/>
        <w:rPr>
          <w:sz w:val="20"/>
          <w:szCs w:val="20"/>
          <w:color w:val="auto"/>
        </w:rPr>
      </w:pPr>
      <w:r>
        <w:rPr>
          <w:rFonts w:ascii="Georgia" w:cs="Georgia" w:eastAsia="Georgia" w:hAnsi="Georgia"/>
          <w:sz w:val="18"/>
          <w:szCs w:val="18"/>
          <w:color w:val="auto"/>
        </w:rPr>
        <w:t>December 6, 2023</w:t>
      </w:r>
    </w:p>
    <w:p>
      <w:pPr>
        <w:spacing w:after="0" w:line="24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$273 and $344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206,591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106,111</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50,415</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369,983</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79,857</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warranty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186,373</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(Note J)</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407,216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H)</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par value $0.01; 5,000,000 shares authorized; none issued</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30,000,000 shares authorized; 12,668,001 and 12,588,011 shares issued,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283,638</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806,018 shares at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297,206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4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6"/>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470,559</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395,496</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75,063</w:t>
            </w:r>
          </w:p>
        </w:tc>
      </w:tr>
      <w:tr>
        <w:trPr>
          <w:trHeight w:val="257"/>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67,217</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57"/>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9"/>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64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w:t>
            </w: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3" w:name="page34"/>
    <w:bookmarkEnd w:id="33"/>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cash flow commodity hedge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adjustment,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4" w:name="page35"/>
    <w:bookmarkEnd w:id="34"/>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Other</w:t>
            </w: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20" w:type="dxa"/>
            <w:vAlign w:val="bottom"/>
          </w:tcPr>
          <w:p>
            <w:pPr>
              <w:spacing w:after="0"/>
              <w:rPr>
                <w:sz w:val="11"/>
                <w:szCs w:val="11"/>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Income/(Loss)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294,016</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306,626</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$26</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63,948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282,505</w:t>
            </w:r>
          </w:p>
        </w:tc>
        <w:tc>
          <w:tcPr>
            <w:tcW w:w="120" w:type="dxa"/>
            <w:vAlign w:val="bottom"/>
          </w:tcPr>
          <w:p>
            <w:pPr>
              <w:spacing w:after="0"/>
              <w:rPr>
                <w:sz w:val="16"/>
                <w:szCs w:val="16"/>
                <w:color w:val="auto"/>
              </w:rPr>
            </w:pPr>
          </w:p>
        </w:tc>
        <w:tc>
          <w:tcPr>
            <w:tcW w:w="7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301,223</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13,737</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(12,527)</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cash flow commodity hedge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$99</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67,439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283,638</w:t>
            </w:r>
          </w:p>
        </w:tc>
        <w:tc>
          <w:tcPr>
            <w:tcW w:w="120" w:type="dxa"/>
            <w:vAlign w:val="bottom"/>
          </w:tcPr>
          <w:p>
            <w:pPr>
              <w:spacing w:after="0"/>
              <w:rPr>
                <w:sz w:val="16"/>
                <w:szCs w:val="16"/>
                <w:color w:val="auto"/>
              </w:rPr>
            </w:pPr>
          </w:p>
        </w:tc>
        <w:tc>
          <w:tcPr>
            <w:tcW w:w="7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54,525</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(12,741)</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cash flow commodity hedge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$40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325,281</w:t>
            </w: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5" w:name="page36"/>
    <w:bookmarkEnd w:id="35"/>
    <w:p>
      <w:pPr>
        <w:ind w:left="35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40" w:type="dxa"/>
            <w:vAlign w:val="bottom"/>
            <w:tcBorders>
              <w:bottom w:val="single" w:sz="8" w:color="auto"/>
            </w:tcBorders>
          </w:tcPr>
          <w:p>
            <w:pPr>
              <w:spacing w:after="0"/>
              <w:rPr>
                <w:sz w:val="18"/>
                <w:szCs w:val="18"/>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10,335</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on sale of division</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Bad debt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(7,509)</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assets and liabilities,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(39,951)</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9,760</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r>
      <w:tr>
        <w:trPr>
          <w:trHeight w:val="207"/>
        </w:trPr>
        <w:tc>
          <w:tcPr>
            <w:tcW w:w="7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(30,461)</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(27,735)</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27,688</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division</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life insurance policy</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07"/>
        </w:trPr>
        <w:tc>
          <w:tcPr>
            <w:tcW w:w="7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industrial development revenue bonds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withheld in lieu of employee tax withholding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13"/>
        </w:trPr>
        <w:tc>
          <w:tcPr>
            <w:tcW w:w="7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(12,142)</w:t>
            </w:r>
          </w:p>
        </w:tc>
      </w:tr>
      <w:tr>
        <w:trPr>
          <w:trHeight w:val="212"/>
        </w:trPr>
        <w:tc>
          <w:tcPr>
            <w:tcW w:w="7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(13,174)</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(46,099)</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114,314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160,216</w:t>
            </w: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Our products are used in the oil and gas markets, onshore and offshore production, liquefied natural gas (LNG) facilities and terminals, pipeline, refineries and petrochemical plants. Additionally, we manufacture products for the electric utility, light rail traction power as well as mining and metals, pulp and paper and other municipal, commercial and other industrial markets. Our product scope includes designs tested to meet both United States (U.S.) and international standards, under both the American National Standards Institute (ANSI) and International Electrotechnical Commission (IEC). We assist customers by providing field service inspection, installation, commissioning, modification, and repair services, as well as spare parts, retrofit and retrofill components for existing systems, and replacement circuit breakers for obsolete switchgear no longer produced by the original manufacturer. We seek to establish long-term relationships with the end users of our systems as well as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2023, Fiscal 2022 and Fiscal 2021 used throughout these Notes to Consolidated Financial Statements relate to our fiscal years ended September 30, 2023, 2022 and 2021,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Powell and our wholly-owned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 </w:t>
      </w:r>
      <w:r>
        <w:rPr>
          <w:rFonts w:ascii="Times New Roman" w:cs="Times New Roman" w:eastAsia="Times New Roman" w:hAnsi="Times New Roman"/>
          <w:sz w:val="18"/>
          <w:szCs w:val="18"/>
          <w:color w:val="auto"/>
        </w:rPr>
        <w:t>Short-term investments include time deposits with original maturities of three months or more.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received, net of 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include cash, cash equivalents, short-term investments, receivables, deferred compensation, payables and debt obligations. Except as described below, due to the short-term nature of account receivables and account payables, their book values are representative of their fair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stated net of allowances for credit losses. We maintain and continually assess the adequacy of the allowance for credit losses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 receivables are not collateralized. However, we utilize letters of credit to secure payment on projects when possible. Retention amounts are in accordance with applicable provisions of contracts and become due upon completion of contractual requirements. As of September 30, 2023 and 2022, we had retention amounts of $7.4 million and $6.9 million,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retained amount at September 30, 2023, $7.2 million is expected to be collected in the next twelve months and is recorded in accounts receivable.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$0.2 million is recorded in other assets and is expected to be collected in the fiscal year ending September 30,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weighted-average methods and include the cost of materials, labor and manufacturing overhead. We use estimates in determining the level of reserves required to state inventory at the lower of cost or net realizable value. Our estimates are based on market activity levels, production requirements, the physical condition of products and technological innovation. Changes in any of these factors may result in adjustments to the carrying value of inventory.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operating income in the Consolidated Statements of Operations. In addition, we estimate the useful lives of our property, plant and equipment and periodically review these estimates to determine whether these lives are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that may last from one month to several years, depending on the contract. 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$6.2 million, $7.0 million and $6.7 million in Fiscal 2023, 2022 and 2021,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period-end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stock-based compensation expense are recognized as income tax expense or benefit in the Consolidated Statements of Operations. Cash paid when directly withholding shares on an employee's behalf for tax withholding purposes is classified as a financing activity. We account for forfeitures as they occur, rather than estimate expected forfeitures.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4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7"/>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Detail of Selected Balance Sheet Accounts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65"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48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9" w:lineRule="exact"/>
        <w:rPr>
          <w:sz w:val="20"/>
          <w:szCs w:val="20"/>
          <w:color w:val="auto"/>
        </w:rPr>
      </w:pPr>
    </w:p>
    <w:p>
      <w:pPr>
        <w:ind w:left="896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ectPr>
          <w:pgSz w:w="11900" w:h="16838" w:orient="portrait"/>
          <w:cols w:equalWidth="0" w:num="1">
            <w:col w:w="11240"/>
          </w:cols>
          <w:pgMar w:left="320" w:top="887"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are summarized below (in thousands):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1420" w:type="dxa"/>
        <w:tblCellMar>
          <w:top w:w="0" w:type="dxa"/>
          <w:left w:w="0" w:type="dxa"/>
          <w:bottom w:w="0" w:type="dxa"/>
          <w:right w:w="0" w:type="dxa"/>
        </w:tblCellMar>
      </w:tblPr>
      <w:tr>
        <w:trPr>
          <w:trHeight w:val="238"/>
        </w:trPr>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54,220</w:t>
            </w:r>
          </w:p>
        </w:tc>
      </w:tr>
      <w:tr>
        <w:trPr>
          <w:trHeight w:val="230"/>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34"/>
        </w:trPr>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50,415</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1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23"/>
        </w:trPr>
        <w:tc>
          <w:tcPr>
            <w:tcW w:w="1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0" w:type="dxa"/>
            <w:vAlign w:val="bottom"/>
          </w:tcPr>
          <w:p>
            <w:pPr>
              <w:spacing w:after="0"/>
              <w:rPr>
                <w:sz w:val="1"/>
                <w:szCs w:val="1"/>
                <w:color w:val="auto"/>
              </w:rPr>
            </w:pPr>
          </w:p>
        </w:tc>
      </w:tr>
      <w:tr>
        <w:trPr>
          <w:trHeight w:val="184"/>
        </w:trPr>
        <w:tc>
          <w:tcPr>
            <w:tcW w:w="1880" w:type="dxa"/>
            <w:vAlign w:val="bottom"/>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300" w:space="720"/>
            <w:col w:w="422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21,299</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 39 Years</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 15 Years</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 10 Years</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0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235,327</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98,628</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assets under finance lease as of September 30, 2023 or September 30, 2022. Depreciation expense was $8.6 million, $9.4 million and $10.2 million for fiscal years 2023, 2022, and 2021, respectively.</w:t>
      </w:r>
    </w:p>
    <w:p>
      <w:pPr>
        <w:sectPr>
          <w:pgSz w:w="11900" w:h="16838" w:orient="portrait"/>
          <w:cols w:equalWidth="0" w:num="1">
            <w:col w:w="11240"/>
          </w:cols>
          <w:pgMar w:left="320" w:top="887"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94% of revenues for each of the years ended September 30, 2023 and September 30, 2022.</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of revenues for each of the years ended September 30, 2023 and September 30, 2022.</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September 30, 2023, we had backlog of $1.3 billion, of which approximately $648.0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September 30, 2023 and 2022, our operating results were positively impacted by $13.6 million and $11.3 million, respectively, as a result of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Project cancellations on four projects increased gross profit for the year ended September 30, 2023 by $4.3 million. Gross unfavorable changes in contract estimates were immaterial for the years ended September 30,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September 30, 2023 and September 30, 2022 are summarized below (in thousands):</w:t>
      </w:r>
    </w:p>
    <w:p>
      <w:pPr>
        <w:spacing w:after="0" w:line="12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60,621</w:t>
            </w:r>
          </w:p>
        </w:tc>
        <w:tc>
          <w:tcPr>
            <w:tcW w:w="220" w:type="dxa"/>
            <w:vAlign w:val="bottom"/>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88,351</w:t>
            </w:r>
          </w:p>
        </w:tc>
      </w:tr>
      <w:tr>
        <w:trPr>
          <w:trHeight w:val="229"/>
        </w:trPr>
        <w:tc>
          <w:tcPr>
            <w:tcW w:w="7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(279,796)</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(79,857)</w:t>
            </w:r>
          </w:p>
        </w:tc>
      </w:tr>
      <w:tr>
        <w:trPr>
          <w:trHeight w:val="248"/>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contract asset (liability)</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(219,175)</w:t>
            </w:r>
          </w:p>
        </w:tc>
        <w:tc>
          <w:tcPr>
            <w:tcW w:w="220" w:type="dxa"/>
            <w:vAlign w:val="bottom"/>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8,494</w:t>
            </w:r>
          </w:p>
        </w:tc>
      </w:tr>
      <w:tr>
        <w:trPr>
          <w:trHeight w:val="20"/>
        </w:trPr>
        <w:tc>
          <w:tcPr>
            <w:tcW w:w="7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contract billing position improved to a net liability at September 30, 2023 from a net asset position at September 30, 2022 primarily due to favorable contract billing milestones. We typically allocate a significant percentage of the progress billing to the early stages of the contract. These favorable billing milestones along with our increase in project backlog are driving the increase in the net contract liability at September 30, 2023. To determine the amount of revenue recognized during the period from contract liabilities, we first allocate revenue to the individual contract liability balance outstanding at the beginning of the period until the revenue exceeds that balance. During the year ended September 30, 2023, we recognized revenue of approximately $70.5 million related to contract liabilities outstanding at September 30, 2022.</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September 30, 2023 and September 30, 2022, we had retention amounts of $7.4 million and $6.9 million, respectively. Of the retained amount at September 30, 2023, $7.2 million is expected to be collected in the next twelve months and is recorded in accounts receivable. The remaining $0.2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years ended September 30, 2023, 2022 and 2021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2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2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tbl>
      <w:tblPr>
        <w:tblLayout w:type="fixed"/>
        <w:tblInd w:w="4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187,660</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58,986</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111,244</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59,106</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26,498</w:t>
            </w:r>
          </w:p>
        </w:tc>
      </w:tr>
      <w:tr>
        <w:trPr>
          <w:trHeight w:val="248"/>
        </w:trPr>
        <w:tc>
          <w:tcPr>
            <w:tcW w:w="6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 and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intangible assets consist of goodwill of $1.0 million, which is not being amortized. In Fiscal 2021, our purchased technology was fully amortized, and we no longer have any intangible assets subject to amortization. No impairment expense has been recorded for the last three fiscal years. Amortization of intangible assets recorded for the year ended September 30, 2021 was $0.2 million.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2023, we entered into a second amendment (the Second Amendment) to our credit agreement with Bank of America, N.A. (as amended, the U.S. Revolver). The Second Amendment increased the revolving credit facility, which is available for both borrowings and letters of credit, from $75.0 million to $125.0 million. As amended by the Second Amendment, the U.S. Revolver states that the lesser of $50 million or 50% of available cash may be deducted from the amount of letters of credit outstanding (not to be less than zero) when calculating the consolidated funded indebtedness, which is a component of the consolidated net leverage ratio. We have the option to cash collateralize all or a portion of the letters of credit outstanding, which would favorably impact the consolidated funded indebtedness calculation and the consolidated net leverage ratio. As of September 30, 2023, there were no amounts borrowed under the U.S. Revolver, and letters of credit outstanding were $89.1 million. There was $35.9 million available for the issuance of letters of credit and borrowings under the U.S. Revolver as of September 30, 2023.</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2023, 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$50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the U.S. Revolver. As of September 30, 2023, we were in compliance with all of the financial covenants of the U.S. Revolver.</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Bloomberg Short-Term Bank Yield Index (BSBY) rate plus 1.00%. The applicable rate is generally a range from 0% to 2% depending on the type of loan and the Company's consolidated net leverage ratio.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we entered into a third amendment to the U.S. Revolver (the Third Amendment) with Bank of America, N.A. and Texas Capital Bank has agreed to join as an additional lender under the U.S. Revolver. The Third Amendment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 $60.0 million or 60% of readily and available cash may be deducted from the amount of letters of credit outstanding (not to be less than zero) when calculating the consolidated funded indebtedness, which is a component of the consolidated net leverage ratio. We are now required to maintain a consolidated cash balance of $60.0 million at all times, which can be deducted from the letters of credit outstanding as stated above.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 upon maturity.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$89.1 million as of September 30, 2023. We also had outstanding surety bonds totaling $393.4 million, with additional bonding capacity of $556.6 million available, at September 30, 2023.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$9.8 million facility agreement (Facility Agreement) between Powell (UK) Limited and a large international bank that provides Powell (UK) Limited the ability to enter into bank guarantees as well as forward exchange contracts and currency options. At September 30, 2023, we had outstanding guarantees totaling $7.6 million, with additional capacity of $2.2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September 30, 2023, we were in compliance with all of the financial covenants of the Facility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results of operations or liquidity.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September 30, 2023, certain contracts had a probable exposure to liquidated damages of $2.7 million, which could possibly increase to $3.9 million under certain circumstances. Based on our actual or projected failure to meet these various contractual commitments, $0.7 million has been recorded as a reduction to revenue. We will attempt to obtain change orders, contract extensions or accelerate project completion, which may resolve the potential for any unrecorded liquidated damage.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 was as follows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income tax rate and the effective income tax rate, as computed on earnings before income tax provision (benefit) in each of the three years presented in the Consolidated Statements of Operations, was as follows:</w:t>
      </w:r>
    </w:p>
    <w:p>
      <w:pPr>
        <w:spacing w:after="0" w:line="7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50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150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rate differential</w:t>
            </w:r>
          </w:p>
        </w:tc>
        <w:tc>
          <w:tcPr>
            <w:tcW w:w="150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U.S. global intangible taxes and benefits</w:t>
            </w:r>
          </w:p>
        </w:tc>
        <w:tc>
          <w:tcPr>
            <w:tcW w:w="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results of 21% in Fiscal 2023 compared to negative 40% and 42% in Fiscal 2022 and 2021, respectively. The income tax provision for Fiscal 2023 was favorably impacted by the reversal of a valuation allowance on the United Kingdom (U.K.) deferred tax assets that were previously fully reserved, in addition to the current year estimated Research and Development Tax Credit (R&amp;D Tax Credit). These items were offset by state tax expense, the tax expense related to certain nondeductible expenses and an inclusion related to U.S. global intangible income.</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income tax benefit for Fiscal 2022 was largely a result of the reversal of a valuation allowance on the Canadian deferred tax assets that were previously fully reserved, in addition to the estimated R&amp;D Tax Credit. These items were partially offset by the tax expense related to certain nondeductible expenses, the gain on the disposition of a small, non-core division of our Canadian operations and an inclusion related to U.S. global intangible income.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provision for Fiscal 2021 was favorably impacted by the estimated R&amp;D Tax Credit as well as the utilization of net operating loss carryforwards in Canada that were fully reserved with a valuation allowance. In Fiscal 2021, the tax provision was negatively impacted by the losses recognized in other foreign jurisdictions, primarily in the U.K., that were reserved with a valuation allowance as well as the establishment of a valuation allowance against the deferred tax assets in Mexico.</w:t>
      </w:r>
    </w:p>
    <w:p>
      <w:pPr>
        <w:spacing w:after="0" w:line="1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record and maintain valuation allowances against the deferred tax assets of various foreign jurisdictions until sufficient evidence is available to demonstrate that it is more likely than not that the net deferred tax assets will be recognized. As of each reporting date, management considers new evidence, both positive and negative, that could affect its view of the future realization of deferred tax assets. During the period ended September 30, 2023, management determined that there was sufficient positive evidence to conclude that the U.K. net deferred tax assets of $1.9 million were realizable. This determination was based on operating results over the past three years and anticipated future taxable income from our U.K. operations. The valuation allowance was released accordingly, and a $1.9 million tax benefit and corresponding increase in the deferred tax assets were recorded. Likewise, during the period ended June 30, 2022, management concluded that Canadian net deferred tax assets of $5.9 million were realizable based on current and anticipated market conditions, continued market diversification, operating results over the past three years and anticipated future taxable income from our Canadian operations. The release of the Canadian valuation allowance resulted in a $5.9 million tax benefit and a corresponding increase in the deferred tax assets. During our assessment of deferred income taxes in Fiscal 2021, we recorded a valuation allowance of $0.1 million against our Mexican net deferred tax assets. In assessing the realizability of net deferred tax assets, we determined it was more likely than not that the net deferred tax assets may not be realized based upon recent Mexican tax losses and anticipated results in the near term. Estimates may change as new events occur, estimates of future taxable income are reduced or increased, additional information becomes available, or operating environments change, which may result in a full or partial reversal of the valuation allowance.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recorded deferred income taxes on $17.9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income tax in the U.S., multiple state jurisdictions and certain international jurisdictions, primarily the U.K. and Canada. We do not consider any state in which we do business to be a major tax jurisdiction. The significant jurisdictions that remain open to examination are as follows: Canada 2016 – 2022, U.K. 2022 and the U.S. 2019 – 2022. As of September 30, 2023, we did not have any state audits underway that would have a material impact on our financial position or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deferred income tax asset was comprised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assets</w:t>
            </w:r>
          </w:p>
        </w:tc>
        <w:tc>
          <w:tcPr>
            <w:tcW w:w="4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20,522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liabilities and valuation allowance</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(3,458)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4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17,064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2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between U.S. GAAP accounting and federal income tax accounting creating deferred income tax assets and liabilities was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Uniform capitalization and inventory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accrued employee benefits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accrual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9"/>
        </w:trPr>
        <w:tc>
          <w:tcPr>
            <w:tcW w:w="84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Retention and 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248"/>
        </w:trPr>
        <w:tc>
          <w:tcPr>
            <w:tcW w:w="844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00" w:hanging="174"/>
        <w:spacing w:after="0"/>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prior year amounts have been reclassified for consistency with the current year presentation.</w:t>
      </w:r>
    </w:p>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deferred tax assets related to international net operating loss carryforwards of $6.8 million that are not reserved with a valuation allowance available to offset future tax liabilities in the respective jurisdictions. The majority of these net operating loss carryforwards are related to our Canadian operations and expire beginning in 2033. The remaining unreserved net operating loss carryforwards related to other jurisdictions have an indefinite carryforward period. As of September 30, 2023, the majority of our tax credit carryforwards are fully reserved with a valuation allowance.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decrease in the total valuation allowance during the year was $1.8 million, which was largely a result of the reversal of the U.K. valuation allowance. In assessing the realizability of net deferred tax assets,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unrecognized tax benefits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period</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period</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expiration of statute of limitations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 with taxing authorities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1,889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1"/>
        </w:trPr>
        <w:tc>
          <w:tcPr>
            <w:tcW w:w="7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at the end of Fiscal 2023, 2022, and 2021 are $1.6 million, $1.1 million, and $1.1 million, respectively, of tax benefits that, if recognized, would affect the effective tax rate. Our policy is to recognize interest and penalties related to income tax matters as tax expense. The amount of interest and penalty expense recorded for the year ended September 30, 2023 was not material.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within the next twelve months, it is reasonably possible that the unrecognized tax benefits will decrease by approximately $0.6 million due to the expiration of certain federal statutes of limitations. We are unable to make</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reasonably reliable estimates regarding the timing of future cash outflows, if any, associated with the remaining unrecognized tax benefits for the open periods of fiscal years ended September 30, 2019 –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$3.4 million, $3.0 million and $2.9 million in Fiscal 2023, 2022 and 2021,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a non-qualified deferred compensation plan to a select group of highly compensated individuals (as defined). The plan permits the deferral of up to 50% of a participant’s base salary and/or 100% of a participant’s annual incentive. The deferrals are held in a separate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the Rabbi Trust to fund the expected obligations arising under this plan. Changes in the deferred compensation balance are recorded to compensation expense and reflected within the selling, general and administrative expenses line in the Consolidated Statements of Operations. The plan is not qualified under Section 401 of the Internal Revenue code. We recorded net compensation expense adjustments of $0.8 million related to this plan in Fiscal 2023 and $0.3 million in Fiscal 2022. At September 30, 2023, total assets held in the Rabbi Trust were $9.1 million and recorded in other assets and the liability was $9.1 million and recorded in deferred compensation in our Consolidated Balance Sheets. The $9.1 million of assets held in the Rabbi Trust is invested in company-owned life insurance policies.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unfunded plan that extends health benefits to retirees that are also available to active employees under our existing health plans. The current plan provides coverage for employees with at least 10 years of service who are age 55 or older but less than 65. Effective January 1, 2023, eligibility for postretirement medical benefits changed to age 60 with 10 years of continuous service. Employees who are under age 50 as of January 1, 2023 or who are hired after January 1, 2023 are no longer eligible for postretirement medical benefits. The retiree is required to pay the COBRA rate less a subsidy provided by us based on years of service at the time of retirement. The unfunded liability is recorded in other long-term liabilities and was $0.5 million as of September 30, 2023 and $0.4 million as of September 30, 2022. Our net periodic postretirement costs were immaterial for all periods presented in the Consolidated Statements of Operations. Due to the immateriality of the costs and liabilities of this plan, no further disclosure is being presented.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stock-based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(RSUs) and performance-based awards, as well as certain other awards. On February 15, 2023, at the 2023 Annual Meeting of Stockholders, our stockholders approved an amendment to the 2014 Plan that extended the term of the 2014 Plan by five years and increased the number of shares of common stock that may be issued under the plan by 600,000 shares for a total of 1,350,000 shares.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2014 Plan, the Compensation Committee has authorized grants of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Fifty percent of the grant is time-based and vests over a three-year period on each anniversary of the grant date, based on continued employment. The remaining fifty percent of the grant is earned based on the three-year earnings and safety performance of the Company following the grant date. At September 30, 2023, there were 292,497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past fiscal year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440" w:type="dxa"/>
            <w:vAlign w:val="bottom"/>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4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239,862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147,100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7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(79,004)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70"/>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Forfeited/cancelled</w:t>
            </w: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(15,461)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292,497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our stockholders approved an amendment to the 2014 Non-Employee Director Equity Incentive Plan (the 2014 Director Plan) that extended the term of the 2014 Director Plan by ten years and increased the number of shares of common stock that may be issued under the 2014 Director Plan by 200,000 shares for a total of 350,000 shares. The plan is administered by the Compensation Committee. Eligibility to participate in the plan is limited to those individuals who are members of the Board of Directors of the Company and who are not employees of the Company or any affiliate of the Company.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stock appreciation rights) is 4,000 shares. The Compensation Committee has determined that each non-employee director will receive 2,400 restricted shares of the Company’s common stock annually. Fifty percent of the restricted stock granted to each of our non-employee directors vests immediately, while the remaining fifty percent vests on the anniversary of the grant date. Compensation expense is recognized immediately for the first fifty percent of the restricted stock granted, while compensation expense for the remaining fifty percent is recognized over the remaining vesting period.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2014 Director Plan, in February 2023, 16,800 shares of restricted stock were issued to our non-employee directors at a price of $43.22 per share. In February 2022, we issued 16,800 shares of restricted stock to our non-employee directors at a price of $23.09 per share. The total number of shares of common stock available for future awards under the 2014 Director plan was 190,600 shares as of September 30, 2023. At September 30, 2023 and 2022, there were 8,400 shares and 7,200 shares, respectively, of unvested restricted stock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Total compensation expense related to restricted stock grants under all plans was $0.6 million, $0.4 million and $0.5 million for the years ended September 30, 2023, 2022 and 2021, respectively. Total compensation expense related to RSUs under all plans was $4.0 million, $3.7 million and $2.0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years ended September 30, 2023, 2022 and 2021, respectively.</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the amortization of non-vested restricted stock and restricted stock units as an increase to additional paid-in capital. As of September 30, 2023 and 2022, amounts of deferred compensation expense not yet recognized related to non-vested stock and RSUs totaled $1.4 million and $1.2 million, respectively. As of September 30, 2023, the total weighted average remaining contractual life of our non-vested restricted stock and RSUs is approximately six months and 1.5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L.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2023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2023</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2022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w:t>
            </w:r>
          </w:p>
        </w:tc>
        <w:tc>
          <w:tcPr>
            <w:tcW w:w="132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28"/>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r>
      <w:tr>
        <w:trPr>
          <w:trHeight w:val="137"/>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tcPr>
          <w:p>
            <w:pPr>
              <w:spacing w:after="0"/>
              <w:rPr>
                <w:sz w:val="11"/>
                <w:szCs w:val="11"/>
                <w:color w:val="auto"/>
              </w:rPr>
            </w:pPr>
          </w:p>
        </w:tc>
      </w:tr>
      <w:tr>
        <w:trPr>
          <w:trHeight w:val="160"/>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tcPr>
          <w:p>
            <w:pPr>
              <w:jc w:val="right"/>
              <w:ind w:right="236"/>
              <w:spacing w:after="0" w:line="160" w:lineRule="exact"/>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196"/>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101,954</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r>
    </w:tbl>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to be presented in both interim and annual reports. The estimated fair value amounts of financial instruments have been determined using available market information and valuation methodologies described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2" w:name="page53"/>
    <w:bookmarkEnd w:id="5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the Rabbi Trust for our deferred compensation plan. The assets are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company-owned life insurance policies and are included in other assets in the accompanying Consolidated Balance Sheets. Because the mutual funds and company-owned life insurance policies are combined in the plan, they are therefore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year ended September 30,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leases consist primarily of office space and construction equipment. All of our future lease obligations are related to non-cancelable operating leases. The decrease of our lease portfolio relates to the wind down of our Canadian facility leases. The following table provides a summary of lease cost components for the years ended September 30, 2023, 2022 and 2021 respectively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40" w:type="dxa"/>
            <w:vAlign w:val="bottom"/>
          </w:tcPr>
          <w:p>
            <w:pPr>
              <w:spacing w:after="0"/>
              <w:rPr>
                <w:sz w:val="20"/>
                <w:szCs w:val="20"/>
                <w:color w:val="auto"/>
              </w:rPr>
            </w:pPr>
          </w:p>
        </w:tc>
        <w:tc>
          <w:tcPr>
            <w:tcW w:w="17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3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9"/>
        </w:trPr>
        <w:tc>
          <w:tcPr>
            <w:tcW w:w="4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42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4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00" w:hanging="174"/>
        <w:spacing w:after="0"/>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Consolidated Balance Sheets. The following table provides a summary of the operating lease assets and operating lease liabilities included in our Consolidated Balance Sheets as of September 30, 2023 and 2022, respectively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6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 assets, net</w:t>
            </w:r>
          </w:p>
        </w:tc>
        <w:tc>
          <w:tcPr>
            <w:tcW w:w="540" w:type="dxa"/>
            <w:vAlign w:val="bottom"/>
            <w:tcBorders>
              <w:bottom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1,436</w:t>
            </w:r>
          </w:p>
        </w:tc>
        <w:tc>
          <w:tcPr>
            <w:tcW w:w="20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September 30, 2023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as of September 30, 2023 and 2022 was 3.32% and 3.73%, respectively. The weighted average remaining lease term was 2.67 years and 1.51 years, respectively, at September 30, 2023 and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as one reportable operating segment related to the development, design, manufacturing and servicing of custom-engineered equipment and systems for the distribution, control and monitoring of electrical energy.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37"/>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351,422</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68,655</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Long-lived assets by country consist of property, plant and equipment, net of accumulated depreciation and are determined based on the location of the tangible assets, summarized for the last two fiscal years in the table below (in thousands):</w:t>
      </w: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58,531</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 Quarterly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unaudited consolidated operating results by fiscal quarter for the years ended September 30, 2023 and 2022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2023 Quarters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8"/>
                <w:szCs w:val="18"/>
                <w:b w:val="1"/>
                <w:bCs w:val="1"/>
                <w:color w:val="auto"/>
                <w:vertAlign w:val="superscript"/>
              </w:rPr>
              <w:t>(2)</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Third</w:t>
            </w:r>
            <w:r>
              <w:rPr>
                <w:rFonts w:ascii="Times New Roman" w:cs="Times New Roman" w:eastAsia="Times New Roman" w:hAnsi="Times New Roman"/>
                <w:sz w:val="18"/>
                <w:szCs w:val="18"/>
                <w:b w:val="1"/>
                <w:bCs w:val="1"/>
                <w:color w:val="auto"/>
                <w:w w:val="97"/>
                <w:vertAlign w:val="superscript"/>
              </w:rPr>
              <w:t>(3)</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18"/>
                <w:szCs w:val="18"/>
                <w:b w:val="1"/>
                <w:bCs w:val="1"/>
                <w:color w:val="auto"/>
                <w:vertAlign w:val="superscript"/>
              </w:rPr>
              <w:t>(4)</w:t>
            </w:r>
          </w:p>
        </w:tc>
        <w:tc>
          <w:tcPr>
            <w:tcW w:w="30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699,308</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147,553</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54,525</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bl>
    <w:p>
      <w:pPr>
        <w:spacing w:after="0" w:line="247" w:lineRule="exact"/>
        <w:rPr>
          <w:sz w:val="20"/>
          <w:szCs w:val="20"/>
          <w:color w:val="auto"/>
        </w:rPr>
      </w:pPr>
    </w:p>
    <w:p>
      <w:pPr>
        <w:ind w:left="140" w:right="80" w:firstLine="7"/>
        <w:spacing w:after="0" w:line="208" w:lineRule="auto"/>
        <w:tabs>
          <w:tab w:leader="none" w:pos="33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first quarter of Fiscal 2023 demonstrated normal seasonality and were negatively impacted by holidays and work schedules compared to other quarterly periods.</w:t>
      </w:r>
    </w:p>
    <w:p>
      <w:pPr>
        <w:spacing w:after="0" w:line="1" w:lineRule="exact"/>
        <w:rPr>
          <w:rFonts w:ascii="Times New Roman" w:cs="Times New Roman" w:eastAsia="Times New Roman" w:hAnsi="Times New Roman"/>
          <w:sz w:val="23"/>
          <w:szCs w:val="23"/>
          <w:color w:val="auto"/>
          <w:vertAlign w:val="superscript"/>
        </w:rPr>
      </w:pPr>
    </w:p>
    <w:p>
      <w:pPr>
        <w:ind w:left="320" w:hanging="173"/>
        <w:spacing w:after="0" w:line="230" w:lineRule="auto"/>
        <w:tabs>
          <w:tab w:leader="none" w:pos="3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second quarter of Fiscal 2023 were positively impacted by a project cancellation of $1.6 million.</w:t>
      </w:r>
    </w:p>
    <w:p>
      <w:pPr>
        <w:spacing w:after="0" w:line="15" w:lineRule="exact"/>
        <w:rPr>
          <w:rFonts w:ascii="Times New Roman" w:cs="Times New Roman" w:eastAsia="Times New Roman" w:hAnsi="Times New Roman"/>
          <w:sz w:val="22"/>
          <w:szCs w:val="22"/>
          <w:color w:val="auto"/>
          <w:vertAlign w:val="superscript"/>
        </w:rPr>
      </w:pPr>
    </w:p>
    <w:p>
      <w:pPr>
        <w:ind w:left="320" w:hanging="173"/>
        <w:spacing w:after="0" w:line="203" w:lineRule="auto"/>
        <w:tabs>
          <w:tab w:leader="none" w:pos="3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third quarter of Fiscal 2023 were positively impacted by a project cancellation of $1.7 million.</w:t>
      </w:r>
    </w:p>
    <w:p>
      <w:pPr>
        <w:spacing w:after="0" w:line="15" w:lineRule="exact"/>
        <w:rPr>
          <w:rFonts w:ascii="Times New Roman" w:cs="Times New Roman" w:eastAsia="Times New Roman" w:hAnsi="Times New Roman"/>
          <w:sz w:val="22"/>
          <w:szCs w:val="22"/>
          <w:color w:val="auto"/>
          <w:vertAlign w:val="superscript"/>
        </w:rPr>
      </w:pPr>
    </w:p>
    <w:p>
      <w:pPr>
        <w:ind w:left="140" w:right="80" w:firstLine="7"/>
        <w:spacing w:after="0" w:line="198" w:lineRule="auto"/>
        <w:tabs>
          <w:tab w:leader="none" w:pos="33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fourth quarter of Fiscal 2023 were positively impacted by project cancellations of $1.0 million and the reversal of a $1.9 million valuation allowance against the U.K. net deferred tax assets.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2022 Quarters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Third</w:t>
            </w:r>
            <w:r>
              <w:rPr>
                <w:rFonts w:ascii="Times New Roman" w:cs="Times New Roman" w:eastAsia="Times New Roman" w:hAnsi="Times New Roman"/>
                <w:sz w:val="9"/>
                <w:szCs w:val="9"/>
                <w:b w:val="1"/>
                <w:bCs w:val="1"/>
                <w:color w:val="auto"/>
              </w:rPr>
              <w:t>(2)</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9"/>
                <w:szCs w:val="9"/>
                <w:b w:val="1"/>
                <w:bCs w:val="1"/>
                <w:color w:val="auto"/>
              </w:rPr>
              <w:t>(3)</w:t>
            </w: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2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85,018</w:t>
            </w: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39" w:lineRule="exact"/>
        <w:rPr>
          <w:sz w:val="20"/>
          <w:szCs w:val="20"/>
          <w:color w:val="auto"/>
        </w:rPr>
      </w:pPr>
    </w:p>
    <w:p>
      <w:pPr>
        <w:ind w:left="140" w:right="80" w:firstLine="7"/>
        <w:spacing w:after="0" w:line="215" w:lineRule="auto"/>
        <w:tabs>
          <w:tab w:leader="none" w:pos="33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first quarter of Fiscal 2022 demonstrated normal seasonality and were negatively impacted by holidays and work schedules compared to other quarterly periods.</w:t>
      </w:r>
    </w:p>
    <w:p>
      <w:pPr>
        <w:ind w:left="140" w:right="80" w:firstLine="7"/>
        <w:spacing w:after="0" w:line="223" w:lineRule="auto"/>
        <w:tabs>
          <w:tab w:leader="none" w:pos="319"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third quarter of Fiscal 2022 were positively impacted by the release of a $5.9 million Canadian valuation allowance and a $2.0 million pre-tax gain on the sale of a non-core business within our Canadian operations.</w:t>
      </w:r>
    </w:p>
    <w:p>
      <w:pPr>
        <w:spacing w:after="0" w:line="1" w:lineRule="exact"/>
        <w:rPr>
          <w:rFonts w:ascii="Times New Roman" w:cs="Times New Roman" w:eastAsia="Times New Roman" w:hAnsi="Times New Roman"/>
          <w:sz w:val="22"/>
          <w:szCs w:val="22"/>
          <w:color w:val="auto"/>
          <w:vertAlign w:val="superscript"/>
        </w:rPr>
      </w:pPr>
    </w:p>
    <w:p>
      <w:pPr>
        <w:ind w:left="140" w:right="80" w:firstLine="7"/>
        <w:spacing w:after="0" w:line="245" w:lineRule="auto"/>
        <w:tabs>
          <w:tab w:leader="none" w:pos="30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results for the fourth quarter of Fiscal 2022 were positively impacted by a $2.5 million settlement of a claim for cost overruns from prior years related to a U.S. based municipal transit project.</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Divestiture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we sold a non-core, industrial valve repair and servicing business within our Canadian operations and received proceeds of $4.3 million. We recorded a $2.0 million pre-tax gain on this transaction, which has been presented in other income on our Consolidated Statement of Operations for the year ended September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Subsequent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31, 2023, our Board of Directors declared a quarterly cash dividend on our common stock in the amount of $0.2625 per share. The dividend is payable on December 13, 2023 to shareholders of record at the close of business on November 15, 2023.</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ind w:right="3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Annual Report on Form 10-K. Based on such evaluation, our CEO and CFO have each concluded that, as of September 30, 2023, the end of the period covered by this Annual Report on Form 10-K,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generally accepted accounting principles.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the Company has assessed the effectiveness of our internal control over financial reporting as of September 30, 2023.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2023, based on criteria in Internal Control – Integrated Framework (2013) issued by the COSO.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and issued their report on the effectiveness of our internal control over financial reporting as of September 30, 2023, which appears in their report on the financial statements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last fiscal quarter, none of our directors or officers adopted or terminated any "Rule 10b5-1 trading arrangement" or "non-Rule 10b5-1 trading arrangement," as those terms are defined in Regulation S-K, Item 408.</w:t>
      </w:r>
    </w:p>
    <w:p>
      <w:pPr>
        <w:spacing w:after="0" w:line="293" w:lineRule="exact"/>
        <w:rPr>
          <w:sz w:val="20"/>
          <w:szCs w:val="20"/>
          <w:color w:val="auto"/>
        </w:rPr>
      </w:pPr>
    </w:p>
    <w:p>
      <w:pPr>
        <w:ind w:right="54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Times New Roman" w:cs="Times New Roman" w:eastAsia="Times New Roman" w:hAnsi="Times New Roman"/>
          <w:sz w:val="18"/>
          <w:szCs w:val="18"/>
          <w:u w:val="single" w:color="auto"/>
          <w:color w:val="auto"/>
        </w:rPr>
        <w:t>www.powellind.com</w:t>
      </w:r>
      <w:r>
        <w:rPr>
          <w:rFonts w:ascii="Times New Roman" w:cs="Times New Roman" w:eastAsia="Times New Roman" w:hAnsi="Times New Roman"/>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 not later than 120 days after the close of our fiscal year ended September 30,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19"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Reference is made to the Index to Consolidated Financial Statements at Item 8 of this Annual Report.</w:t>
      </w:r>
    </w:p>
    <w:p>
      <w:pPr>
        <w:spacing w:after="0" w:line="225" w:lineRule="exact"/>
        <w:rPr>
          <w:rFonts w:ascii="Times New Roman" w:cs="Times New Roman" w:eastAsia="Times New Roman" w:hAnsi="Times New Roman"/>
          <w:sz w:val="18"/>
          <w:szCs w:val="18"/>
          <w:color w:val="auto"/>
        </w:rPr>
      </w:pPr>
    </w:p>
    <w:p>
      <w:pPr>
        <w:ind w:firstLine="8"/>
        <w:spacing w:after="0" w:line="284"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All financial statement schedules are omitted because they are not applicable, or the required information is shown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the Notes to the Consolidated Financial Statements included elsewhere in this Annual Report.</w:t>
      </w:r>
    </w:p>
    <w:p>
      <w:pPr>
        <w:spacing w:after="0" w:line="1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0"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ind w:left="680"/>
        <w:spacing w:after="0"/>
        <w:tabs>
          <w:tab w:leader="none" w:pos="1180" w:val="left"/>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hyperlink r:id="rId85">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1" w:lineRule="exact"/>
        <w:rPr>
          <w:sz w:val="20"/>
          <w:szCs w:val="20"/>
          <w:color w:val="auto"/>
        </w:rPr>
      </w:pPr>
    </w:p>
    <w:p>
      <w:pPr>
        <w:ind w:left="1560"/>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hyperlink>
    </w:p>
    <w:p>
      <w:pPr>
        <w:spacing w:after="0" w:line="174" w:lineRule="exact"/>
        <w:rPr>
          <w:sz w:val="20"/>
          <w:szCs w:val="20"/>
          <w:color w:val="auto"/>
        </w:rPr>
      </w:pPr>
    </w:p>
    <w:p>
      <w:pPr>
        <w:ind w:left="1200" w:right="160" w:hanging="881"/>
        <w:spacing w:after="0" w:line="1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29"/>
          <w:szCs w:val="29"/>
          <w:color w:val="auto"/>
          <w:vertAlign w:val="superscript"/>
        </w:rPr>
        <w:t xml:space="preserve">— </w:t>
      </w:r>
      <w:hyperlink r:id="rId86">
        <w:r>
          <w:rPr>
            <w:rFonts w:ascii="Times New Roman" w:cs="Times New Roman" w:eastAsia="Times New Roman" w:hAnsi="Times New Roman"/>
            <w:sz w:val="17"/>
            <w:szCs w:val="17"/>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29"/>
          <w:szCs w:val="29"/>
          <w:color w:val="auto"/>
        </w:rPr>
        <w:t xml:space="preserve"> </w:t>
      </w:r>
      <w:hyperlink r:id="rId86">
        <w:r>
          <w:rPr>
            <w:rFonts w:ascii="Times New Roman" w:cs="Times New Roman" w:eastAsia="Times New Roman" w:hAnsi="Times New Roman"/>
            <w:sz w:val="17"/>
            <w:szCs w:val="17"/>
            <w:u w:val="single" w:color="auto"/>
            <w:color w:val="0000FF"/>
          </w:rPr>
          <w:t>incorporated herein by reference).</w:t>
        </w:r>
      </w:hyperlink>
    </w:p>
    <w:p>
      <w:pPr>
        <w:spacing w:after="0" w:line="35" w:lineRule="exact"/>
        <w:rPr>
          <w:sz w:val="20"/>
          <w:szCs w:val="20"/>
          <w:color w:val="auto"/>
        </w:rPr>
      </w:pPr>
    </w:p>
    <w:p>
      <w:pPr>
        <w:ind w:left="680"/>
        <w:spacing w:after="0"/>
        <w:tabs>
          <w:tab w:leader="none" w:pos="1180" w:val="left"/>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hyperlink r:id="rId87">
        <w:r>
          <w:rPr>
            <w:rFonts w:ascii="Times New Roman" w:cs="Times New Roman" w:eastAsia="Times New Roman" w:hAnsi="Times New Roman"/>
            <w:sz w:val="18"/>
            <w:szCs w:val="18"/>
            <w:u w:val="single" w:color="auto"/>
            <w:color w:val="0000FF"/>
          </w:rPr>
          <w:t>Amendment No. 1 to Amended and Restated By-laws of Powell Industries, Inc. (filed as Exhibit 3.1 to our Form 8-K filed February</w:t>
        </w:r>
      </w:hyperlink>
    </w:p>
    <w:p>
      <w:pPr>
        <w:ind w:left="1560"/>
        <w:spacing w:after="0"/>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26, 2021, and incorporated herein by reference).</w:t>
        </w:r>
      </w:hyperlink>
    </w:p>
    <w:p>
      <w:pPr>
        <w:spacing w:after="0" w:line="40" w:lineRule="exact"/>
        <w:rPr>
          <w:sz w:val="20"/>
          <w:szCs w:val="20"/>
          <w:color w:val="auto"/>
        </w:rPr>
      </w:pPr>
    </w:p>
    <w:p>
      <w:pPr>
        <w:ind w:left="560"/>
        <w:spacing w:after="0"/>
        <w:tabs>
          <w:tab w:leader="none" w:pos="1180" w:val="left"/>
          <w:tab w:leader="none" w:pos="15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8"/>
          <w:szCs w:val="18"/>
          <w:color w:val="auto"/>
        </w:rPr>
        <w:t>Description of Supplemental Executive Benefit Plan (filed as Exhibit 10 to our Form 10-K for the fiscal year ended October 31,</w:t>
      </w:r>
    </w:p>
    <w:p>
      <w:pPr>
        <w:ind w:left="1560"/>
        <w:spacing w:after="0"/>
        <w:rPr>
          <w:sz w:val="20"/>
          <w:szCs w:val="20"/>
          <w:color w:val="auto"/>
        </w:rPr>
      </w:pPr>
      <w:r>
        <w:rPr>
          <w:rFonts w:ascii="Times New Roman" w:cs="Times New Roman" w:eastAsia="Times New Roman" w:hAnsi="Times New Roman"/>
          <w:sz w:val="18"/>
          <w:szCs w:val="18"/>
          <w:color w:val="auto"/>
        </w:rPr>
        <w:t>1984, and incorporated herein by reference).</w:t>
      </w:r>
    </w:p>
    <w:p>
      <w:pPr>
        <w:spacing w:after="0" w:line="174" w:lineRule="exact"/>
        <w:rPr>
          <w:sz w:val="20"/>
          <w:szCs w:val="20"/>
          <w:color w:val="auto"/>
        </w:rPr>
      </w:pPr>
    </w:p>
    <w:p>
      <w:pPr>
        <w:ind w:left="1200" w:right="160" w:hanging="1007"/>
        <w:spacing w:after="0" w:line="187" w:lineRule="auto"/>
        <w:tabs>
          <w:tab w:leader="none" w:pos="11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29"/>
          <w:szCs w:val="29"/>
          <w:color w:val="auto"/>
          <w:vertAlign w:val="superscript"/>
        </w:rPr>
        <w:t xml:space="preserve">— </w:t>
      </w:r>
      <w:r>
        <w:rPr>
          <w:rFonts w:ascii="Times New Roman" w:cs="Times New Roman" w:eastAsia="Times New Roman" w:hAnsi="Times New Roman"/>
          <w:sz w:val="17"/>
          <w:szCs w:val="17"/>
          <w:color w:val="auto"/>
        </w:rPr>
        <w:t>Powell Industries, Inc. Directors’ Fees Program (filed as Exhibit 10.7 to our Form 10-K for the fiscal year ended October 31, 1992,</w:t>
      </w:r>
      <w:r>
        <w:rPr>
          <w:rFonts w:ascii="Times New Roman" w:cs="Times New Roman" w:eastAsia="Times New Roman" w:hAnsi="Times New Roman"/>
          <w:sz w:val="29"/>
          <w:szCs w:val="29"/>
          <w:color w:val="auto"/>
        </w:rPr>
        <w:t xml:space="preserve"> </w:t>
      </w:r>
      <w:r>
        <w:rPr>
          <w:rFonts w:ascii="Times New Roman" w:cs="Times New Roman" w:eastAsia="Times New Roman" w:hAnsi="Times New Roman"/>
          <w:sz w:val="17"/>
          <w:szCs w:val="17"/>
          <w:color w:val="auto"/>
        </w:rPr>
        <w:t>and incorporated herein by reference).</w:t>
      </w:r>
    </w:p>
    <w:p>
      <w:pPr>
        <w:spacing w:after="0" w:line="35" w:lineRule="exact"/>
        <w:rPr>
          <w:sz w:val="20"/>
          <w:szCs w:val="20"/>
          <w:color w:val="auto"/>
        </w:rPr>
      </w:pPr>
    </w:p>
    <w:p>
      <w:pPr>
        <w:ind w:left="560"/>
        <w:spacing w:after="0"/>
        <w:tabs>
          <w:tab w:leader="none" w:pos="1180" w:val="left"/>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hyperlink r:id="rId88">
        <w:r>
          <w:rPr>
            <w:rFonts w:ascii="Times New Roman" w:cs="Times New Roman" w:eastAsia="Times New Roman" w:hAnsi="Times New Roman"/>
            <w:sz w:val="18"/>
            <w:szCs w:val="18"/>
            <w:u w:val="single" w:color="auto"/>
            <w:color w:val="0000FF"/>
          </w:rPr>
          <w:t>Powell Industries, Inc. Deferred Compensation Plan (filed as Exhibit 10.9 to our Form 10-K for the fiscal year ended October 31,</w:t>
        </w:r>
      </w:hyperlink>
    </w:p>
    <w:p>
      <w:pPr>
        <w:ind w:left="1560"/>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2002, and incorporated herein by reference).</w:t>
        </w:r>
      </w:hyperlink>
    </w:p>
    <w:p>
      <w:pPr>
        <w:spacing w:after="0" w:line="174" w:lineRule="exact"/>
        <w:rPr>
          <w:sz w:val="20"/>
          <w:szCs w:val="20"/>
          <w:color w:val="auto"/>
        </w:rPr>
      </w:pPr>
    </w:p>
    <w:p>
      <w:pPr>
        <w:jc w:val="right"/>
        <w:ind w:left="600" w:right="160"/>
        <w:spacing w:after="0" w:line="1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w:t>
      </w:r>
      <w:hyperlink r:id="rId89">
        <w:r>
          <w:rPr>
            <w:rFonts w:ascii="Times New Roman" w:cs="Times New Roman" w:eastAsia="Times New Roman" w:hAnsi="Times New Roman"/>
            <w:sz w:val="17"/>
            <w:szCs w:val="17"/>
            <w:u w:val="single" w:color="auto"/>
            <w:color w:val="0000FF"/>
          </w:rPr>
          <w:t>Banking facilities between HSBC Bank plc and Switchgear &amp; Instrumentation Limited and Switchgear &amp; Instrumentation</w:t>
        </w:r>
      </w:hyperlink>
      <w:r>
        <w:rPr>
          <w:rFonts w:ascii="Times New Roman" w:cs="Times New Roman" w:eastAsia="Times New Roman" w:hAnsi="Times New Roman"/>
          <w:sz w:val="17"/>
          <w:szCs w:val="17"/>
          <w:color w:val="auto"/>
        </w:rPr>
        <w:t xml:space="preserve"> </w:t>
      </w:r>
      <w:hyperlink r:id="rId89">
        <w:r>
          <w:rPr>
            <w:rFonts w:ascii="Times New Roman" w:cs="Times New Roman" w:eastAsia="Times New Roman" w:hAnsi="Times New Roman"/>
            <w:sz w:val="17"/>
            <w:szCs w:val="17"/>
            <w:u w:val="single" w:color="auto"/>
            <w:color w:val="0000FF"/>
          </w:rPr>
          <w:t>Properties Limited dated September 12, 2005 (filed as Exhibit 10.16 to our Form 10-K for the fiscal year ended October 31, 2005,</w:t>
        </w:r>
      </w:hyperlink>
    </w:p>
    <w:p>
      <w:pPr>
        <w:spacing w:after="0" w:line="1" w:lineRule="exact"/>
        <w:rPr>
          <w:sz w:val="20"/>
          <w:szCs w:val="20"/>
          <w:color w:val="auto"/>
        </w:rPr>
      </w:pPr>
    </w:p>
    <w:p>
      <w:pPr>
        <w:ind w:left="1560"/>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and incorporated herein by reference).</w:t>
        </w:r>
      </w:hyperlink>
    </w:p>
    <w:p>
      <w:pPr>
        <w:spacing w:after="0" w:line="160" w:lineRule="exact"/>
        <w:rPr>
          <w:sz w:val="20"/>
          <w:szCs w:val="20"/>
          <w:color w:val="auto"/>
        </w:rPr>
      </w:pPr>
    </w:p>
    <w:p>
      <w:pPr>
        <w:ind w:left="1200" w:right="160" w:hanging="971"/>
        <w:spacing w:after="0" w:line="187" w:lineRule="auto"/>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29"/>
          <w:szCs w:val="29"/>
          <w:color w:val="auto"/>
          <w:vertAlign w:val="superscript"/>
        </w:rPr>
        <w:t xml:space="preserve">— </w:t>
      </w:r>
      <w:hyperlink r:id="rId90">
        <w:r>
          <w:rPr>
            <w:rFonts w:ascii="Times New Roman" w:cs="Times New Roman" w:eastAsia="Times New Roman" w:hAnsi="Times New Roman"/>
            <w:sz w:val="17"/>
            <w:szCs w:val="17"/>
            <w:u w:val="single" w:color="auto"/>
            <w:color w:val="0000FF"/>
          </w:rPr>
          <w:t>Lease Agreement between the Company and C&amp;L Partnership, Ltd. dated April 19, 2006 (filed as Exhibit 10.2 to our Form 8-K</w:t>
        </w:r>
      </w:hyperlink>
      <w:r>
        <w:rPr>
          <w:rFonts w:ascii="Times New Roman" w:cs="Times New Roman" w:eastAsia="Times New Roman" w:hAnsi="Times New Roman"/>
          <w:sz w:val="29"/>
          <w:szCs w:val="29"/>
          <w:color w:val="auto"/>
        </w:rPr>
        <w:t xml:space="preserve"> </w:t>
      </w:r>
      <w:hyperlink r:id="rId90">
        <w:r>
          <w:rPr>
            <w:rFonts w:ascii="Times New Roman" w:cs="Times New Roman" w:eastAsia="Times New Roman" w:hAnsi="Times New Roman"/>
            <w:sz w:val="17"/>
            <w:szCs w:val="17"/>
            <w:u w:val="single" w:color="auto"/>
            <w:color w:val="0000FF"/>
          </w:rPr>
          <w:t>filed August 9, 2006, and incorporated herein by reference).</w:t>
        </w:r>
      </w:hyperlink>
    </w:p>
    <w:p>
      <w:pPr>
        <w:sectPr>
          <w:pgSz w:w="11900" w:h="16838" w:orient="portrait"/>
          <w:cols w:equalWidth="0" w:num="1">
            <w:col w:w="11240"/>
          </w:cols>
          <w:pgMar w:left="320" w:top="887" w:right="339" w:bottom="1440" w:gutter="0" w:footer="0" w:header="0"/>
        </w:sectPr>
      </w:pPr>
    </w:p>
    <w:p>
      <w:pPr>
        <w:spacing w:after="0" w:line="168"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0" w:lineRule="exact"/>
        <w:rPr>
          <w:sz w:val="20"/>
          <w:szCs w:val="20"/>
          <w:color w:val="auto"/>
        </w:rPr>
      </w:pPr>
    </w:p>
    <w:p>
      <w:pPr>
        <w:spacing w:after="0" w:line="315"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60"/>
        <w:spacing w:after="0"/>
        <w:tabs>
          <w:tab w:leader="none" w:pos="1180" w:val="left"/>
        </w:tabs>
        <w:rPr>
          <w:sz w:val="20"/>
          <w:szCs w:val="20"/>
          <w:color w:val="auto"/>
        </w:rPr>
      </w:pPr>
      <w:r>
        <w:rPr>
          <w:rFonts w:ascii="Times New Roman" w:cs="Times New Roman" w:eastAsia="Times New Roman" w:hAnsi="Times New Roman"/>
          <w:sz w:val="14"/>
          <w:szCs w:val="14"/>
          <w:color w:val="auto"/>
        </w:rPr>
        <w:t>**10.9</w:t>
      </w:r>
      <w:r>
        <w:rPr>
          <w:sz w:val="20"/>
          <w:szCs w:val="20"/>
          <w:color w:val="auto"/>
        </w:rPr>
        <w:tab/>
      </w:r>
      <w:r>
        <w:rPr>
          <w:rFonts w:ascii="Times New Roman" w:cs="Times New Roman" w:eastAsia="Times New Roman" w:hAnsi="Times New Roman"/>
          <w:sz w:val="20"/>
          <w:szCs w:val="20"/>
          <w:color w:val="auto"/>
          <w:vertAlign w:val="superscript"/>
        </w:rPr>
        <w:t>—</w:t>
      </w:r>
    </w:p>
    <w:p>
      <w:pPr>
        <w:spacing w:after="0" w:line="351" w:lineRule="exact"/>
        <w:rPr>
          <w:sz w:val="20"/>
          <w:szCs w:val="20"/>
          <w:color w:val="auto"/>
        </w:rPr>
      </w:pPr>
    </w:p>
    <w:p>
      <w:pPr>
        <w:ind w:left="460"/>
        <w:spacing w:after="0"/>
        <w:tabs>
          <w:tab w:leader="none" w:pos="118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150" w:lineRule="exact"/>
        <w:rPr>
          <w:sz w:val="20"/>
          <w:szCs w:val="20"/>
          <w:color w:val="auto"/>
        </w:rPr>
      </w:pPr>
    </w:p>
    <w:p>
      <w:pPr>
        <w:ind w:left="480"/>
        <w:spacing w:after="0"/>
        <w:tabs>
          <w:tab w:leader="none" w:pos="11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Employment Agreement dated as of May 8, 2012 between the Company and Milburn E. Honeycutt (filed as Exhibit 10.2 to our</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Form 10-Q for the quarter ended March 31, 2012, and incorporated herein by reference).</w:t>
        </w:r>
      </w:hyperlink>
    </w:p>
    <w:p>
      <w:pPr>
        <w:spacing w:after="0" w:line="172" w:lineRule="exact"/>
        <w:rPr>
          <w:sz w:val="20"/>
          <w:szCs w:val="20"/>
          <w:color w:val="auto"/>
        </w:rPr>
      </w:pPr>
    </w:p>
    <w:p>
      <w:pPr>
        <w:ind w:right="160"/>
        <w:spacing w:after="0" w:line="222"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Amended and Restated Credit Agreement dated as of April 26, 2012, between Powell PowerComm Inc., as Borrower, Powell</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Industries, Inc., Nextron Limited, PPC Technical Services Inc., as Guarantors, and HSBC Bank Canada, as Lender (filed as Exhibit</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10.4 to our Form 10-Q for the quarter ended March 31, 2012, and incorporated herein by reference).</w:t>
        </w:r>
      </w:hyperlink>
    </w:p>
    <w:p>
      <w:pPr>
        <w:spacing w:after="0" w:line="165"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Stock Purchase Agreement dated as of January 15, 2014, between the Company and Kapsch TrafficCom IVHS, Inc. (filed as</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Exhibit 10.1 to our Form 8-K filed January 17, 2014, and incorporated herein by reference).</w:t>
        </w:r>
      </w:hyperlink>
    </w:p>
    <w:p>
      <w:pPr>
        <w:spacing w:after="0" w:line="172"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Amended and Restated Powell Supply Agreement dated as of December 30, 2013, between the Company and General Electric</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Company (filed as Exhibit 10.2 to our Form 10-Q filed February 5, 2014 and incorporated herein by reference).</w:t>
        </w:r>
      </w:hyperlink>
    </w:p>
    <w:p>
      <w:pPr>
        <w:spacing w:after="0" w:line="1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2014 Equity Incentive Plan (filed as Exhibit 10.2 to our Form 10-Q filed May 7, 2014 and incorporated herein by reference).</w:t>
        </w:r>
      </w:hyperlink>
    </w:p>
    <w:p>
      <w:pPr>
        <w:spacing w:after="0" w:line="185"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Form of Restricted Stock Award Agreement under 2014 Equity Incentive Plan (filed as Exhibit 10.3 to our Form 10-Q filed May 7,</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2014 and incorporated herein by reference).</w:t>
        </w:r>
      </w:hyperlink>
    </w:p>
    <w:p>
      <w:pPr>
        <w:spacing w:after="0" w:line="200" w:lineRule="exact"/>
        <w:rPr>
          <w:sz w:val="20"/>
          <w:szCs w:val="20"/>
          <w:color w:val="auto"/>
        </w:rPr>
      </w:pPr>
    </w:p>
    <w:p>
      <w:pPr>
        <w:sectPr>
          <w:pgSz w:w="11900" w:h="16838" w:orient="portrait"/>
          <w:cols w:equalWidth="0" w:num="2">
            <w:col w:w="1340" w:space="220"/>
            <w:col w:w="968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8" w:name="page59"/>
    <w:bookmarkEnd w:id="58"/>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160"/>
          </w:cols>
          <w:pgMar w:left="340" w:top="1168" w:right="399" w:bottom="1440" w:gutter="0" w:footer="0" w:header="0"/>
        </w:sectPr>
      </w:pPr>
    </w:p>
    <w:p>
      <w:pPr>
        <w:spacing w:after="0" w:line="57"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80"/>
        <w:spacing w:after="0"/>
        <w:tabs>
          <w:tab w:leader="none" w:pos="11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480"/>
        <w:spacing w:after="0"/>
        <w:tabs>
          <w:tab w:leader="none" w:pos="11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Form of Restricted Stock Unit Award Agreement under 2014 Equity Incentive Plan (filed as Exhibit 10.4 to our Form 10-Q filed</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May 7, 2014 and incorporated herein by reference).</w:t>
        </w:r>
      </w:hyperlink>
    </w:p>
    <w:p>
      <w:pPr>
        <w:spacing w:after="0" w:line="172"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Form of Performance Unit Award Agreement under 2014 Equity Incentive Plan (filed as Exhibit 10.5 to our Form 10-Q filed May</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7, 2014 and incorporated herein by reference).</w:t>
        </w:r>
      </w:hyperlink>
    </w:p>
    <w:p>
      <w:pPr>
        <w:spacing w:after="0" w:line="172"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Form of Stock Option Award Agreement under 2014 Equity Incentive Plan (filed as Exhibit 10.6 to our Form 10-Q filed May 7,</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2014 and incorporated herein by reference).</w:t>
        </w:r>
      </w:hyperlink>
    </w:p>
    <w:p>
      <w:pPr>
        <w:spacing w:after="0" w:line="172"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Form of Stock Appreciation Right Award Agreement under 2014 Equity Incentive Plan (filed as Exhibit 10.7 to our Form 10-Q</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filed May 7, 2014 and incorporated herein by reference).</w:t>
        </w:r>
      </w:hyperlink>
    </w:p>
    <w:p>
      <w:pPr>
        <w:spacing w:after="0" w:line="172"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2014 Non-Employee Director Equity Incentive Plan (filed as Exhibit 10.8 to our Form 10-Q filed May 7, 2014 and incorporated</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herein by reference).</w:t>
        </w:r>
      </w:hyperlink>
    </w:p>
    <w:p>
      <w:pPr>
        <w:spacing w:after="0" w:line="172"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Form of Restricted Stock Award Agreement under 2014 Non-Employee Director Equity Incentive Plan (filed as Exhibit 10.9 to our</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Form 10-Q filed May 7, 2014 and incorporated herein by reference).</w:t>
        </w:r>
      </w:hyperlink>
    </w:p>
    <w:p>
      <w:pPr>
        <w:spacing w:after="0" w:line="172"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Renewed banking facilities between HSBC Bank plc and Powell (UK) Limited dated October 20, 2014 (filed as Exhibit 10.48 to</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our Form 10-K filed December 3, 2014, and incorporated herein by reference).</w:t>
        </w:r>
      </w:hyperlink>
    </w:p>
    <w:p>
      <w:pPr>
        <w:spacing w:after="0" w:line="172" w:lineRule="exact"/>
        <w:rPr>
          <w:sz w:val="20"/>
          <w:szCs w:val="20"/>
          <w:color w:val="auto"/>
        </w:rPr>
      </w:pPr>
    </w:p>
    <w:p>
      <w:pPr>
        <w:ind w:right="20"/>
        <w:spacing w:after="0" w:line="222"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Amending Agreement to Amended and Restated Credit Agreement, effective as of March 31, 2015, between Powell Canada Inc.,</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Powell Industries, Inc., Nextron Limited, PCG Northern Services Inc. and HSBC Bank Canada (filed as Exhibit 10.1 to our Form</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10-Q filed May 6, 2015 and incorporated herein by reference).</w:t>
        </w:r>
      </w:hyperlink>
    </w:p>
    <w:p>
      <w:pPr>
        <w:spacing w:after="0" w:line="160" w:lineRule="exact"/>
        <w:rPr>
          <w:sz w:val="20"/>
          <w:szCs w:val="20"/>
          <w:color w:val="auto"/>
        </w:rPr>
      </w:pPr>
    </w:p>
    <w:p>
      <w:pPr>
        <w:sectPr>
          <w:pgSz w:w="11900" w:h="16838" w:orient="portrait"/>
          <w:cols w:equalWidth="0" w:num="2">
            <w:col w:w="1320" w:space="320"/>
            <w:col w:w="9520"/>
          </w:cols>
          <w:pgMar w:left="340" w:top="1168" w:right="399" w:bottom="1440" w:gutter="0" w:footer="0" w:header="0"/>
          <w:type w:val="continuous"/>
        </w:sect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72" w:lineRule="exact"/>
        <w:rPr>
          <w:sz w:val="20"/>
          <w:szCs w:val="20"/>
          <w:color w:val="auto"/>
        </w:rPr>
      </w:pPr>
    </w:p>
    <w:p>
      <w:pPr>
        <w:jc w:val="right"/>
        <w:ind w:left="260"/>
        <w:spacing w:after="0" w:line="266" w:lineRule="auto"/>
        <w:rPr>
          <w:sz w:val="20"/>
          <w:szCs w:val="20"/>
          <w:color w:val="auto"/>
        </w:rPr>
      </w:pPr>
      <w:r>
        <w:rPr>
          <w:rFonts w:ascii="Times New Roman" w:cs="Times New Roman" w:eastAsia="Times New Roman" w:hAnsi="Times New Roman"/>
          <w:sz w:val="18"/>
          <w:szCs w:val="18"/>
          <w:color w:val="auto"/>
        </w:rPr>
        <w:t xml:space="preserve">***10.29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***21.1   </w:t>
      </w:r>
      <w:r>
        <w:rPr>
          <w:rFonts w:ascii="Times New Roman" w:cs="Times New Roman" w:eastAsia="Times New Roman" w:hAnsi="Times New Roman"/>
          <w:sz w:val="28"/>
          <w:szCs w:val="28"/>
          <w:color w:val="auto"/>
          <w:vertAlign w:val="superscript"/>
        </w:rPr>
        <w:t>—</w:t>
      </w:r>
    </w:p>
    <w:p>
      <w:pPr>
        <w:spacing w:after="0" w:line="2" w:lineRule="exact"/>
        <w:rPr>
          <w:sz w:val="20"/>
          <w:szCs w:val="20"/>
          <w:color w:val="auto"/>
        </w:rPr>
      </w:pPr>
    </w:p>
    <w:p>
      <w:pPr>
        <w:jc w:val="center"/>
        <w:ind w:left="360"/>
        <w:spacing w:after="0"/>
        <w:tabs>
          <w:tab w:leader="none" w:pos="2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br w:type="column"/>
      </w:r>
    </w:p>
    <w:p>
      <w:pPr>
        <w:spacing w:after="0" w:line="237"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Employment Agreement dated September 29, 2016, between the Company and Brett A. Cope (filed as Exhibit 10.1 to our 8-K filed</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September 30, 2016 and incorporated herein by reference).</w:t>
        </w:r>
      </w:hyperlink>
    </w:p>
    <w:p>
      <w:pPr>
        <w:spacing w:after="0" w:line="172" w:lineRule="exact"/>
        <w:rPr>
          <w:sz w:val="20"/>
          <w:szCs w:val="20"/>
          <w:color w:val="auto"/>
        </w:rPr>
      </w:pPr>
    </w:p>
    <w:p>
      <w:pPr>
        <w:spacing w:after="0" w:line="237" w:lineRule="auto"/>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u w:val="single" w:color="auto"/>
            <w:color w:val="0000FF"/>
          </w:rPr>
          <w:t>Employment Agreement effective November 5, 2018 by and between the Company and Michael W. Metcalf (filed as Exhibit 10.1</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to our Form 8-K filed November 1, 2018 and incorporated herein by reference)</w:t>
        </w:r>
        <w:r>
          <w:rPr>
            <w:rFonts w:ascii="Times New Roman" w:cs="Times New Roman" w:eastAsia="Times New Roman" w:hAnsi="Times New Roman"/>
            <w:sz w:val="18"/>
            <w:szCs w:val="18"/>
            <w:color w:val="000000"/>
          </w:rPr>
          <w:t>.</w:t>
        </w:r>
      </w:hyperlink>
    </w:p>
    <w:p>
      <w:pPr>
        <w:spacing w:after="0" w:line="104"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Amended and Restated Credit Agreement, dated September 27, 2019, by and between the Company, as Borrower, certain</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subsidiaries of the Company identified therein, as Guarantors, Bank of America, N.A., as Administrative Agent, Swingline Lender</w:t>
        </w:r>
      </w:hyperlink>
    </w:p>
    <w:p>
      <w:pPr>
        <w:spacing w:after="0" w:line="2" w:lineRule="exact"/>
        <w:rPr>
          <w:sz w:val="20"/>
          <w:szCs w:val="20"/>
          <w:color w:val="auto"/>
        </w:rPr>
      </w:pPr>
    </w:p>
    <w:p>
      <w:pPr>
        <w:spacing w:after="0" w:line="226"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and L/C Issuer, the Lenders party thereto and BofA Securities, Inc., as Sole Lead Arranger and Sole Bookrunner (filed as Exhibit</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10.25 to our Form 10-K filed December 5, 2019 and incorporated herein by reference).</w:t>
        </w:r>
      </w:hyperlink>
    </w:p>
    <w:p>
      <w:pPr>
        <w:spacing w:after="0" w:line="90" w:lineRule="exact"/>
        <w:rPr>
          <w:sz w:val="20"/>
          <w:szCs w:val="20"/>
          <w:color w:val="auto"/>
        </w:rPr>
      </w:pPr>
    </w:p>
    <w:p>
      <w:pPr>
        <w:ind w:right="440"/>
        <w:spacing w:after="0" w:line="237"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First Amendment to Credit Agreement dated March 12, 2021 (filed as Exhibit 10.1 to our Form 8-K filed March 16, 2021 and</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incorporated herein by reference).</w:t>
        </w:r>
      </w:hyperlink>
    </w:p>
    <w:p>
      <w:pPr>
        <w:spacing w:after="0" w:line="104"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LIBOR Transition Amendment, dated December 31, 2021, by and between the Company, as Borrower, certain subsidiaries of the</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Company identified therein, as Guarantors, the Lenders party thereto and Bank of America, N.A., as Administrative Agent (filed as</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Exhibit 10.1 to our Form 10-Q filed February 9, 2022 and incorporated herein by reference).</w:t>
        </w:r>
      </w:hyperlink>
    </w:p>
    <w:p>
      <w:pPr>
        <w:spacing w:after="0" w:line="97"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LIBOR Transition Amendment, dated November 10, 2022, by and between the Company, as Borrower, certain subsidiaries of the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Company identified therein, as Guarantors, the Lenders party thereto and Bank of America, N.A., as Administrative Agent (filed as</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Exhibit 10.1 to our Form 10-Q filed February 1, 2023 and incorporated herein by reference).</w:t>
        </w:r>
      </w:hyperlink>
    </w:p>
    <w:p>
      <w:pPr>
        <w:spacing w:after="0" w:line="97"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Second Amendment to Credit Agreement, dated March 31, 2023 (filed as Exhibit 10.1 to our Form 8-K filed April 6, 2023 and</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incorporated herein by reference).</w:t>
        </w:r>
      </w:hyperlink>
    </w:p>
    <w:p>
      <w:pPr>
        <w:spacing w:after="0" w:line="10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First Amendment to Powell Industries, Inc. 2014 Non-Employee Director Equity Incentive Plan (filed as Exhibit 10.2 to our Form</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S-8 filed February 9, 2023 and incorporated herein by reference).</w:t>
        </w:r>
      </w:hyperlink>
    </w:p>
    <w:p>
      <w:pPr>
        <w:spacing w:after="0" w:line="10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First Amendment to Powell Industries, Inc. 2014 Equity Incentive Plan (filed as Exhibit 10.1 to our Form 8-K filed February 16,</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2023 and incorporated herein by reference).</w:t>
        </w:r>
      </w:hyperlink>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Third Amendment to Credit Agreement, dated October 4,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Powell Industries,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PricewaterhouseCoopers LLP.</w:t>
      </w:r>
    </w:p>
    <w:p>
      <w:pPr>
        <w:spacing w:after="0" w:line="322" w:lineRule="exact"/>
        <w:rPr>
          <w:sz w:val="20"/>
          <w:szCs w:val="20"/>
          <w:color w:val="auto"/>
        </w:rPr>
      </w:pPr>
    </w:p>
    <w:p>
      <w:pPr>
        <w:sectPr>
          <w:pgSz w:w="11900" w:h="16838" w:orient="portrait"/>
          <w:cols w:equalWidth="0" w:num="2">
            <w:col w:w="1320" w:space="320"/>
            <w:col w:w="9520"/>
          </w:cols>
          <w:pgMar w:left="340" w:top="1168" w:right="39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68" w:right="39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90"/>
        </w:trPr>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6"/>
                <w:szCs w:val="16"/>
                <w:color w:val="auto"/>
              </w:rPr>
            </w:pPr>
          </w:p>
        </w:tc>
        <w:tc>
          <w:tcPr>
            <w:tcW w:w="95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60" w:type="dxa"/>
            <w:vAlign w:val="bottom"/>
            <w:tcBorders>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13a-14(a)/15d-14(a).</w:t>
            </w:r>
          </w:p>
        </w:tc>
        <w:tc>
          <w:tcPr>
            <w:tcW w:w="38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vMerge w:val="continue"/>
          </w:tcPr>
          <w:p>
            <w:pPr>
              <w:spacing w:after="0"/>
              <w:rPr>
                <w:sz w:val="24"/>
                <w:szCs w:val="24"/>
                <w:color w:val="auto"/>
              </w:rPr>
            </w:pP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18 U.S.C. Section 1350, as Adopted Pursuant to Section 906 of the</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18 U.S.C. Section 1350, as Adopted Pursuant to Section 906 of the</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tcPr>
          <w:p>
            <w:pPr>
              <w:spacing w:after="0"/>
              <w:rPr>
                <w:sz w:val="24"/>
                <w:szCs w:val="24"/>
                <w:color w:val="auto"/>
              </w:rPr>
            </w:pPr>
          </w:p>
        </w:tc>
        <w:tc>
          <w:tcPr>
            <w:tcW w:w="4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Executive Recoupment Policy effective September 20, 2023</w:t>
            </w:r>
          </w:p>
        </w:tc>
        <w:tc>
          <w:tcPr>
            <w:tcW w:w="5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Annual Report on Form 10-K for the fiscal year ended September 30,</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54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2023, formatted in Inline XBRL: (i) Consolidated Balance Sheets; (ii) Consolidated Statements of Operations; (iii) Consolidated</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(iv) Consolidated Statements of Stockholders' Equity; (v) Consolidated Statements of Cash</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Flows; and (vi) Notes to Consolidated Financial Statements, tagged as blocks of text and including detailed tags.</w:t>
            </w:r>
          </w:p>
        </w:tc>
        <w:tc>
          <w:tcPr>
            <w:tcW w:w="0" w:type="dxa"/>
            <w:vAlign w:val="bottom"/>
          </w:tcPr>
          <w:p>
            <w:pPr>
              <w:spacing w:after="0"/>
              <w:rPr>
                <w:sz w:val="1"/>
                <w:szCs w:val="1"/>
                <w:color w:val="auto"/>
              </w:rPr>
            </w:pPr>
          </w:p>
        </w:tc>
      </w:tr>
      <w:tr>
        <w:trPr>
          <w:trHeight w:val="333"/>
        </w:trPr>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 fiscal year ended September 30, 2023, formatted in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(included as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720" w:hanging="694"/>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or arrangements.</w:t>
      </w:r>
    </w:p>
    <w:p>
      <w:pPr>
        <w:spacing w:after="0" w:line="27" w:lineRule="exact"/>
        <w:rPr>
          <w:sz w:val="20"/>
          <w:szCs w:val="20"/>
          <w:color w:val="auto"/>
        </w:rPr>
      </w:pPr>
    </w:p>
    <w:p>
      <w:pPr>
        <w:ind w:left="720" w:right="240" w:hanging="694"/>
        <w:spacing w:after="0" w:line="23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based on a request for confidential treatment pursuant to Rule 24b-2 of the Securities Exchange Act of 1934. Such omitted portions have been filed separately with the Commission.</w:t>
      </w:r>
    </w:p>
    <w:p>
      <w:pPr>
        <w:spacing w:after="0" w:line="10" w:lineRule="exact"/>
        <w:rPr>
          <w:rFonts w:ascii="Times New Roman" w:cs="Times New Roman" w:eastAsia="Times New Roman" w:hAnsi="Times New Roman"/>
          <w:sz w:val="18"/>
          <w:szCs w:val="18"/>
          <w:color w:val="auto"/>
        </w:rPr>
      </w:pPr>
    </w:p>
    <w:p>
      <w:pPr>
        <w:ind w:left="720" w:hanging="694"/>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720" w:hanging="69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7" w:lineRule="exact"/>
        <w:rPr>
          <w:sz w:val="20"/>
          <w:szCs w:val="20"/>
          <w:color w:val="auto"/>
        </w:rPr>
      </w:pPr>
    </w:p>
    <w:p>
      <w:pPr>
        <w:ind w:left="70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14605</wp:posOffset>
            </wp:positionV>
            <wp:extent cx="2168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Brett A. Cope</w:t>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ectPr>
          <w:pgSz w:w="11900" w:h="16838" w:orient="portrait"/>
          <w:cols w:equalWidth="0" w:num="1">
            <w:col w:w="11220"/>
          </w:cols>
          <w:pgMar w:left="320" w:top="887" w:right="35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 indicated:</w:t>
      </w:r>
    </w:p>
    <w:p>
      <w:pPr>
        <w:spacing w:after="0" w:line="12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9400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98"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Brett A. Cope</w:t>
      </w:r>
    </w:p>
    <w:p>
      <w:pPr>
        <w:spacing w:after="0" w:line="200" w:lineRule="exact"/>
        <w:rPr>
          <w:sz w:val="20"/>
          <w:szCs w:val="20"/>
          <w:color w:val="auto"/>
        </w:rPr>
      </w:pPr>
    </w:p>
    <w:p>
      <w:pPr>
        <w:spacing w:after="0" w:line="214"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00" w:lineRule="exact"/>
        <w:rPr>
          <w:sz w:val="20"/>
          <w:szCs w:val="20"/>
          <w:color w:val="auto"/>
        </w:rPr>
      </w:pPr>
    </w:p>
    <w:p>
      <w:pPr>
        <w:spacing w:after="0" w:line="30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/s/Milburn Honeycutt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Milburn Honeycutt</w:t>
      </w:r>
    </w:p>
    <w:p>
      <w:pPr>
        <w:spacing w:after="0" w:line="38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/s/Alaina K.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Alaina K. Brooks</w:t>
      </w:r>
    </w:p>
    <w:p>
      <w:pPr>
        <w:spacing w:after="0" w:line="32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Christopher E. Cragg</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Katheryn B.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Katheryn B. Curtis</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James W.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James W. McGill</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John G. Stacey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John G. Stacey</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John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John D. White</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33655</wp:posOffset>
            </wp:positionV>
            <wp:extent cx="39090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17"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Executive Vice President</w:t>
      </w:r>
    </w:p>
    <w:p>
      <w:pPr>
        <w:ind w:left="540"/>
        <w:spacing w:after="0" w:line="205"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Vice President</w:t>
      </w:r>
    </w:p>
    <w:p>
      <w:pPr>
        <w:ind w:left="460"/>
        <w:spacing w:after="0" w:line="205"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right="1720"/>
        <w:spacing w:after="0" w:line="204" w:lineRule="auto"/>
        <w:rPr>
          <w:sz w:val="20"/>
          <w:szCs w:val="20"/>
          <w:color w:val="auto"/>
        </w:rPr>
      </w:pPr>
      <w:r>
        <w:rPr>
          <w:rFonts w:ascii="Times New Roman" w:cs="Times New Roman" w:eastAsia="Times New Roman" w:hAnsi="Times New Roman"/>
          <w:sz w:val="18"/>
          <w:szCs w:val="18"/>
          <w:color w:val="auto"/>
        </w:rPr>
        <w:t>Corporate Controller</w:t>
      </w:r>
    </w:p>
    <w:p>
      <w:pPr>
        <w:jc w:val="center"/>
        <w:ind w:right="1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48" w:lineRule="exact"/>
        <w:rPr>
          <w:sz w:val="20"/>
          <w:szCs w:val="20"/>
          <w:color w:val="auto"/>
        </w:rPr>
      </w:pPr>
    </w:p>
    <w:p>
      <w:pPr>
        <w:sectPr>
          <w:pgSz w:w="11900" w:h="16838" w:orient="portrait"/>
          <w:cols w:equalWidth="0" w:num="2">
            <w:col w:w="6040" w:space="720"/>
            <w:col w:w="4460"/>
          </w:cols>
          <w:pgMar w:left="320" w:top="887" w:right="35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6, 2023</w:t>
      </w:r>
    </w:p>
    <w:p>
      <w:pPr>
        <w:sectPr>
          <w:pgSz w:w="11900" w:h="16838" w:orient="portrait"/>
          <w:cols w:equalWidth="0" w:num="1">
            <w:col w:w="11220"/>
          </w:cols>
          <w:pgMar w:left="320" w:top="88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887" w:right="35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 CREDIT AGREEMENT</w:t>
      </w:r>
    </w:p>
    <w:p>
      <w:pPr>
        <w:spacing w:after="0" w:line="29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THIS THIRD AMENDMENT TO CREDIT AGREEMENT (this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entered into as of October 4, 2023 (the “</w:t>
      </w:r>
      <w:r>
        <w:rPr>
          <w:rFonts w:ascii="Times New Roman" w:cs="Times New Roman" w:eastAsia="Times New Roman" w:hAnsi="Times New Roman"/>
          <w:sz w:val="20"/>
          <w:szCs w:val="20"/>
          <w:b w:val="1"/>
          <w:bCs w:val="1"/>
          <w:i w:val="1"/>
          <w:iCs w:val="1"/>
          <w:color w:val="auto"/>
        </w:rPr>
        <w:t>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Amendment Effective Date</w:t>
      </w:r>
      <w:r>
        <w:rPr>
          <w:rFonts w:ascii="Times New Roman" w:cs="Times New Roman" w:eastAsia="Times New Roman" w:hAnsi="Times New Roman"/>
          <w:sz w:val="20"/>
          <w:szCs w:val="20"/>
          <w:color w:val="auto"/>
        </w:rPr>
        <w:t>”), among POWELL INDUSTRIES, INC., a Delaware corporation (the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certain Subsidiaries of the</w:t>
      </w:r>
    </w:p>
    <w:p>
      <w:pPr>
        <w:spacing w:after="0" w:line="224" w:lineRule="auto"/>
        <w:rPr>
          <w:sz w:val="20"/>
          <w:szCs w:val="20"/>
          <w:color w:val="auto"/>
        </w:rPr>
      </w:pPr>
      <w:r>
        <w:rPr>
          <w:rFonts w:ascii="Times New Roman" w:cs="Times New Roman" w:eastAsia="Times New Roman" w:hAnsi="Times New Roman"/>
          <w:sz w:val="19"/>
          <w:szCs w:val="19"/>
          <w:color w:val="auto"/>
        </w:rPr>
        <w:t>Borrower party hereto, as guarantors (the “</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color w:val="auto"/>
        </w:rPr>
        <w:t>”), the lenders party hereto (the “</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and BANK OF AMERICA, N.A. (“</w:t>
      </w:r>
      <w:r>
        <w:rPr>
          <w:rFonts w:ascii="Times New Roman" w:cs="Times New Roman" w:eastAsia="Times New Roman" w:hAnsi="Times New Roman"/>
          <w:sz w:val="19"/>
          <w:szCs w:val="19"/>
          <w:b w:val="1"/>
          <w:bCs w:val="1"/>
          <w:i w:val="1"/>
          <w:iCs w:val="1"/>
          <w:color w:val="auto"/>
        </w:rPr>
        <w:t>Bank</w:t>
      </w:r>
    </w:p>
    <w:p>
      <w:pPr>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of America</w:t>
      </w:r>
      <w:r>
        <w:rPr>
          <w:rFonts w:ascii="Times New Roman" w:cs="Times New Roman" w:eastAsia="Times New Roman" w:hAnsi="Times New Roman"/>
          <w:sz w:val="20"/>
          <w:szCs w:val="20"/>
          <w:color w:val="auto"/>
        </w:rPr>
        <w:t>”), as Administrative Agent for the Lenders (in such capacity, the “</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Swingline Lender, L/C Issuer and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Lender.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301" w:lineRule="exact"/>
        <w:rPr>
          <w:sz w:val="20"/>
          <w:szCs w:val="20"/>
          <w:color w:val="auto"/>
        </w:rPr>
      </w:pPr>
    </w:p>
    <w:p>
      <w:pPr>
        <w:jc w:val="both"/>
        <w:ind w:firstLine="656"/>
        <w:spacing w:after="0" w:line="224" w:lineRule="auto"/>
        <w:tabs>
          <w:tab w:leader="none" w:pos="109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the Subsidiaries of the Borrower from time to time party thereto as Guarantors, the Administrative Agent, the Swingline Lender, the L/C Issuer and the Lenders from time to time party thereto are parties to that certain Amended and Restated Credit Agreement, dated as of September 27, 2019 (as amended by that certain First Amendment to Credit Agreement, dated as of March 12, 2021, as further modified by that certain Consent to Credit Agreement, dated as of July 28, 2022, as may be further amended by that certain LIBOR Transition Amendment, dated as of November 10, 2022, as amended by that certain Second Amendment to Credit Agreement, dated as of March 31, 2023, and as may be further amended, restated, amended and restated, supplemented, increased, extended, refinanced, renewed, replaced, and/or otherwise modified in writing from time to time prior to the Third Amendment Effective Date, the “</w:t>
      </w:r>
      <w:r>
        <w:rPr>
          <w:rFonts w:ascii="Times New Roman" w:cs="Times New Roman" w:eastAsia="Times New Roman" w:hAnsi="Times New Roman"/>
          <w:sz w:val="19"/>
          <w:szCs w:val="19"/>
          <w:b w:val="1"/>
          <w:bCs w:val="1"/>
          <w:i w:val="1"/>
          <w:iCs w:val="1"/>
          <w:color w:val="auto"/>
        </w:rPr>
        <w:t>Credit Agreement</w:t>
      </w:r>
      <w:r>
        <w:rPr>
          <w:rFonts w:ascii="Times New Roman" w:cs="Times New Roman" w:eastAsia="Times New Roman" w:hAnsi="Times New Roman"/>
          <w:sz w:val="19"/>
          <w:szCs w:val="19"/>
          <w:color w:val="auto"/>
        </w:rPr>
        <w:t>”; and the Credit Agreement as amended by this Amendment on the Third Amendment Effective Date, the “</w:t>
      </w:r>
      <w:r>
        <w:rPr>
          <w:rFonts w:ascii="Times New Roman" w:cs="Times New Roman" w:eastAsia="Times New Roman" w:hAnsi="Times New Roman"/>
          <w:sz w:val="19"/>
          <w:szCs w:val="19"/>
          <w:b w:val="1"/>
          <w:bCs w:val="1"/>
          <w:i w:val="1"/>
          <w:iCs w:val="1"/>
          <w:color w:val="auto"/>
        </w:rPr>
        <w:t>Amended Credit Agreement</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requested that: (i) the Lenders increase the amount of the Aggregate Commitments on the Third Amendment</w:t>
      </w:r>
    </w:p>
    <w:p>
      <w:pPr>
        <w:spacing w:after="0" w:line="203" w:lineRule="auto"/>
        <w:rPr>
          <w:sz w:val="20"/>
          <w:szCs w:val="20"/>
          <w:color w:val="auto"/>
        </w:rPr>
      </w:pPr>
      <w:r>
        <w:rPr>
          <w:rFonts w:ascii="Times New Roman" w:cs="Times New Roman" w:eastAsia="Times New Roman" w:hAnsi="Times New Roman"/>
          <w:sz w:val="20"/>
          <w:szCs w:val="20"/>
          <w:color w:val="auto"/>
        </w:rPr>
        <w:t>Effective Date from One Hundred Twenty-Five Million Dollars ($125,000,000) to One Hundred Fifty Million Dollars ($150,000,000); and</w:t>
      </w:r>
    </w:p>
    <w:p>
      <w:pPr>
        <w:spacing w:after="0" w:line="1" w:lineRule="exact"/>
        <w:rPr>
          <w:sz w:val="20"/>
          <w:szCs w:val="20"/>
          <w:color w:val="auto"/>
        </w:rPr>
      </w:pPr>
    </w:p>
    <w:p>
      <w:pPr>
        <w:ind w:firstLine="8"/>
        <w:spacing w:after="0" w:line="228" w:lineRule="auto"/>
        <w:tabs>
          <w:tab w:leader="none" w:pos="30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the L/C Issuer and the Lenders make (A) certain other modifications to the terms of the Credit Agreement as described in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xml:space="preserve">) below, and (B) certain modifications to the Schedules to the Credit Agreement as described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below.</w:t>
      </w:r>
    </w:p>
    <w:p>
      <w:pPr>
        <w:spacing w:after="0" w:line="143"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Texas Capital Bank, a Texas state bank (“</w:t>
      </w:r>
      <w:r>
        <w:rPr>
          <w:rFonts w:ascii="Times New Roman" w:cs="Times New Roman" w:eastAsia="Times New Roman" w:hAnsi="Times New Roman"/>
          <w:sz w:val="20"/>
          <w:szCs w:val="20"/>
          <w:b w:val="1"/>
          <w:bCs w:val="1"/>
          <w:i w:val="1"/>
          <w:iCs w:val="1"/>
          <w:color w:val="auto"/>
        </w:rPr>
        <w:t>TCB</w:t>
      </w:r>
      <w:r>
        <w:rPr>
          <w:rFonts w:ascii="Times New Roman" w:cs="Times New Roman" w:eastAsia="Times New Roman" w:hAnsi="Times New Roman"/>
          <w:sz w:val="20"/>
          <w:szCs w:val="20"/>
          <w:color w:val="auto"/>
        </w:rPr>
        <w:t>”) has agreed to join into the Credit Agreement as Syndication Agent and a</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w:t>
      </w:r>
    </w:p>
    <w:p>
      <w:pPr>
        <w:spacing w:after="0" w:line="166" w:lineRule="exact"/>
        <w:rPr>
          <w:rFonts w:ascii="Times New Roman" w:cs="Times New Roman" w:eastAsia="Times New Roman" w:hAnsi="Times New Roman"/>
          <w:sz w:val="20"/>
          <w:szCs w:val="20"/>
          <w:color w:val="auto"/>
        </w:rPr>
      </w:pPr>
    </w:p>
    <w:p>
      <w:pPr>
        <w:jc w:val="both"/>
        <w:ind w:firstLine="656"/>
        <w:spacing w:after="0" w:line="226" w:lineRule="auto"/>
        <w:tabs>
          <w:tab w:leader="none" w:pos="1067"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have agreed to increase the amount of the Aggregate Commitments on the Third Amendment Effective Date, and the Administrative Agent, the L/C Issuer and the Lenders have agreed to amend the Credit Agreement (including to certain of the Schedules thereto) as set forth herein, in each case, on the terms, and subject to the conditions, set forth in this Amendment.</w:t>
      </w:r>
    </w:p>
    <w:p>
      <w:pPr>
        <w:spacing w:after="0" w:line="160"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NOW THEREFORE, in consideration of the agreements contained herein, and for other good and valuable consideration, the receipt and sufficiency of which are hereby acknowledged, each of the undersigned hereby agree as follows: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AGREEMENTS</w:t>
      </w:r>
    </w:p>
    <w:p>
      <w:pPr>
        <w:spacing w:after="0" w:line="301" w:lineRule="exact"/>
        <w:rPr>
          <w:sz w:val="20"/>
          <w:szCs w:val="20"/>
          <w:color w:val="auto"/>
        </w:rPr>
      </w:pPr>
    </w:p>
    <w:p>
      <w:pPr>
        <w:jc w:val="both"/>
        <w:ind w:firstLine="656"/>
        <w:spacing w:after="0" w:line="222" w:lineRule="auto"/>
        <w:tabs>
          <w:tab w:leader="none" w:pos="10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Introductory Paragraph and Recitals; Definitions</w:t>
      </w:r>
      <w:r>
        <w:rPr>
          <w:rFonts w:ascii="Times New Roman" w:cs="Times New Roman" w:eastAsia="Times New Roman" w:hAnsi="Times New Roman"/>
          <w:sz w:val="20"/>
          <w:szCs w:val="20"/>
          <w:color w:val="auto"/>
        </w:rPr>
        <w:t>. The above introductory paragraph and recitals (including any terms defined therein) of this Amendment are incorporated herein by reference as if fully set forth in the body of this Amendment. Unless otherwise defined in this Amendment, each capitalized term used herein but not otherwise defined herein has the meaning given to such term in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104" w:right="339" w:bottom="1440" w:gutter="0" w:footer="0" w:header="0"/>
        </w:sectPr>
      </w:pPr>
    </w:p>
    <w:bookmarkStart w:id="62" w:name="page63"/>
    <w:bookmarkEnd w:id="62"/>
    <w:p>
      <w:pPr>
        <w:spacing w:after="0" w:line="176" w:lineRule="exact"/>
        <w:rPr>
          <w:sz w:val="20"/>
          <w:szCs w:val="20"/>
          <w:color w:val="auto"/>
        </w:rPr>
      </w:pPr>
    </w:p>
    <w:p>
      <w:pPr>
        <w:ind w:left="1000" w:hanging="344"/>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Joinder of TCB as a Lender</w:t>
      </w:r>
      <w:r>
        <w:rPr>
          <w:rFonts w:ascii="Times New Roman" w:cs="Times New Roman" w:eastAsia="Times New Roman" w:hAnsi="Times New Roman"/>
          <w:sz w:val="20"/>
          <w:szCs w:val="20"/>
          <w:color w:val="auto"/>
        </w:rPr>
        <w:t>.</w:t>
      </w:r>
    </w:p>
    <w:p>
      <w:pPr>
        <w:spacing w:after="0" w:line="198" w:lineRule="exact"/>
        <w:rPr>
          <w:rFonts w:ascii="Times New Roman" w:cs="Times New Roman" w:eastAsia="Times New Roman" w:hAnsi="Times New Roman"/>
          <w:sz w:val="20"/>
          <w:szCs w:val="20"/>
          <w:color w:val="auto"/>
        </w:rPr>
      </w:pPr>
    </w:p>
    <w:p>
      <w:pPr>
        <w:jc w:val="both"/>
        <w:ind w:right="20" w:firstLine="1304"/>
        <w:spacing w:after="0" w:line="217"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TCB hereby (i) agrees to become Syndication Agent and a “</w:t>
      </w:r>
      <w:r>
        <w:rPr>
          <w:rFonts w:ascii="Times New Roman" w:cs="Times New Roman" w:eastAsia="Times New Roman" w:hAnsi="Times New Roman"/>
          <w:sz w:val="20"/>
          <w:szCs w:val="20"/>
          <w:i w:val="1"/>
          <w:iCs w:val="1"/>
          <w:color w:val="auto"/>
        </w:rPr>
        <w:t>Lender</w:t>
      </w:r>
      <w:r>
        <w:rPr>
          <w:rFonts w:ascii="Times New Roman" w:cs="Times New Roman" w:eastAsia="Times New Roman" w:hAnsi="Times New Roman"/>
          <w:sz w:val="20"/>
          <w:szCs w:val="20"/>
          <w:color w:val="auto"/>
        </w:rPr>
        <w:t>” under the Credit Agreement; (ii) joins in, becomes a party to, and agrees to comply with and be bound by the terms and conditions of the Credit Agreement, to the same extent as if TCB were an original signatory thereto; and (iii) agrees to provide its Revolving Commitment under the Credit Agreement on the Third Amendment Effective Date hereof in the amount of $50,000,000; and</w:t>
      </w:r>
    </w:p>
    <w:p>
      <w:pPr>
        <w:spacing w:after="0" w:line="177"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TCB hereby (i) represents and warrants that it has full power and authority, and has taken all action necessary, to execute and deliver this Amendment and to consummate the transactions contemplated hereby; and (ii) agrees that it will (A) independently and without reliance on Administrative Agent or any other Lender, and based on such documents and information as it shall deem appropriate at the time, continue to make its own credit decisions in taking or not taking action under the Loan Documents, and (B) perform in accordance with their terms all of the obligations which by the terms of the Loan Documents are required to be performed by it as a Lender.</w:t>
      </w:r>
    </w:p>
    <w:p>
      <w:pPr>
        <w:spacing w:after="0" w:line="191"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in Aggregate Commitments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56"/>
        <w:spacing w:after="0" w:line="213" w:lineRule="auto"/>
        <w:tabs>
          <w:tab w:leader="none" w:pos="111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in this Amendment and in the Amended Credit Agreement, each of the Lenders hereby agrees to increase the amount of its respective Revolving Commitment on the Third Amendment Effective Date from the respective amount set forth in the applicable column opposite such Lender’s name (designated as such Lender’s “</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xml:space="preserve">”) in the table set forth on </w:t>
      </w:r>
      <w:r>
        <w:rPr>
          <w:rFonts w:ascii="Times New Roman" w:cs="Times New Roman" w:eastAsia="Times New Roman" w:hAnsi="Times New Roman"/>
          <w:sz w:val="20"/>
          <w:szCs w:val="20"/>
          <w:b w:val="1"/>
          <w:bCs w:val="1"/>
          <w:i w:val="1"/>
          <w:iCs w:val="1"/>
          <w:color w:val="auto"/>
        </w:rPr>
        <w:t xml:space="preserve">Schedule 1.01(b) </w:t>
      </w:r>
      <w:r>
        <w:rPr>
          <w:rFonts w:ascii="Times New Roman" w:cs="Times New Roman" w:eastAsia="Times New Roman" w:hAnsi="Times New Roman"/>
          <w:sz w:val="20"/>
          <w:szCs w:val="20"/>
          <w:color w:val="auto"/>
        </w:rPr>
        <w:t>to the Credit Agreement, as such Schedule is in effect immediately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prior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giving effect to this Amendment,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respective amount set forth in the applicable column opposite such Lender’s name (designated as such Lender’s “</w:t>
      </w:r>
      <w:r>
        <w:rPr>
          <w:rFonts w:ascii="Times New Roman" w:cs="Times New Roman" w:eastAsia="Times New Roman" w:hAnsi="Times New Roman"/>
          <w:sz w:val="20"/>
          <w:szCs w:val="20"/>
          <w:i w:val="1"/>
          <w:iCs w:val="1"/>
          <w:color w:val="auto"/>
        </w:rPr>
        <w:t>Commitment</w:t>
      </w:r>
      <w:r>
        <w:rPr>
          <w:rFonts w:ascii="Times New Roman" w:cs="Times New Roman" w:eastAsia="Times New Roman" w:hAnsi="Times New Roman"/>
          <w:sz w:val="20"/>
          <w:szCs w:val="20"/>
          <w:color w:val="auto"/>
        </w:rPr>
        <w:t xml:space="preserve">”) in the table set forth on such Schedule as in effect immediately </w:t>
      </w:r>
      <w:r>
        <w:rPr>
          <w:rFonts w:ascii="Times New Roman" w:cs="Times New Roman" w:eastAsia="Times New Roman" w:hAnsi="Times New Roman"/>
          <w:sz w:val="20"/>
          <w:szCs w:val="20"/>
          <w:i w:val="1"/>
          <w:iCs w:val="1"/>
          <w:color w:val="auto"/>
        </w:rPr>
        <w:t>after</w:t>
      </w:r>
      <w:r>
        <w:rPr>
          <w:rFonts w:ascii="Times New Roman" w:cs="Times New Roman" w:eastAsia="Times New Roman" w:hAnsi="Times New Roman"/>
          <w:sz w:val="20"/>
          <w:szCs w:val="20"/>
          <w:color w:val="auto"/>
        </w:rPr>
        <w:t xml:space="preserve"> giving effect to this Amendment. As of the Third Amendment Effective Date (immediately </w:t>
      </w:r>
      <w:r>
        <w:rPr>
          <w:rFonts w:ascii="Times New Roman" w:cs="Times New Roman" w:eastAsia="Times New Roman" w:hAnsi="Times New Roman"/>
          <w:sz w:val="20"/>
          <w:szCs w:val="20"/>
          <w:i w:val="1"/>
          <w:iCs w:val="1"/>
          <w:color w:val="auto"/>
        </w:rPr>
        <w:t>after</w:t>
      </w:r>
      <w:r>
        <w:rPr>
          <w:rFonts w:ascii="Times New Roman" w:cs="Times New Roman" w:eastAsia="Times New Roman" w:hAnsi="Times New Roman"/>
          <w:sz w:val="20"/>
          <w:szCs w:val="20"/>
          <w:color w:val="auto"/>
        </w:rPr>
        <w:t xml:space="preserve"> giving effect to this Amendment), the amount of the Aggregate Commitments is One Hundred Fifty Million Dollars ($150,000,000), as increased from One Hundred Twenty-Five Million Dollars ($125,000,000) as of the date that is immediately </w:t>
      </w:r>
      <w:r>
        <w:rPr>
          <w:rFonts w:ascii="Times New Roman" w:cs="Times New Roman" w:eastAsia="Times New Roman" w:hAnsi="Times New Roman"/>
          <w:sz w:val="20"/>
          <w:szCs w:val="20"/>
          <w:i w:val="1"/>
          <w:iCs w:val="1"/>
          <w:color w:val="auto"/>
        </w:rPr>
        <w:t>prior</w:t>
      </w:r>
      <w:r>
        <w:rPr>
          <w:rFonts w:ascii="Times New Roman" w:cs="Times New Roman" w:eastAsia="Times New Roman" w:hAnsi="Times New Roman"/>
          <w:sz w:val="20"/>
          <w:szCs w:val="20"/>
          <w:color w:val="auto"/>
        </w:rPr>
        <w:t xml:space="preserve"> to the Third Amendment Effective Date.</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1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increase in the amount of the Aggregate Commitments on the Third Amendment Effective Date pursuant to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effected pursuant to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xml:space="preserve"> of the Credit Agreement and 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constitute an Incremental Facility for purposes of the Amended Credit Agreement or any of the other Loan Documents, and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the aggregate amount of the increase in Commitments established on the Third Amendment Effective Date pursuant to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decrease (or otherwise count against) the aggregate Dollar cap applicable to Incremental Facilities that is set forth in </w:t>
      </w:r>
      <w:r>
        <w:rPr>
          <w:rFonts w:ascii="Times New Roman" w:cs="Times New Roman" w:eastAsia="Times New Roman" w:hAnsi="Times New Roman"/>
          <w:sz w:val="20"/>
          <w:szCs w:val="20"/>
          <w:b w:val="1"/>
          <w:bCs w:val="1"/>
          <w:i w:val="1"/>
          <w:iCs w:val="1"/>
          <w:color w:val="auto"/>
        </w:rPr>
        <w:t>Section 2.16(a)</w:t>
      </w:r>
      <w:r>
        <w:rPr>
          <w:rFonts w:ascii="Times New Roman" w:cs="Times New Roman" w:eastAsia="Times New Roman" w:hAnsi="Times New Roman"/>
          <w:sz w:val="20"/>
          <w:szCs w:val="20"/>
          <w:color w:val="auto"/>
        </w:rPr>
        <w:t xml:space="preserve"> of the Amended Credit Agreement.</w:t>
      </w:r>
    </w:p>
    <w:p>
      <w:pPr>
        <w:spacing w:after="0" w:line="157" w:lineRule="exact"/>
        <w:rPr>
          <w:sz w:val="20"/>
          <w:szCs w:val="20"/>
          <w:color w:val="auto"/>
        </w:rPr>
      </w:pPr>
    </w:p>
    <w:p>
      <w:pPr>
        <w:ind w:firstLine="656"/>
        <w:spacing w:after="0" w:line="235" w:lineRule="auto"/>
        <w:tabs>
          <w:tab w:leader="none" w:pos="10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 xml:space="preserve">. In accordance with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xml:space="preserve"> of the Credit Agreement, the Credit Agreement is hereby amended in the following respects:</w:t>
      </w:r>
    </w:p>
    <w:p>
      <w:pPr>
        <w:spacing w:after="0" w:line="157"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80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Credit Agreement</w:t>
      </w:r>
      <w:r>
        <w:rPr>
          <w:rFonts w:ascii="Times New Roman" w:cs="Times New Roman" w:eastAsia="Times New Roman" w:hAnsi="Times New Roman"/>
          <w:sz w:val="20"/>
          <w:szCs w:val="20"/>
          <w:color w:val="auto"/>
        </w:rPr>
        <w:t xml:space="preserve">. The terms of the Credit Agreement (but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the Exhibits and/or Schedules thereto) are hereby amended and replaced in their entirety to read as set forth in the copy of the entire body of the Amended Credit Agreement attached hereto as </w:t>
      </w:r>
      <w:r>
        <w:rPr>
          <w:rFonts w:ascii="Times New Roman" w:cs="Times New Roman" w:eastAsia="Times New Roman" w:hAnsi="Times New Roman"/>
          <w:sz w:val="20"/>
          <w:szCs w:val="20"/>
          <w:b w:val="1"/>
          <w:bCs w:val="1"/>
          <w:i w:val="1"/>
          <w:iCs w:val="1"/>
          <w:color w:val="auto"/>
        </w:rPr>
        <w:t>Annex I</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ind w:left="660" w:right="20" w:firstLine="644"/>
        <w:spacing w:after="0" w:line="245" w:lineRule="auto"/>
        <w:tabs>
          <w:tab w:leader="none" w:pos="173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1.01(b) to Credit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Schedule 1.01(b)</w:t>
      </w:r>
      <w:r>
        <w:rPr>
          <w:rFonts w:ascii="Times New Roman" w:cs="Times New Roman" w:eastAsia="Times New Roman" w:hAnsi="Times New Roman"/>
          <w:sz w:val="20"/>
          <w:szCs w:val="20"/>
          <w:color w:val="auto"/>
        </w:rPr>
        <w:t xml:space="preserve"> to the Credit Agreement is hereby amended and replaced in its entirety with the Schedule attached hereto as </w:t>
      </w:r>
      <w:r>
        <w:rPr>
          <w:rFonts w:ascii="Times New Roman" w:cs="Times New Roman" w:eastAsia="Times New Roman" w:hAnsi="Times New Roman"/>
          <w:sz w:val="20"/>
          <w:szCs w:val="20"/>
          <w:b w:val="1"/>
          <w:bCs w:val="1"/>
          <w:i w:val="1"/>
          <w:iCs w:val="1"/>
          <w:color w:val="auto"/>
        </w:rPr>
        <w:t>Annex 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6" w:lineRule="exact"/>
        <w:rPr>
          <w:sz w:val="20"/>
          <w:szCs w:val="20"/>
          <w:color w:val="auto"/>
        </w:rPr>
      </w:pPr>
    </w:p>
    <w:p>
      <w:pPr>
        <w:ind w:firstLine="656"/>
        <w:spacing w:after="0"/>
        <w:tabs>
          <w:tab w:leader="none" w:pos="103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Conditions Precedent</w:t>
      </w:r>
      <w:r>
        <w:rPr>
          <w:rFonts w:ascii="Times New Roman" w:cs="Times New Roman" w:eastAsia="Times New Roman" w:hAnsi="Times New Roman"/>
          <w:sz w:val="20"/>
          <w:szCs w:val="20"/>
          <w:color w:val="auto"/>
        </w:rPr>
        <w:t>. This Amendment shall become effective as of the Third Amendment Effective Date upon the satisfaction of each of the following conditions precedent (in each case, in form and substance satisfactory to the Administrative Agent):</w:t>
      </w:r>
    </w:p>
    <w:p>
      <w:pPr>
        <w:spacing w:after="0" w:line="148" w:lineRule="exact"/>
        <w:rPr>
          <w:sz w:val="20"/>
          <w:szCs w:val="20"/>
          <w:color w:val="auto"/>
        </w:rPr>
      </w:pPr>
    </w:p>
    <w:p>
      <w:pPr>
        <w:jc w:val="both"/>
        <w:ind w:firstLine="656"/>
        <w:spacing w:after="0" w:line="222" w:lineRule="auto"/>
        <w:tabs>
          <w:tab w:leader="none" w:pos="11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Receipt by the Administrative Agent of a counterpart of this Amendment duly executed by each of the Loan Parties, each of the Lenders, the Administrative Agent, the Swingline Lender and the L/C Issuer, or written evidence satisfactory to the Administrative Agent (which may include telecopy transmission of such signed signature page) that each such Person has signed a counterpart to this Amendment.</w:t>
      </w:r>
    </w:p>
    <w:p>
      <w:pPr>
        <w:spacing w:after="0" w:line="161" w:lineRule="exact"/>
        <w:rPr>
          <w:rFonts w:ascii="Times New Roman" w:cs="Times New Roman" w:eastAsia="Times New Roman" w:hAnsi="Times New Roman"/>
          <w:sz w:val="20"/>
          <w:szCs w:val="20"/>
          <w:color w:val="auto"/>
        </w:rPr>
      </w:pPr>
    </w:p>
    <w:p>
      <w:pPr>
        <w:jc w:val="both"/>
        <w:ind w:firstLine="656"/>
        <w:spacing w:after="0" w:line="221" w:lineRule="auto"/>
        <w:tabs>
          <w:tab w:leader="none" w:pos="113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Organization Documents; Resolutions and Certificates</w:t>
      </w:r>
      <w:r>
        <w:rPr>
          <w:rFonts w:ascii="Times New Roman" w:cs="Times New Roman" w:eastAsia="Times New Roman" w:hAnsi="Times New Roman"/>
          <w:sz w:val="19"/>
          <w:szCs w:val="19"/>
          <w:color w:val="auto"/>
        </w:rPr>
        <w:t>. Receipt by the Administrative Agent of a duly executed certificate of the chief financial officer, manager, secretary or assistant secretary (or other Responsible Officer of substantially equivalent title and authority) of each Loan Party: (i) certifying that there has been no change to the Organization Documents of such Loan Party since the Effective Date (except as may be detailed in such certificate, and, in the event of any such change(s), such certificate shall attach a copy of such changed Organization Document(s) that is certified, as of a recent date, by the applicable Governmental Authority of such Loan Party’s jurisdiction of incorporation or formation (as the case may be)); (ii) attaching and certifying a copy of resolutions (or unanimous written consents) of the board of directors or managers (or equivalent governing body) of such Loan Party, authorizing (A) the timely execution and</w:t>
      </w:r>
    </w:p>
    <w:p>
      <w:pPr>
        <w:spacing w:after="0" w:line="212" w:lineRule="auto"/>
        <w:rPr>
          <w:sz w:val="20"/>
          <w:szCs w:val="20"/>
          <w:color w:val="auto"/>
        </w:rPr>
      </w:pPr>
      <w:r>
        <w:rPr>
          <w:rFonts w:ascii="Times New Roman" w:cs="Times New Roman" w:eastAsia="Times New Roman" w:hAnsi="Times New Roman"/>
          <w:sz w:val="19"/>
          <w:szCs w:val="19"/>
          <w:color w:val="auto"/>
        </w:rPr>
        <w:t>delivery of this Amendment and the performance by such Loan Party of its obligations hereunder and under the Amended Credit Agreement,</w:t>
      </w:r>
    </w:p>
    <w:p>
      <w:pPr>
        <w:jc w:val="both"/>
        <w:ind w:firstLine="8"/>
        <w:spacing w:after="0" w:line="212" w:lineRule="auto"/>
        <w:tabs>
          <w:tab w:leader="none" w:pos="33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increase in the amount of the Aggregate Commitments on the Third Amendment Effective Date as described herein, and (C) any Credit Extension(s) to occur on the Third Amendment Effective Date; (iii) if the Administrative Agent has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already received an executed, original incumbency certificate (in form and substance reasonably satisfactory to the Administrative Agent) with respect to each Responsible Officer of a Loan Party signing this Amendment and/or any other document, agreement, letter, certificate and/or instrument executed, or required to be executed, in connection herewith (including, without limitation, the fee letter agreement referred to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below and the certificate(s)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an executed incumbency certificate with respect to each such Responsible Officer; and (iv) copies of certificates of good standing, existence, or the like for each Loan Party, certified, as of a recent date, by the applicable Governmental Authority of such Loan Party’s jurisdiction of incorporation or formation (as the case may be).</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17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Receipt by the Administrative Agent of customary written opinions of counsel to the Loan Parties, addressed to the Administrative Agent and the Lenders, regarding, among other customary matters, the existence, good standing and corporate authority of the Loan Parties and the binding effect and enforceability of this Amendment and the Amended Credit Agreement and otherwise in form and substance reasonably satisfactory to the Administrative Agent.</w:t>
      </w:r>
    </w:p>
    <w:p>
      <w:pPr>
        <w:spacing w:after="0" w:line="16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w:t>
      </w:r>
      <w:r>
        <w:rPr>
          <w:rFonts w:ascii="Times New Roman" w:cs="Times New Roman" w:eastAsia="Times New Roman" w:hAnsi="Times New Roman"/>
          <w:sz w:val="20"/>
          <w:szCs w:val="20"/>
          <w:color w:val="auto"/>
        </w:rPr>
        <w:t>. Receipt by the Administrative Agent of each of the following:</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727"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copies of favorable UCC, tax, judgment and fixture lien search results (in each case, as required by the Administrative Agent in its reasonable discretion) in the jurisdiction of incorporation or formation, as the case may be, of each Loan Party, together with any such search results in any other necessary or appropriate jurisdiction(s) as reasonably requested by the Administrative Agent, indicating that there are no prior Liens on any of the Collateral, other than Liens permitted to continue in existence after the Third Amendment Effective Date pursuant to </w:t>
      </w:r>
      <w:r>
        <w:rPr>
          <w:rFonts w:ascii="Times New Roman" w:cs="Times New Roman" w:eastAsia="Times New Roman" w:hAnsi="Times New Roman"/>
          <w:sz w:val="20"/>
          <w:szCs w:val="20"/>
          <w:b w:val="1"/>
          <w:bCs w:val="1"/>
          <w:i w:val="1"/>
          <w:iCs w:val="1"/>
          <w:color w:val="auto"/>
        </w:rPr>
        <w:t>Section 7.01</w:t>
      </w:r>
      <w:r>
        <w:rPr>
          <w:rFonts w:ascii="Times New Roman" w:cs="Times New Roman" w:eastAsia="Times New Roman" w:hAnsi="Times New Roman"/>
          <w:sz w:val="20"/>
          <w:szCs w:val="20"/>
          <w:color w:val="auto"/>
        </w:rPr>
        <w:t xml:space="preserve"> of the Amended Credit Agreement;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802"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statements (including any amendments thereto), duly authorized by the Loan Parties for filing by the Administrative Agent, with respect to each appropriate jurisdiction as is necessary or advisable, in the Administrative Agent’s reasonable discretion,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20"/>
          <w:szCs w:val="20"/>
          <w:color w:val="auto"/>
        </w:rPr>
        <w:t xml:space="preserve">perfect the Administrative Agent’s security interest in the Collateral (to the extent that such security interest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for any reason, perfected with respect to any of the Collateral immediately prior to the Third Amendment Effective Date).</w:t>
      </w:r>
    </w:p>
    <w:p>
      <w:pPr>
        <w:spacing w:after="0" w:line="142" w:lineRule="exact"/>
        <w:rPr>
          <w:sz w:val="20"/>
          <w:szCs w:val="20"/>
          <w:color w:val="auto"/>
        </w:rPr>
      </w:pPr>
    </w:p>
    <w:p>
      <w:pPr>
        <w:jc w:val="both"/>
        <w:ind w:firstLine="656"/>
        <w:spacing w:after="0" w:line="220" w:lineRule="auto"/>
        <w:tabs>
          <w:tab w:leader="none" w:pos="107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 and Documents</w:t>
      </w:r>
      <w:r>
        <w:rPr>
          <w:rFonts w:ascii="Times New Roman" w:cs="Times New Roman" w:eastAsia="Times New Roman" w:hAnsi="Times New Roman"/>
          <w:sz w:val="20"/>
          <w:szCs w:val="20"/>
          <w:color w:val="auto"/>
        </w:rPr>
        <w:t>. Delivery to (i) the Administrative Agent of such other information and/or documents as the Administrative Agent and/or any Lender may reasonably request or require in connection with this Amendment, and (ii) Texas Capital Bank, as Syndication Agent and a Lender of the letter agreements dated as of the date hereof between the Borrower and Texas Capital Bank, as Syndication Agent and a Lender, the final versions of such letters which have been delivered to the Administrative Agent on or prior to the date hereof.</w:t>
      </w:r>
    </w:p>
    <w:p>
      <w:pPr>
        <w:spacing w:after="0" w:line="160" w:lineRule="exact"/>
        <w:rPr>
          <w:rFonts w:ascii="Times New Roman" w:cs="Times New Roman" w:eastAsia="Times New Roman" w:hAnsi="Times New Roman"/>
          <w:sz w:val="20"/>
          <w:szCs w:val="20"/>
          <w:color w:val="auto"/>
        </w:rPr>
      </w:pPr>
    </w:p>
    <w:p>
      <w:pPr>
        <w:jc w:val="both"/>
        <w:ind w:firstLine="656"/>
        <w:spacing w:after="0" w:line="215" w:lineRule="auto"/>
        <w:tabs>
          <w:tab w:leader="none" w:pos="105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Receipt by the Administrative Agent of all fees, costs, expenses, charges, disbursements and other amounts due and payable by any of the Loan Parties to any of the Administrative Agent, the Swingline Lender, the L/C Issuer, Syndication Agent and/or the Lenders (or any of them) on or prior to the Third Amendment Effective Date, including, without limitation, reimbursement or payment of all fees and out-of-pocket expenses of the Administrative Agent and its Affiliates (including, without limitation, all reasonable and documented fees, charges and disbursements of counsel to the Administrative Agent) required to be reimbursed or paid by any of the Loan Parties hereunder, under any other Loan Document, and/or under any other agreement with (i) the Administrative Agent or any of its Affiliates and(ii) Texas Capital Bank, as Syndication Agent or any of its Affiliates.</w:t>
      </w:r>
    </w:p>
    <w:p>
      <w:pPr>
        <w:spacing w:after="0" w:line="151" w:lineRule="exact"/>
        <w:rPr>
          <w:sz w:val="20"/>
          <w:szCs w:val="20"/>
          <w:color w:val="auto"/>
        </w:rPr>
      </w:pPr>
    </w:p>
    <w:p>
      <w:pPr>
        <w:jc w:val="both"/>
        <w:ind w:firstLine="656"/>
        <w:spacing w:after="0" w:line="221" w:lineRule="auto"/>
        <w:tabs>
          <w:tab w:leader="none" w:pos="104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The Borrower and each Guarantor hereby represent and warrant to the Administrative Agent and the Lenders on, and as of, the Third Amendment Effective Date that: (a) it possesses the requisite power and authority to execute and deliver this Amendment and to perform its respective obligations under this Amendment and the Amended Credit Agreement; (b) this Amendment has been duly authorized and approved by the requisite corporate action on the part of the Borrower or such Guarantor; (c) no other consent of any Person (other than the Administrative Agent, the L/C Issuer and the Lenders) that has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xml:space="preserve"> been obtained is required for this Amendment to be effective on the Third Amendment Effective Date in accordance with the terms hereof; (d) the execution and delivery of this Amendment does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xml:space="preserve"> violate its Organization Documents; (e) the representations and warranties in each Loan Document to which it is a party are true and correct in all material respects on and as of the Third Amendment Effective Date as though made on the Third Amendment Effective Date (except to the extent that such representations and warranties speak to a specific date, in which case such representation or warranty shall be true and correct in all material respects as of such specific date); (f) it is in compliance with all covenants and agreements contained in each Loan Document to which it is a party; (g) no Default or Event of Default has occurred and is continuing or would result from either its execution and delivery of this Amendment on the Third Amendment Effective Date or the performance of its respective obligations under this Amendment and/or the Amended Credit Agreement; (h) each Loan Document to which it is a party remains in full force and effect and is the legal, valid, and binding obligation of the Borrower or such Guarantor, enforceable against the Borrower or such Guarantor in accordance with its respective terms, subject to applicable bankruptcy, insolvency or similar laws affecting creditors’ rights generally and to general principles of equity and principles of good faith and fair dealing; and (i) as of the Third Amendment Effective Date, the information included in any Beneficial Ownership Certification, if applicable, is true and correct in all respects.</w:t>
      </w:r>
    </w:p>
    <w:p>
      <w:pPr>
        <w:spacing w:after="0" w:line="157" w:lineRule="exact"/>
        <w:rPr>
          <w:rFonts w:ascii="Times New Roman" w:cs="Times New Roman" w:eastAsia="Times New Roman" w:hAnsi="Times New Roman"/>
          <w:sz w:val="19"/>
          <w:szCs w:val="19"/>
          <w:color w:val="auto"/>
        </w:rPr>
      </w:pPr>
    </w:p>
    <w:p>
      <w:pPr>
        <w:ind w:left="1000" w:hanging="344"/>
        <w:spacing w:after="0"/>
        <w:tabs>
          <w:tab w:leader="none" w:pos="10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 Reaffirmation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56"/>
        <w:spacing w:after="0" w:line="226" w:lineRule="auto"/>
        <w:tabs>
          <w:tab w:leader="none" w:pos="107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amended by this Amendment, all of the terms, provisions and conditions of the Loan Documents (including in any Schedules and/or Exhibits thereto) are unchanged and shall remain and continue in full force and effect according to their respective terms. However, in the event of any inconsistency between the terms of the Amended Credit Agreement and the terms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Loan Document, the terms of the Amended Credit Agreement shall control and the terms of such other Loan Document shall be deemed to be amended to conform to the terms of the Amended Credit Agreement.</w:t>
      </w:r>
    </w:p>
    <w:p>
      <w:pPr>
        <w:spacing w:after="0" w:line="148" w:lineRule="exact"/>
        <w:rPr>
          <w:sz w:val="20"/>
          <w:szCs w:val="20"/>
          <w:color w:val="auto"/>
        </w:rPr>
      </w:pPr>
    </w:p>
    <w:p>
      <w:pPr>
        <w:jc w:val="both"/>
        <w:ind w:firstLine="656"/>
        <w:spacing w:after="0" w:line="226" w:lineRule="auto"/>
        <w:tabs>
          <w:tab w:leader="none" w:pos="1092"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Loan Party: (i) (A) acknowledges and consents to all of the terms and conditions of this Amendment and of the Amended Credit Agreement, (B) affirms all of its respective obligations under each of the Loan Documents (as amended by this Amendment, to the extent amended), and (C) agrees that this Amendment, and all documents, agreements, letters, certificates and/or instruments executed in connection with this Amendment, do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xml:space="preserve"> operate to reduce or discharge any Loan Party’s obligations under any of the Loan Documents to which it is a party; and (ii) (A) affirms that each of the Liens granted in, or pursuant to, the Loan Documents is valid and subsisting, and (B) agrees that this Amendment, and all documents, agreements, certificates and/or instruments executed in connection with this Amendment, do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in any manner, impair, or otherwise adversely affect, any of the Liens granted in, or pursuant to, any of the Loan Documents.</w:t>
      </w:r>
    </w:p>
    <w:p>
      <w:pPr>
        <w:spacing w:after="0" w:line="166" w:lineRule="exact"/>
        <w:rPr>
          <w:sz w:val="20"/>
          <w:szCs w:val="20"/>
          <w:color w:val="auto"/>
        </w:rPr>
      </w:pPr>
    </w:p>
    <w:p>
      <w:pPr>
        <w:ind w:left="1000" w:hanging="344"/>
        <w:spacing w:after="0"/>
        <w:tabs>
          <w:tab w:leader="none" w:pos="10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56"/>
        <w:spacing w:after="0" w:line="211" w:lineRule="auto"/>
        <w:tabs>
          <w:tab w:leader="none" w:pos="117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 Reference of Terms</w:t>
      </w:r>
      <w:r>
        <w:rPr>
          <w:rFonts w:ascii="Times New Roman" w:cs="Times New Roman" w:eastAsia="Times New Roman" w:hAnsi="Times New Roman"/>
          <w:sz w:val="20"/>
          <w:szCs w:val="20"/>
          <w:color w:val="auto"/>
        </w:rPr>
        <w:t>. This Amendment is hereby deemed to be, and shall be, a Loan Document, and all references to a “</w:t>
      </w:r>
      <w:r>
        <w:rPr>
          <w:rFonts w:ascii="Times New Roman" w:cs="Times New Roman" w:eastAsia="Times New Roman" w:hAnsi="Times New Roman"/>
          <w:sz w:val="20"/>
          <w:szCs w:val="20"/>
          <w:i w:val="1"/>
          <w:iCs w:val="1"/>
          <w:color w:val="auto"/>
        </w:rPr>
        <w:t>Loan Document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i w:val="1"/>
          <w:iCs w:val="1"/>
          <w:color w:val="auto"/>
        </w:rPr>
        <w:t>Loan Documents</w:t>
      </w:r>
      <w:r>
        <w:rPr>
          <w:rFonts w:ascii="Times New Roman" w:cs="Times New Roman" w:eastAsia="Times New Roman" w:hAnsi="Times New Roman"/>
          <w:sz w:val="20"/>
          <w:szCs w:val="20"/>
          <w:color w:val="auto"/>
        </w:rPr>
        <w:t>” in the Credit Agreement, in any other Loan Document, or in any other document, agreement, letter, certificate and/or instrument executed and delivered pursuant to the terms hereof or thereof, whether executed on, prior to or after the Third Amendment Effective Date (including, without limitation, all such references in the representations and warranties of the Loan Parties set forth in the Credit Agreement and the other Loan Documents), shall be deemed to include, and shall include, this Amendment. All references to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in the Credit Agreement, and all references to the “</w:t>
      </w:r>
      <w:r>
        <w:rPr>
          <w:rFonts w:ascii="Times New Roman" w:cs="Times New Roman" w:eastAsia="Times New Roman" w:hAnsi="Times New Roman"/>
          <w:sz w:val="20"/>
          <w:szCs w:val="20"/>
          <w:i w:val="1"/>
          <w:iCs w:val="1"/>
          <w:color w:val="auto"/>
        </w:rPr>
        <w:t>Credit Agreement</w:t>
      </w:r>
      <w:r>
        <w:rPr>
          <w:rFonts w:ascii="Times New Roman" w:cs="Times New Roman" w:eastAsia="Times New Roman" w:hAnsi="Times New Roman"/>
          <w:sz w:val="20"/>
          <w:szCs w:val="20"/>
          <w:color w:val="auto"/>
        </w:rPr>
        <w:t>” in any other Loan Document or in any other document, agreement, letter, certificate and/or instrument executed and delivered pursuant to the terms hereof or thereof, whether executed on, prior to or after the Third Amendment Effective Date (including, without limitation, all such references in the representations and warranties of the Loan Parties set forth in the Credit Agreement and the other Loan Documents), are hereby amended so that any reference to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i w:val="1"/>
          <w:iCs w:val="1"/>
          <w:color w:val="auto"/>
        </w:rPr>
        <w:t>Credit Agreement</w:t>
      </w:r>
      <w:r>
        <w:rPr>
          <w:rFonts w:ascii="Times New Roman" w:cs="Times New Roman" w:eastAsia="Times New Roman" w:hAnsi="Times New Roman"/>
          <w:sz w:val="20"/>
          <w:szCs w:val="20"/>
          <w:color w:val="auto"/>
        </w:rPr>
        <w:t>” therein, as the case may be, shall be, and be deemed to be, a reference to the Amended Credit Agreement.</w:t>
      </w:r>
    </w:p>
    <w:p>
      <w:pPr>
        <w:spacing w:after="0" w:line="165" w:lineRule="exact"/>
        <w:rPr>
          <w:rFonts w:ascii="Times New Roman" w:cs="Times New Roman" w:eastAsia="Times New Roman" w:hAnsi="Times New Roman"/>
          <w:sz w:val="20"/>
          <w:szCs w:val="20"/>
          <w:color w:val="auto"/>
        </w:rPr>
      </w:pPr>
    </w:p>
    <w:p>
      <w:pPr>
        <w:ind w:right="20" w:firstLine="656"/>
        <w:spacing w:after="0" w:line="233" w:lineRule="auto"/>
        <w:tabs>
          <w:tab w:leader="none" w:pos="107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The Amended Credit Agreement shall be binding upon, and inure to the benefit of, each of the undersigned and their respective legal representatives, successors and permitted assigns.</w:t>
      </w:r>
    </w:p>
    <w:p>
      <w:pPr>
        <w:spacing w:after="0" w:line="156" w:lineRule="exact"/>
        <w:rPr>
          <w:rFonts w:ascii="Times New Roman" w:cs="Times New Roman" w:eastAsia="Times New Roman" w:hAnsi="Times New Roman"/>
          <w:sz w:val="20"/>
          <w:szCs w:val="20"/>
          <w:color w:val="auto"/>
        </w:rPr>
      </w:pPr>
    </w:p>
    <w:p>
      <w:pPr>
        <w:jc w:val="both"/>
        <w:ind w:firstLine="656"/>
        <w:spacing w:after="0" w:line="227" w:lineRule="auto"/>
        <w:tabs>
          <w:tab w:leader="none" w:pos="109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 of Defaults</w:t>
      </w:r>
      <w:r>
        <w:rPr>
          <w:rFonts w:ascii="Times New Roman" w:cs="Times New Roman" w:eastAsia="Times New Roman" w:hAnsi="Times New Roman"/>
          <w:sz w:val="20"/>
          <w:szCs w:val="20"/>
          <w:color w:val="auto"/>
        </w:rPr>
        <w:t xml:space="preserve">. This Amendment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constitute a waiver of, or a consent to, any present or future violation of, or default under, any provision of any of the Loan Documents, or a waiver of the Administrative Agent’s, the L/C Issuer’s or any Lender’s right to insist upon future compliance with each and every term, covenant, condition and provision of each of the Loan Documents.</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13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w:t>
      </w:r>
      <w:r>
        <w:rPr>
          <w:rFonts w:ascii="Times New Roman" w:cs="Times New Roman" w:eastAsia="Times New Roman" w:hAnsi="Times New Roman"/>
          <w:sz w:val="20"/>
          <w:szCs w:val="20"/>
          <w:color w:val="auto"/>
        </w:rPr>
        <w:t>. Each agreement, document, certificate, instrument or other writing to be furnished to the Administrative Agent or any Lender under any provision of this Amendment must be in form and substance reasonably satisfactory to the Administrative Agent.</w:t>
      </w:r>
    </w:p>
    <w:p>
      <w:pPr>
        <w:spacing w:after="0" w:line="143" w:lineRule="exact"/>
        <w:rPr>
          <w:rFonts w:ascii="Times New Roman" w:cs="Times New Roman" w:eastAsia="Times New Roman" w:hAnsi="Times New Roman"/>
          <w:sz w:val="20"/>
          <w:szCs w:val="20"/>
          <w:color w:val="auto"/>
        </w:rPr>
      </w:pPr>
    </w:p>
    <w:p>
      <w:pPr>
        <w:ind w:firstLine="656"/>
        <w:spacing w:after="0" w:line="245" w:lineRule="auto"/>
        <w:tabs>
          <w:tab w:leader="none" w:pos="117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xml:space="preserve">. The headings and captions used in this Amendment are for convenience only and will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deemed to limit, amplify or modify the terms of this Amendment, the Amended Credit Agreement or any of the other Loan Documents.</w:t>
      </w:r>
    </w:p>
    <w:p>
      <w:pPr>
        <w:spacing w:after="0" w:line="155" w:lineRule="exact"/>
        <w:rPr>
          <w:rFonts w:ascii="Times New Roman" w:cs="Times New Roman" w:eastAsia="Times New Roman" w:hAnsi="Times New Roman"/>
          <w:sz w:val="20"/>
          <w:szCs w:val="20"/>
          <w:color w:val="auto"/>
        </w:rPr>
      </w:pPr>
    </w:p>
    <w:p>
      <w:pPr>
        <w:ind w:firstLine="656"/>
        <w:spacing w:after="0" w:line="233" w:lineRule="auto"/>
        <w:tabs>
          <w:tab w:leader="none" w:pos="105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Expenses and Attorneys’ Fees</w:t>
      </w:r>
      <w:r>
        <w:rPr>
          <w:rFonts w:ascii="Times New Roman" w:cs="Times New Roman" w:eastAsia="Times New Roman" w:hAnsi="Times New Roman"/>
          <w:sz w:val="20"/>
          <w:szCs w:val="20"/>
          <w:color w:val="auto"/>
        </w:rPr>
        <w:t>. The Borrower agrees to pay or reimburse the Administrative Agent on demand for all its reasonable out-of-pocket costs and expenses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connection with the preparation, negotiation, and execution of this Amendment, including, without limitation, the reasonable fees and disbursements of the Administrative Agent’s counsel.</w:t>
      </w:r>
    </w:p>
    <w:p>
      <w:pPr>
        <w:spacing w:after="0" w:line="148" w:lineRule="exact"/>
        <w:rPr>
          <w:sz w:val="20"/>
          <w:szCs w:val="20"/>
          <w:color w:val="auto"/>
        </w:rPr>
      </w:pPr>
    </w:p>
    <w:p>
      <w:pPr>
        <w:jc w:val="both"/>
        <w:ind w:firstLine="656"/>
        <w:spacing w:after="0" w:line="212" w:lineRule="auto"/>
        <w:tabs>
          <w:tab w:leader="none" w:pos="107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Multiple Counterparts; Electronic Signatures</w:t>
      </w:r>
      <w:r>
        <w:rPr>
          <w:rFonts w:ascii="Times New Roman" w:cs="Times New Roman" w:eastAsia="Times New Roman" w:hAnsi="Times New Roman"/>
          <w:sz w:val="20"/>
          <w:szCs w:val="20"/>
          <w:color w:val="auto"/>
        </w:rPr>
        <w:t>. This Amendment and any document, amendment, approval, consent, information, notice, certificate, request, statement, disclosure or authorization related to this Amendment (each, a “</w:t>
      </w:r>
      <w:r>
        <w:rPr>
          <w:rFonts w:ascii="Times New Roman" w:cs="Times New Roman" w:eastAsia="Times New Roman" w:hAnsi="Times New Roman"/>
          <w:sz w:val="20"/>
          <w:szCs w:val="20"/>
          <w:b w:val="1"/>
          <w:bCs w:val="1"/>
          <w:i w:val="1"/>
          <w:iCs w:val="1"/>
          <w:color w:val="auto"/>
        </w:rPr>
        <w:t>Communication</w:t>
      </w:r>
      <w:r>
        <w:rPr>
          <w:rFonts w:ascii="Times New Roman" w:cs="Times New Roman" w:eastAsia="Times New Roman" w:hAnsi="Times New Roman"/>
          <w:sz w:val="20"/>
          <w:szCs w:val="20"/>
          <w:color w:val="auto"/>
        </w:rPr>
        <w:t>”), including Communications required to be in writing, may be in the form of an Electronic Record and may be executed using Electronic Signatures (including, without limitation, facsimile and in “.pdf” format)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Administrative Agent of a manually signed paper Communication that has been converted into electronic form (such as scanned into “.pdf” format), or an electronically signed Communication converted into another format, for transmission, delivery and/or retention. For purposes hereof, “</w:t>
      </w:r>
      <w:r>
        <w:rPr>
          <w:rFonts w:ascii="Times New Roman" w:cs="Times New Roman" w:eastAsia="Times New Roman" w:hAnsi="Times New Roman"/>
          <w:sz w:val="20"/>
          <w:szCs w:val="20"/>
          <w:b w:val="1"/>
          <w:bCs w:val="1"/>
          <w:i w:val="1"/>
          <w:iCs w:val="1"/>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69" w:lineRule="exact"/>
        <w:rPr>
          <w:rFonts w:ascii="Times New Roman" w:cs="Times New Roman" w:eastAsia="Times New Roman" w:hAnsi="Times New Roman"/>
          <w:sz w:val="20"/>
          <w:szCs w:val="20"/>
          <w:color w:val="auto"/>
        </w:rPr>
      </w:pPr>
    </w:p>
    <w:p>
      <w:pPr>
        <w:jc w:val="both"/>
        <w:ind w:firstLine="656"/>
        <w:spacing w:after="0" w:line="222" w:lineRule="auto"/>
        <w:tabs>
          <w:tab w:leader="none" w:pos="125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TEXAS.</w:t>
      </w:r>
    </w:p>
    <w:p>
      <w:pPr>
        <w:spacing w:after="0" w:line="158" w:lineRule="exact"/>
        <w:rPr>
          <w:sz w:val="20"/>
          <w:szCs w:val="20"/>
          <w:color w:val="auto"/>
        </w:rPr>
      </w:pPr>
    </w:p>
    <w:p>
      <w:pPr>
        <w:jc w:val="both"/>
        <w:ind w:firstLine="656"/>
        <w:spacing w:after="0" w:line="227" w:lineRule="auto"/>
        <w:tabs>
          <w:tab w:leader="none" w:pos="112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Amendment and the other Loan Documents represent the final agreement among the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Lenders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C Issuer and the Administrative Agent and may </w:t>
      </w:r>
      <w:r>
        <w:rPr>
          <w:rFonts w:ascii="Times New Roman" w:cs="Times New Roman" w:eastAsia="Times New Roman" w:hAnsi="Times New Roman"/>
          <w:sz w:val="20"/>
          <w:szCs w:val="20"/>
          <w:b w:val="1"/>
          <w:bCs w:val="1"/>
          <w:i w:val="1"/>
          <w:iCs w:val="1"/>
          <w:color w:val="auto"/>
        </w:rPr>
        <w:t>not</w:t>
      </w:r>
      <w:r>
        <w:rPr>
          <w:rFonts w:ascii="Times New Roman" w:cs="Times New Roman" w:eastAsia="Times New Roman" w:hAnsi="Times New Roman"/>
          <w:sz w:val="20"/>
          <w:szCs w:val="20"/>
          <w:b w:val="1"/>
          <w:bCs w:val="1"/>
          <w:color w:val="auto"/>
        </w:rPr>
        <w:t xml:space="preserve"> be contradicted by evidence of prior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contemporaneous or subsequent oral agreements by the parties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 are no unwritten oral agreements among the parties</w:t>
      </w:r>
      <w:r>
        <w:rPr>
          <w:rFonts w:ascii="Times New Roman" w:cs="Times New Roman" w:eastAsia="Times New Roman" w:hAnsi="Times New Roman"/>
          <w:sz w:val="20"/>
          <w:szCs w:val="20"/>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7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IN WITNESS WHEREOF, each of the parties hereto have caused a counterpart of this Amendment to be duly executed and delivered by its below respective duly authorized officer as of the Third Amendment Effective Date.</w:t>
      </w:r>
    </w:p>
    <w:p>
      <w:pPr>
        <w:spacing w:after="0" w:line="35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20"/>
          <w:szCs w:val="20"/>
          <w:b w:val="1"/>
          <w:bCs w:val="1"/>
          <w:color w:val="auto"/>
        </w:rPr>
        <w:t>POWELL INDUSTRIES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w:t>
      </w:r>
    </w:p>
    <w:p>
      <w:pPr>
        <w:ind w:left="32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7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-6985</wp:posOffset>
            </wp:positionV>
            <wp:extent cx="16363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ind w:left="3240"/>
        <w:spacing w:after="0"/>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W. Metcalf</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and Chief Financial Officer</w:t>
      </w:r>
    </w:p>
    <w:p>
      <w:pPr>
        <w:spacing w:after="0" w:line="379" w:lineRule="exact"/>
        <w:rPr>
          <w:sz w:val="20"/>
          <w:szCs w:val="20"/>
          <w:color w:val="auto"/>
        </w:rPr>
      </w:pPr>
    </w:p>
    <w:p>
      <w:pPr>
        <w:ind w:left="2000" w:right="5480" w:hanging="3239"/>
        <w:spacing w:after="0" w:line="235" w:lineRule="auto"/>
        <w:tabs>
          <w:tab w:leader="none" w:pos="1980" w:val="left"/>
        </w:tabs>
        <w:rPr>
          <w:sz w:val="20"/>
          <w:szCs w:val="20"/>
          <w:color w:val="auto"/>
        </w:rPr>
      </w:pPr>
      <w:r>
        <w:rPr>
          <w:rFonts w:ascii="Times New Roman" w:cs="Times New Roman" w:eastAsia="Times New Roman" w:hAnsi="Times New Roman"/>
          <w:sz w:val="20"/>
          <w:szCs w:val="20"/>
          <w:color w:val="auto"/>
        </w:rPr>
        <w:t>GUARANTORS:</w:t>
      </w:r>
      <w:r>
        <w:rPr>
          <w:sz w:val="20"/>
          <w:szCs w:val="20"/>
          <w:color w:val="auto"/>
        </w:rPr>
        <w:tab/>
      </w:r>
      <w:r>
        <w:rPr>
          <w:rFonts w:ascii="Times New Roman" w:cs="Times New Roman" w:eastAsia="Times New Roman" w:hAnsi="Times New Roman"/>
          <w:sz w:val="20"/>
          <w:szCs w:val="20"/>
          <w:b w:val="1"/>
          <w:bCs w:val="1"/>
          <w:color w:val="auto"/>
        </w:rPr>
        <w:t>POWELL ELECTRICAL SYSTEMS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Delaware corporation</w:t>
      </w:r>
    </w:p>
    <w:p>
      <w:pPr>
        <w:spacing w:after="0" w:line="3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-6985</wp:posOffset>
            </wp:positionV>
            <wp:extent cx="16363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ind w:left="3240"/>
        <w:spacing w:after="0"/>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W. Metcalf</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and Chief Financial Officer</w:t>
      </w:r>
    </w:p>
    <w:p>
      <w:pPr>
        <w:spacing w:after="0" w:line="37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POWELL INDUSTRIES INTERNATIONAL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w:t>
      </w:r>
    </w:p>
    <w:p>
      <w:pPr>
        <w:ind w:left="32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6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-6985</wp:posOffset>
            </wp:positionV>
            <wp:extent cx="16363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1636395" cy="8890"/>
                    </a:xfrm>
                    <a:prstGeom prst="rect">
                      <a:avLst/>
                    </a:prstGeom>
                    <a:noFill/>
                  </pic:spPr>
                </pic:pic>
              </a:graphicData>
            </a:graphic>
          </wp:anchor>
        </w:drawing>
      </w:r>
    </w:p>
    <w:p>
      <w:pPr>
        <w:ind w:left="3240"/>
        <w:spacing w:after="0"/>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W. Metcalf</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and Chief Financial Officer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Continue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 (Powell Industries, Inc.)</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2" w:lineRule="exact"/>
        <w:rPr>
          <w:sz w:val="20"/>
          <w:szCs w:val="20"/>
          <w:color w:val="auto"/>
        </w:rPr>
      </w:pPr>
    </w:p>
    <w:p>
      <w:pPr>
        <w:ind w:left="2840" w:right="4859" w:hanging="3239"/>
        <w:spacing w:after="0" w:line="270" w:lineRule="auto"/>
        <w:tabs>
          <w:tab w:leader="none" w:pos="282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b w:val="1"/>
          <w:bCs w:val="1"/>
          <w:color w:val="auto"/>
        </w:rPr>
        <w:t>BANK OF AMERICA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Administrative Agent</w:t>
      </w:r>
    </w:p>
    <w:p>
      <w:pPr>
        <w:spacing w:after="0" w:line="3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Priscilla Ruffin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-6985</wp:posOffset>
            </wp:positionV>
            <wp:extent cx="13798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0"/>
          <w:szCs w:val="20"/>
          <w:color w:val="auto"/>
        </w:rPr>
        <w:t>Name: Priscilla Ruffin</w:t>
      </w:r>
    </w:p>
    <w:p>
      <w:pPr>
        <w:ind w:left="3240"/>
        <w:spacing w:after="0"/>
        <w:rPr>
          <w:sz w:val="20"/>
          <w:szCs w:val="20"/>
          <w:color w:val="auto"/>
        </w:rPr>
      </w:pPr>
      <w:r>
        <w:rPr>
          <w:rFonts w:ascii="Times New Roman" w:cs="Times New Roman" w:eastAsia="Times New Roman" w:hAnsi="Times New Roman"/>
          <w:sz w:val="20"/>
          <w:szCs w:val="20"/>
          <w:color w:val="auto"/>
        </w:rPr>
        <w:t>Title: AVP</w:t>
      </w:r>
    </w:p>
    <w:p>
      <w:pPr>
        <w:spacing w:after="0" w:line="36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Continue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Signature Page to Third Amendment to Credit Agreement (Powell Industries, Inc.)</w:t>
      </w:r>
    </w:p>
    <w:p>
      <w:pPr>
        <w:sectPr>
          <w:pgSz w:w="11900" w:h="16838" w:orient="portrait"/>
          <w:cols w:equalWidth="0" w:num="1">
            <w:col w:w="10139"/>
          </w:cols>
          <w:pgMar w:left="320" w:top="1440" w:right="1440" w:bottom="1440" w:gutter="0" w:footer="0" w:header="0"/>
        </w:sectPr>
      </w:pPr>
    </w:p>
    <w:bookmarkStart w:id="69" w:name="page70"/>
    <w:bookmarkEnd w:id="69"/>
    <w:p>
      <w:pPr>
        <w:spacing w:after="0" w:line="17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auto"/>
        </w:rPr>
        <w:t>LENDER:</w:t>
      </w:r>
      <w:r>
        <w:rPr>
          <w:sz w:val="20"/>
          <w:szCs w:val="20"/>
          <w:color w:val="auto"/>
        </w:rPr>
        <w:tab/>
      </w:r>
      <w:r>
        <w:rPr>
          <w:rFonts w:ascii="Times New Roman" w:cs="Times New Roman" w:eastAsia="Times New Roman" w:hAnsi="Times New Roman"/>
          <w:sz w:val="20"/>
          <w:szCs w:val="20"/>
          <w:b w:val="1"/>
          <w:bCs w:val="1"/>
          <w:color w:val="auto"/>
        </w:rPr>
        <w:t>BANK OF AMERICA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ind w:left="3240"/>
        <w:spacing w:after="0"/>
        <w:rPr>
          <w:sz w:val="20"/>
          <w:szCs w:val="20"/>
          <w:color w:val="auto"/>
        </w:rPr>
      </w:pPr>
      <w:r>
        <w:rPr>
          <w:rFonts w:ascii="Times New Roman" w:cs="Times New Roman" w:eastAsia="Times New Roman" w:hAnsi="Times New Roman"/>
          <w:sz w:val="20"/>
          <w:szCs w:val="20"/>
          <w:color w:val="auto"/>
        </w:rPr>
        <w:t>as a Lender, the L/C Issuer and the Swingline Lender</w:t>
      </w:r>
    </w:p>
    <w:p>
      <w:pPr>
        <w:spacing w:after="0" w:line="36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Katherine Osele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-6985</wp:posOffset>
            </wp:positionV>
            <wp:extent cx="14281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0"/>
          <w:szCs w:val="20"/>
          <w:color w:val="auto"/>
        </w:rPr>
        <w:t>Name: Katherine Osele</w:t>
      </w:r>
    </w:p>
    <w:p>
      <w:pPr>
        <w:ind w:left="32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Signature Page to Third Amendment to Credit Agreement (Powell Industries, Inc.)</w:t>
      </w:r>
    </w:p>
    <w:p>
      <w:pPr>
        <w:sectPr>
          <w:pgSz w:w="11900" w:h="16838" w:orient="portrait"/>
          <w:cols w:equalWidth="0" w:num="1">
            <w:col w:w="10139"/>
          </w:cols>
          <w:pgMar w:left="320" w:top="1440" w:right="1440" w:bottom="1440" w:gutter="0" w:footer="0" w:header="0"/>
        </w:sectPr>
      </w:pPr>
    </w:p>
    <w:bookmarkStart w:id="70" w:name="page71"/>
    <w:bookmarkEnd w:id="70"/>
    <w:p>
      <w:pPr>
        <w:spacing w:after="0" w:line="17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auto"/>
        </w:rPr>
        <w:t>LENDER:</w:t>
      </w:r>
      <w:r>
        <w:rPr>
          <w:sz w:val="20"/>
          <w:szCs w:val="20"/>
          <w:color w:val="auto"/>
        </w:rPr>
        <w:tab/>
      </w:r>
      <w:r>
        <w:rPr>
          <w:rFonts w:ascii="Times New Roman" w:cs="Times New Roman" w:eastAsia="Times New Roman" w:hAnsi="Times New Roman"/>
          <w:sz w:val="20"/>
          <w:szCs w:val="20"/>
          <w:b w:val="1"/>
          <w:bCs w:val="1"/>
          <w:color w:val="auto"/>
        </w:rPr>
        <w:t>TEXAS CAPITAL BANK</w:t>
      </w:r>
      <w:r>
        <w:rPr>
          <w:rFonts w:ascii="Times New Roman" w:cs="Times New Roman" w:eastAsia="Times New Roman" w:hAnsi="Times New Roman"/>
          <w:sz w:val="20"/>
          <w:szCs w:val="20"/>
          <w:color w:val="auto"/>
        </w:rPr>
        <w:t>,</w:t>
      </w:r>
    </w:p>
    <w:p>
      <w:pPr>
        <w:ind w:left="3240"/>
        <w:spacing w:after="0"/>
        <w:rPr>
          <w:sz w:val="20"/>
          <w:szCs w:val="20"/>
          <w:color w:val="auto"/>
        </w:rPr>
      </w:pPr>
      <w:r>
        <w:rPr>
          <w:rFonts w:ascii="Times New Roman" w:cs="Times New Roman" w:eastAsia="Times New Roman" w:hAnsi="Times New Roman"/>
          <w:sz w:val="20"/>
          <w:szCs w:val="20"/>
          <w:color w:val="auto"/>
        </w:rPr>
        <w:t>as Syndication Agent and a Lender</w:t>
      </w:r>
    </w:p>
    <w:p>
      <w:pPr>
        <w:spacing w:after="0" w:line="36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Leila Z. Aloi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-6985</wp:posOffset>
            </wp:positionV>
            <wp:extent cx="13785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ind w:left="3240"/>
        <w:spacing w:after="0"/>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Leila Z. Aloi</w:t>
      </w: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Managing Director</w:t>
      </w:r>
    </w:p>
    <w:p>
      <w:pPr>
        <w:spacing w:after="0" w:line="200" w:lineRule="exact"/>
        <w:rPr>
          <w:sz w:val="20"/>
          <w:szCs w:val="20"/>
          <w:color w:val="auto"/>
        </w:rPr>
      </w:pPr>
    </w:p>
    <w:p>
      <w:pPr>
        <w:spacing w:after="0" w:line="38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End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Signature Page to Third Amendment to Credit Agreement (Powell Industries, Inc.)</w:t>
      </w:r>
    </w:p>
    <w:p>
      <w:pPr>
        <w:sectPr>
          <w:pgSz w:w="11900" w:h="16838" w:orient="portrait"/>
          <w:cols w:equalWidth="0" w:num="1">
            <w:col w:w="10139"/>
          </w:cols>
          <w:pgMar w:left="32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1906270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17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 September 27, 2019</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among</w:t>
      </w:r>
    </w:p>
    <w:p>
      <w:pPr>
        <w:spacing w:after="0" w:line="17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POWELL INDUSTRIES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w:t>
      </w:r>
    </w:p>
    <w:p>
      <w:pPr>
        <w:jc w:val="center"/>
        <w:ind w:right="-1100"/>
        <w:spacing w:after="0"/>
        <w:rPr>
          <w:sz w:val="20"/>
          <w:szCs w:val="20"/>
          <w:color w:val="auto"/>
        </w:rPr>
      </w:pPr>
      <w:r>
        <w:rPr>
          <w:rFonts w:ascii="Times New Roman" w:cs="Times New Roman" w:eastAsia="Times New Roman" w:hAnsi="Times New Roman"/>
          <w:sz w:val="22"/>
          <w:szCs w:val="22"/>
          <w:color w:val="auto"/>
        </w:rPr>
        <w:t>as the Borrower,</w:t>
      </w:r>
    </w:p>
    <w:p>
      <w:pPr>
        <w:spacing w:after="0" w:line="1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CERTAIN SUBSIDIARIES OF THE BORROWER PARTY HERETO</w:t>
      </w:r>
      <w:r>
        <w:rPr>
          <w:rFonts w:ascii="Times New Roman" w:cs="Times New Roman" w:eastAsia="Times New Roman" w:hAnsi="Times New Roman"/>
          <w:sz w:val="19"/>
          <w:szCs w:val="19"/>
          <w:color w:val="auto"/>
        </w:rPr>
        <w:t>,</w:t>
      </w:r>
    </w:p>
    <w:p>
      <w:pPr>
        <w:spacing w:after="0" w:line="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the Guarantors,</w:t>
      </w:r>
    </w:p>
    <w:p>
      <w:pPr>
        <w:spacing w:after="0" w:line="1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BANK OF AMERICA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jc w:val="center"/>
        <w:ind w:right="-1100"/>
        <w:spacing w:after="0" w:line="204" w:lineRule="auto"/>
        <w:rPr>
          <w:sz w:val="20"/>
          <w:szCs w:val="20"/>
          <w:color w:val="auto"/>
        </w:rPr>
      </w:pPr>
      <w:r>
        <w:rPr>
          <w:rFonts w:ascii="Times New Roman" w:cs="Times New Roman" w:eastAsia="Times New Roman" w:hAnsi="Times New Roman"/>
          <w:sz w:val="22"/>
          <w:szCs w:val="22"/>
          <w:color w:val="auto"/>
        </w:rPr>
        <w:t>as Administrative Agent, Swingline Lender and</w:t>
      </w:r>
    </w:p>
    <w:p>
      <w:pPr>
        <w:spacing w:after="0" w:line="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L/C Issuer,</w:t>
      </w:r>
    </w:p>
    <w:p>
      <w:pPr>
        <w:spacing w:after="0" w:line="15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17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BofA SECURITIES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w:t>
      </w:r>
    </w:p>
    <w:p>
      <w:pPr>
        <w:ind w:left="3700"/>
        <w:spacing w:after="0"/>
        <w:rPr>
          <w:sz w:val="20"/>
          <w:szCs w:val="20"/>
          <w:color w:val="auto"/>
        </w:rPr>
      </w:pPr>
      <w:r>
        <w:rPr>
          <w:rFonts w:ascii="Times New Roman" w:cs="Times New Roman" w:eastAsia="Times New Roman" w:hAnsi="Times New Roman"/>
          <w:sz w:val="22"/>
          <w:szCs w:val="22"/>
          <w:color w:val="auto"/>
        </w:rPr>
        <w:t>as Sole Lead Arranger and Sole Bookrunner</w:t>
      </w:r>
    </w:p>
    <w:p>
      <w:pPr>
        <w:spacing w:after="0" w:line="14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TEXAS CAPITAL BANK</w:t>
      </w:r>
      <w:r>
        <w:rPr>
          <w:rFonts w:ascii="Times New Roman" w:cs="Times New Roman" w:eastAsia="Times New Roman" w:hAnsi="Times New Roman"/>
          <w:sz w:val="22"/>
          <w:szCs w:val="22"/>
          <w:color w:val="auto"/>
        </w:rPr>
        <w:t>,</w:t>
      </w:r>
    </w:p>
    <w:p>
      <w:pPr>
        <w:ind w:left="4680"/>
        <w:spacing w:after="0"/>
        <w:rPr>
          <w:sz w:val="20"/>
          <w:szCs w:val="20"/>
          <w:color w:val="auto"/>
        </w:rPr>
      </w:pPr>
      <w:r>
        <w:rPr>
          <w:rFonts w:ascii="Times New Roman" w:cs="Times New Roman" w:eastAsia="Times New Roman" w:hAnsi="Times New Roman"/>
          <w:sz w:val="22"/>
          <w:szCs w:val="22"/>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4869-9470-3210 v.6</w:t>
      </w:r>
    </w:p>
    <w:p>
      <w:pPr>
        <w:sectPr>
          <w:pgSz w:w="11900" w:h="16838" w:orient="portrait"/>
          <w:cols w:equalWidth="0" w:num="1">
            <w:col w:w="10119"/>
          </w:cols>
          <w:pgMar w:left="340" w:top="1440" w:right="1440" w:bottom="1440" w:gutter="0" w:footer="0" w:header="0"/>
        </w:sectPr>
      </w:pPr>
    </w:p>
    <w:bookmarkStart w:id="72" w:name="page73"/>
    <w:bookmarkEnd w:id="72"/>
    <w:tbl>
      <w:tblPr>
        <w:tblLayout w:type="fixed"/>
        <w:tblInd w:w="60" w:type="dxa"/>
        <w:tblCellMar>
          <w:top w:w="0" w:type="dxa"/>
          <w:left w:w="0" w:type="dxa"/>
          <w:bottom w:w="0" w:type="dxa"/>
          <w:right w:w="0" w:type="dxa"/>
        </w:tblCellMar>
      </w:tblPr>
      <w:tr>
        <w:trPr>
          <w:trHeight w:val="262"/>
        </w:trPr>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380" w:type="dxa"/>
            <w:vAlign w:val="bottom"/>
          </w:tcPr>
          <w:p>
            <w:pPr>
              <w:ind w:left="34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38"/>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38"/>
        </w:trPr>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  DEFINITIONS AND ACCOUNTING TERMS.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1.01</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Defined Terms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Interpretive Provisions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39</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Accounting Terms.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40</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Rounding</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41</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1.05</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Times of Day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41</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1.06</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Letter of Credit Amounts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41</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1.07</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UCC Terms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41</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1.08</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Exchange Rates; Currency Equivalents.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41</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1.09</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 Alternative Currencies.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42</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1.10</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Change of Currency.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43</w:t>
            </w:r>
          </w:p>
        </w:tc>
        <w:tc>
          <w:tcPr>
            <w:tcW w:w="560" w:type="dxa"/>
            <w:vAlign w:val="bottom"/>
          </w:tcPr>
          <w:p>
            <w:pPr>
              <w:spacing w:after="0"/>
              <w:rPr>
                <w:sz w:val="19"/>
                <w:szCs w:val="19"/>
                <w:color w:val="auto"/>
              </w:rPr>
            </w:pPr>
          </w:p>
        </w:tc>
      </w:tr>
      <w:tr>
        <w:trPr>
          <w:trHeight w:val="229"/>
        </w:trPr>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II.  COMMITMENTS AND CREDIT EXTENSIONS.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43</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2.01</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43</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Borrowings, Conversions and Continuations of Loans.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43</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45</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Swingline Loans.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54</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2.05</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56</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2.06</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Termination or Reduction of Commitments.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58</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2.07</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Repayment of Loans.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59</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2.08</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and Default Rate.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59</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2.09</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60</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2.10</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Computation of Interest and Fees; Retroactive Adjustments of Applicable Rate.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60</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2.11</w:t>
            </w: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Evidence of Debt.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61</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 Generally; Administrative Agent’s Clawback.</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61</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Sharing of Payments by Lenders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63</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Collateral.</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64</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2.15</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Defaulting Lenders.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65</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2.16</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 in Revolving Facility.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68</w:t>
            </w:r>
          </w:p>
        </w:tc>
        <w:tc>
          <w:tcPr>
            <w:tcW w:w="560" w:type="dxa"/>
            <w:vAlign w:val="bottom"/>
          </w:tcPr>
          <w:p>
            <w:pPr>
              <w:spacing w:after="0"/>
              <w:rPr>
                <w:sz w:val="19"/>
                <w:szCs w:val="19"/>
                <w:color w:val="auto"/>
              </w:rPr>
            </w:pPr>
          </w:p>
        </w:tc>
      </w:tr>
      <w:tr>
        <w:trPr>
          <w:trHeight w:val="230"/>
        </w:trPr>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III.  TAXES, YIELD PROTECTION AND ILLEGALITY.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69</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3.01</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69</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3.02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Illegality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72</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3.03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Inability to Determine Rates.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73</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3.04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Increased Costs.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76</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3.05</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 for Losses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78</w:t>
            </w:r>
          </w:p>
        </w:tc>
        <w:tc>
          <w:tcPr>
            <w:tcW w:w="560" w:type="dxa"/>
            <w:vAlign w:val="bottom"/>
          </w:tcPr>
          <w:p>
            <w:pPr>
              <w:spacing w:after="0"/>
              <w:rPr>
                <w:sz w:val="19"/>
                <w:szCs w:val="19"/>
                <w:color w:val="auto"/>
              </w:rPr>
            </w:pPr>
          </w:p>
        </w:tc>
      </w:tr>
      <w:tr>
        <w:trPr>
          <w:trHeight w:val="229"/>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3.06</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Mitigation Obligations; Replacement of Lenders.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78</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3.07</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Survival</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79</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IV.</w:t>
            </w:r>
          </w:p>
        </w:tc>
        <w:tc>
          <w:tcPr>
            <w:tcW w:w="10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CONDITIONS PRECEDENT TO CREDIT EXTENSIONS.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79</w:t>
            </w:r>
          </w:p>
        </w:tc>
        <w:tc>
          <w:tcPr>
            <w:tcW w:w="56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4.01</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Conditions of Initial Credit Extension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79</w:t>
            </w:r>
          </w:p>
        </w:tc>
        <w:tc>
          <w:tcPr>
            <w:tcW w:w="560" w:type="dxa"/>
            <w:vAlign w:val="bottom"/>
          </w:tcPr>
          <w:p>
            <w:pPr>
              <w:spacing w:after="0"/>
              <w:rPr>
                <w:sz w:val="19"/>
                <w:szCs w:val="19"/>
                <w:color w:val="auto"/>
              </w:rPr>
            </w:pPr>
          </w:p>
        </w:tc>
      </w:tr>
      <w:tr>
        <w:trPr>
          <w:trHeight w:val="198"/>
        </w:trPr>
        <w:tc>
          <w:tcPr>
            <w:tcW w:w="280" w:type="dxa"/>
            <w:vAlign w:val="bottom"/>
          </w:tcPr>
          <w:p>
            <w:pPr>
              <w:spacing w:after="0"/>
              <w:rPr>
                <w:sz w:val="17"/>
                <w:szCs w:val="17"/>
                <w:color w:val="auto"/>
              </w:rPr>
            </w:pPr>
          </w:p>
        </w:tc>
        <w:tc>
          <w:tcPr>
            <w:tcW w:w="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b w:val="1"/>
                <w:bCs w:val="1"/>
                <w:color w:val="auto"/>
              </w:rPr>
              <w:t>4.02</w:t>
            </w:r>
          </w:p>
        </w:tc>
        <w:tc>
          <w:tcPr>
            <w:tcW w:w="93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Conditions to all Credit Extensions</w:t>
            </w:r>
          </w:p>
        </w:tc>
        <w:tc>
          <w:tcPr>
            <w:tcW w:w="18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88"/>
              </w:rPr>
              <w:t>81</w:t>
            </w:r>
          </w:p>
        </w:tc>
        <w:tc>
          <w:tcPr>
            <w:tcW w:w="560" w:type="dxa"/>
            <w:vAlign w:val="bottom"/>
          </w:tcPr>
          <w:p>
            <w:pPr>
              <w:spacing w:after="0"/>
              <w:rPr>
                <w:sz w:val="17"/>
                <w:szCs w:val="17"/>
                <w:color w:val="auto"/>
              </w:rPr>
            </w:pPr>
          </w:p>
        </w:tc>
      </w:tr>
      <w:tr>
        <w:trPr>
          <w:trHeight w:val="21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w:t>
            </w:r>
          </w:p>
        </w:tc>
        <w:tc>
          <w:tcPr>
            <w:tcW w:w="10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82</w:t>
            </w:r>
          </w:p>
        </w:tc>
        <w:tc>
          <w:tcPr>
            <w:tcW w:w="560" w:type="dxa"/>
            <w:vAlign w:val="bottom"/>
          </w:tcPr>
          <w:p>
            <w:pPr>
              <w:spacing w:after="0"/>
              <w:rPr>
                <w:sz w:val="18"/>
                <w:szCs w:val="18"/>
                <w:color w:val="auto"/>
              </w:rPr>
            </w:pPr>
          </w:p>
        </w:tc>
      </w:tr>
      <w:tr>
        <w:trPr>
          <w:trHeight w:val="209"/>
        </w:trPr>
        <w:tc>
          <w:tcPr>
            <w:tcW w:w="28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5.01</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Existence, Qualification and Power</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82</w:t>
            </w:r>
          </w:p>
        </w:tc>
        <w:tc>
          <w:tcPr>
            <w:tcW w:w="5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4869-9470-3210 v.6</w:t>
      </w:r>
    </w:p>
    <w:p>
      <w:pPr>
        <w:sectPr>
          <w:pgSz w:w="11900" w:h="16838" w:orient="portrait"/>
          <w:cols w:equalWidth="0" w:num="1">
            <w:col w:w="11220"/>
          </w:cols>
          <w:pgMar w:left="340" w:top="1395" w:right="339" w:bottom="1440" w:gutter="0" w:footer="0" w:header="0"/>
        </w:sectPr>
      </w:pPr>
    </w:p>
    <w:bookmarkStart w:id="73" w:name="page74"/>
    <w:bookmarkEnd w:id="73"/>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5.02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Authorization; No Contravention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82</w:t>
            </w:r>
          </w:p>
        </w:tc>
      </w:tr>
      <w:tr>
        <w:trPr>
          <w:trHeight w:val="209"/>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5.03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Governmental Authorization; Other Consents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82</w:t>
            </w:r>
          </w:p>
        </w:tc>
      </w:tr>
      <w:tr>
        <w:trPr>
          <w:trHeight w:val="209"/>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5.04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Binding Effect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83</w:t>
            </w:r>
          </w:p>
        </w:tc>
      </w:tr>
      <w:tr>
        <w:trPr>
          <w:trHeight w:val="210"/>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5.05</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No Material Adverse Effect.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83</w:t>
            </w:r>
          </w:p>
        </w:tc>
      </w:tr>
      <w:tr>
        <w:trPr>
          <w:trHeight w:val="209"/>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5.06</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83</w:t>
            </w:r>
          </w:p>
        </w:tc>
      </w:tr>
      <w:tr>
        <w:trPr>
          <w:trHeight w:val="209"/>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5.07</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 Default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83</w:t>
            </w:r>
          </w:p>
        </w:tc>
      </w:tr>
      <w:tr>
        <w:trPr>
          <w:trHeight w:val="210"/>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5.08</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Ownership of Property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83</w:t>
            </w:r>
          </w:p>
        </w:tc>
      </w:tr>
      <w:tr>
        <w:trPr>
          <w:trHeight w:val="209"/>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5.09</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Environmental Matters.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84</w:t>
            </w:r>
          </w:p>
        </w:tc>
      </w:tr>
      <w:tr>
        <w:trPr>
          <w:trHeight w:val="210"/>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5.10</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84</w:t>
            </w:r>
          </w:p>
        </w:tc>
      </w:tr>
      <w:tr>
        <w:trPr>
          <w:trHeight w:val="209"/>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5.11</w:t>
            </w: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84</w:t>
            </w:r>
          </w:p>
        </w:tc>
      </w:tr>
      <w:tr>
        <w:trPr>
          <w:trHeight w:val="209"/>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ERISA Compliance.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84</w:t>
            </w:r>
          </w:p>
        </w:tc>
      </w:tr>
      <w:tr>
        <w:trPr>
          <w:trHeight w:val="210"/>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Margin Regulations; Investment Company Act.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85</w:t>
            </w:r>
          </w:p>
        </w:tc>
      </w:tr>
      <w:tr>
        <w:trPr>
          <w:trHeight w:val="209"/>
        </w:trPr>
        <w:tc>
          <w:tcPr>
            <w:tcW w:w="3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Disclosure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85</w:t>
            </w:r>
          </w:p>
        </w:tc>
      </w:tr>
      <w:tr>
        <w:trPr>
          <w:trHeight w:val="241"/>
        </w:trPr>
        <w:tc>
          <w:tcPr>
            <w:tcW w:w="360" w:type="dxa"/>
            <w:vAlign w:val="bottom"/>
          </w:tcPr>
          <w:p>
            <w:pPr>
              <w:spacing w:after="0"/>
              <w:rPr>
                <w:sz w:val="20"/>
                <w:szCs w:val="20"/>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5.15</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86</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5.16</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Solvency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86</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5.17</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Casualty,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86</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5.18</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Sanctions Concerns and Anti-Corruption Laws.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86</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5.19</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Responsible Officers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86</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5.20</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Subsidiaries; Equity Interests; Loan Parties.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87</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5.21</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Collateral Representations.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87</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5.22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Affected Financial Institutions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87</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5.23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Covered Entities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87</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5.24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Beneficial Ownership Certification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88</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w:t>
            </w:r>
          </w:p>
        </w:tc>
        <w:tc>
          <w:tcPr>
            <w:tcW w:w="10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AFFIRMATIVE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88</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6.01</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88</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Certificates; 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89</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91</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Payment of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91</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6.05</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Preservation of Existence,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92</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6.06</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Maintenance of Properties.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92</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6.07</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Maintenance of Insurance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92</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6.08</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92</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6.09</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Books and Records.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92</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6.10</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Inspection Rights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93</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6.11</w:t>
            </w: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93</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6.12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93</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6.13</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Covenant to Guarantee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93</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6.14</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Covenant to Give Security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93</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6.15</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94</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6.16</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Anti-Corruption Laws; Sanctions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94</w:t>
            </w:r>
          </w:p>
        </w:tc>
      </w:tr>
      <w:tr>
        <w:trPr>
          <w:trHeight w:val="230"/>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6.17</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Specified Cash Collateral Trigger Event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94</w:t>
            </w: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VII.</w:t>
            </w:r>
          </w:p>
        </w:tc>
        <w:tc>
          <w:tcPr>
            <w:tcW w:w="10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NEGATIVE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94</w:t>
            </w:r>
          </w:p>
        </w:tc>
      </w:tr>
      <w:tr>
        <w:trPr>
          <w:trHeight w:val="229"/>
        </w:trPr>
        <w:tc>
          <w:tcPr>
            <w:tcW w:w="36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7.01</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Liens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94</w:t>
            </w:r>
          </w:p>
        </w:tc>
      </w:tr>
      <w:tr>
        <w:trPr>
          <w:trHeight w:val="238"/>
        </w:trPr>
        <w:tc>
          <w:tcPr>
            <w:tcW w:w="360" w:type="dxa"/>
            <w:vAlign w:val="bottom"/>
          </w:tcPr>
          <w:p>
            <w:pPr>
              <w:spacing w:after="0"/>
              <w:rPr>
                <w:sz w:val="20"/>
                <w:szCs w:val="20"/>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7.02</w:t>
            </w:r>
          </w:p>
        </w:tc>
        <w:tc>
          <w:tcPr>
            <w:tcW w:w="9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ii</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4869-9470-3210 v.6</w:t>
      </w:r>
    </w:p>
    <w:p>
      <w:pPr>
        <w:sectPr>
          <w:pgSz w:w="11900" w:h="16838" w:orient="portrait"/>
          <w:cols w:equalWidth="0" w:num="1">
            <w:col w:w="10660"/>
          </w:cols>
          <w:pgMar w:left="340" w:top="1440" w:right="899" w:bottom="1440" w:gutter="0" w:footer="0" w:header="0"/>
        </w:sectPr>
      </w:pPr>
    </w:p>
    <w:bookmarkStart w:id="74" w:name="page75"/>
    <w:bookmarkEnd w:id="74"/>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7.03</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7.04</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Fundamental Changes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7.05</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7.06</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Restricted Payments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7.07</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Change in Nature of Business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7.08</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7.09</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Burdensome Agreements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7.10</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7.11</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w:t>
            </w:r>
          </w:p>
        </w:tc>
      </w:tr>
      <w:tr>
        <w:trPr>
          <w:trHeight w:val="184"/>
        </w:trPr>
        <w:tc>
          <w:tcPr>
            <w:tcW w:w="300" w:type="dxa"/>
            <w:vAlign w:val="bottom"/>
          </w:tcPr>
          <w:p>
            <w:pPr>
              <w:spacing w:after="0"/>
              <w:rPr>
                <w:sz w:val="16"/>
                <w:szCs w:val="16"/>
                <w:color w:val="auto"/>
              </w:rPr>
            </w:pPr>
          </w:p>
        </w:tc>
        <w:tc>
          <w:tcPr>
            <w:tcW w:w="78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b w:val="1"/>
                <w:bCs w:val="1"/>
                <w:color w:val="auto"/>
              </w:rPr>
              <w:t>7.12</w:t>
            </w:r>
          </w:p>
        </w:tc>
        <w:tc>
          <w:tcPr>
            <w:tcW w:w="92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b w:val="1"/>
                <w:bCs w:val="1"/>
                <w:color w:val="auto"/>
              </w:rPr>
              <w:t>Amendments of Organization Documents; Fiscal Year; Legal Name, State of Formation; Form of Entity and</w:t>
            </w:r>
          </w:p>
        </w:tc>
        <w:tc>
          <w:tcPr>
            <w:tcW w:w="340" w:type="dxa"/>
            <w:vAlign w:val="bottom"/>
          </w:tcPr>
          <w:p>
            <w:pPr>
              <w:spacing w:after="0"/>
              <w:rPr>
                <w:sz w:val="16"/>
                <w:szCs w:val="16"/>
                <w:color w:val="auto"/>
              </w:rPr>
            </w:pPr>
          </w:p>
        </w:tc>
      </w:tr>
      <w:tr>
        <w:trPr>
          <w:trHeight w:val="23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Accounting Changes.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7.13</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Sale and Leaseback Transactions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7.14</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Sanctions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7.15</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Anti-Corruption Laws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100</w:t>
            </w:r>
          </w:p>
        </w:tc>
      </w:tr>
      <w:tr>
        <w:trPr>
          <w:trHeight w:val="229"/>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VIII.  EVENTS OF DEFAULT AND REMEDIES.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100</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8.01</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100</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8.02</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Remedies upon Event of Default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102</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8.03</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Application of Funds.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103</w:t>
            </w:r>
          </w:p>
        </w:tc>
      </w:t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IX.</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AGENT.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104</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9.01</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Appointment and Authority.</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104</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9.02</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Rights as a Lender</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104</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9.03</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Exculpatory Provisions.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105</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9.04</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Reliance by Administrative Agent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106</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9.05</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Delegation of Duties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106</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9.06</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Resignation of Administrative Agent.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106</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9.07</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Non-Reliance on Administrative Agent, the Arranger and the Other Lenders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108</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9.08</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 Other Duties, Etc</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108</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9.09</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Administrative Agent May File Proofs of Claim; Credit Bidding.</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109</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9.10</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Collateral and Guaranty Matters.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110</w:t>
            </w:r>
          </w:p>
        </w:tc>
      </w:tr>
      <w:tr>
        <w:trPr>
          <w:trHeight w:val="229"/>
        </w:trPr>
        <w:tc>
          <w:tcPr>
            <w:tcW w:w="300" w:type="dxa"/>
            <w:vAlign w:val="bottom"/>
          </w:tcPr>
          <w:p>
            <w:pPr>
              <w:spacing w:after="0"/>
              <w:rPr>
                <w:sz w:val="19"/>
                <w:szCs w:val="19"/>
                <w:color w:val="auto"/>
              </w:rPr>
            </w:pPr>
          </w:p>
        </w:tc>
        <w:tc>
          <w:tcPr>
            <w:tcW w:w="10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9.11  Secured Cash Management Agreements and Secured Hedge Agreements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9.12</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Certain ERISA Matters.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9.13</w:t>
            </w:r>
          </w:p>
        </w:tc>
        <w:tc>
          <w:tcPr>
            <w:tcW w:w="9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Recovery of Erroneous Payments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112</w:t>
            </w:r>
          </w:p>
        </w:tc>
      </w:t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X.</w:t>
            </w:r>
          </w:p>
        </w:tc>
        <w:tc>
          <w:tcPr>
            <w:tcW w:w="10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CONTINUING GUARANTY.</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112</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10.01</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Guaranty</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112</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10.02</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Rights of Lenders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113</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10.03</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Certain Waivers</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113</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10.04</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Obligations Independent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113</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10.05</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Subrogation</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113</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10.06</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Termination; Reinstatement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114</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10.07</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Stay of Acceleration</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114</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10.08</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Condition of Borrower</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114</w:t>
            </w:r>
          </w:p>
        </w:tc>
      </w:tr>
      <w:tr>
        <w:trPr>
          <w:trHeight w:val="230"/>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10.09</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Appointment of Borrower</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114</w:t>
            </w:r>
          </w:p>
        </w:tc>
      </w:tr>
      <w:tr>
        <w:trPr>
          <w:trHeight w:val="229"/>
        </w:trPr>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10.10</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Right of Contribution</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114</w:t>
            </w:r>
          </w:p>
        </w:tc>
      </w:tr>
      <w:tr>
        <w:trPr>
          <w:trHeight w:val="238"/>
        </w:trPr>
        <w:tc>
          <w:tcPr>
            <w:tcW w:w="300" w:type="dxa"/>
            <w:vAlign w:val="bottom"/>
          </w:tcPr>
          <w:p>
            <w:pPr>
              <w:spacing w:after="0"/>
              <w:rPr>
                <w:sz w:val="20"/>
                <w:szCs w:val="20"/>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10.11</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Keepwell</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iii</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4869-9470-3210 v.6</w:t>
      </w:r>
    </w:p>
    <w:p>
      <w:pPr>
        <w:sectPr>
          <w:pgSz w:w="11900" w:h="16838" w:orient="portrait"/>
          <w:cols w:equalWidth="0" w:num="1">
            <w:col w:w="10740"/>
          </w:cols>
          <w:pgMar w:left="340" w:top="1440" w:right="819" w:bottom="1440" w:gutter="0" w:footer="0" w:header="0"/>
        </w:sectPr>
      </w:pPr>
    </w:p>
    <w:bookmarkStart w:id="75" w:name="page76"/>
    <w:bookmarkEnd w:id="75"/>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XI.  MISCELLANEOUS.</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11.01</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Amendments, Etc.</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11.02</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Effectiveness; Electronic Communications.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11.03</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 Waiver; Cumulative Remedies; Enforcement.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11.04</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Expenses; Indemnity; Damage Waiver.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11.05</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 Set Aside</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11.06</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11.07</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Treatment of Certain Information; Confidentiality.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11.08</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Right of Setoff</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11.09</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Rate Limitation</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11.10</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Integration; Effectiveness</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97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11.11  Survival of Representations and Warranties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11.12</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11.13</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Replacement of Lenders.</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11.14</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Governing Law; Jurisdiction; Etc.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11.15</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11.16</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Subordination</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11.17</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 Advisory or Fiduciary Responsibility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11.18</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Electronic Execution; Electronic Records; Counterparts.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11.19</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USA Patriot Act Notice</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11.20</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Acknowledgement and Consent to Bail-In of Affected Financial Institutions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11.21</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Acknowledgement Regarding Any Supported QFCs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11.22</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Time of the Essence</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11.23</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Judgment Currency</w:t>
            </w:r>
          </w:p>
        </w:tc>
        <w:tc>
          <w:tcPr>
            <w:tcW w:w="6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11.24</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Amendment and Restatement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11.25</w:t>
            </w:r>
          </w:p>
        </w:tc>
        <w:tc>
          <w:tcPr>
            <w:tcW w:w="8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Reallocation of Commitments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8"/>
        </w:trPr>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11.26</w:t>
            </w:r>
          </w:p>
        </w:tc>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6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613"/>
        </w:trPr>
        <w:tc>
          <w:tcPr>
            <w:tcW w:w="9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BORROWER PREPARED SCHEDULES</w:t>
            </w:r>
          </w:p>
        </w:tc>
        <w:tc>
          <w:tcPr>
            <w:tcW w:w="940" w:type="dxa"/>
            <w:vAlign w:val="bottom"/>
          </w:tcPr>
          <w:p>
            <w:pPr>
              <w:spacing w:after="0"/>
              <w:rPr>
                <w:sz w:val="24"/>
                <w:szCs w:val="24"/>
                <w:color w:val="auto"/>
              </w:rPr>
            </w:pPr>
          </w:p>
        </w:tc>
      </w:tr>
      <w:tr>
        <w:trPr>
          <w:trHeight w:val="511"/>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1.01(c)</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Responsible Officers</w:t>
            </w:r>
          </w:p>
        </w:tc>
        <w:tc>
          <w:tcPr>
            <w:tcW w:w="940" w:type="dxa"/>
            <w:vAlign w:val="bottom"/>
          </w:tcPr>
          <w:p>
            <w:pPr>
              <w:spacing w:after="0"/>
              <w:rPr>
                <w:sz w:val="24"/>
                <w:szCs w:val="24"/>
                <w:color w:val="auto"/>
              </w:rPr>
            </w:pPr>
          </w:p>
        </w:tc>
      </w:tr>
      <w:tr>
        <w:trPr>
          <w:trHeight w:val="257"/>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5.12</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Pension Plans</w:t>
            </w:r>
          </w:p>
        </w:tc>
        <w:tc>
          <w:tcPr>
            <w:tcW w:w="940" w:type="dxa"/>
            <w:vAlign w:val="bottom"/>
          </w:tcPr>
          <w:p>
            <w:pPr>
              <w:spacing w:after="0"/>
              <w:rPr>
                <w:sz w:val="22"/>
                <w:szCs w:val="22"/>
                <w:color w:val="auto"/>
              </w:rPr>
            </w:pPr>
          </w:p>
        </w:tc>
      </w:tr>
      <w:tr>
        <w:trPr>
          <w:trHeight w:val="256"/>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5.20(a)</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Subsidiaries, Joint Ventures, Partnerships and Other Equity Investments</w:t>
            </w:r>
          </w:p>
        </w:tc>
        <w:tc>
          <w:tcPr>
            <w:tcW w:w="940" w:type="dxa"/>
            <w:vAlign w:val="bottom"/>
          </w:tcPr>
          <w:p>
            <w:pPr>
              <w:spacing w:after="0"/>
              <w:rPr>
                <w:sz w:val="22"/>
                <w:szCs w:val="22"/>
                <w:color w:val="auto"/>
              </w:rPr>
            </w:pPr>
          </w:p>
        </w:tc>
      </w:tr>
      <w:tr>
        <w:trPr>
          <w:trHeight w:val="257"/>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5.20(b)</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Loan Parties</w:t>
            </w:r>
          </w:p>
        </w:tc>
        <w:tc>
          <w:tcPr>
            <w:tcW w:w="940" w:type="dxa"/>
            <w:vAlign w:val="bottom"/>
          </w:tcPr>
          <w:p>
            <w:pPr>
              <w:spacing w:after="0"/>
              <w:rPr>
                <w:sz w:val="22"/>
                <w:szCs w:val="22"/>
                <w:color w:val="auto"/>
              </w:rPr>
            </w:pPr>
          </w:p>
        </w:tc>
      </w:tr>
      <w:tr>
        <w:trPr>
          <w:trHeight w:val="256"/>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5.21(b)</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Pledged Equity Interests</w:t>
            </w:r>
          </w:p>
        </w:tc>
        <w:tc>
          <w:tcPr>
            <w:tcW w:w="940" w:type="dxa"/>
            <w:vAlign w:val="bottom"/>
          </w:tcPr>
          <w:p>
            <w:pPr>
              <w:spacing w:after="0"/>
              <w:rPr>
                <w:sz w:val="22"/>
                <w:szCs w:val="22"/>
                <w:color w:val="auto"/>
              </w:rPr>
            </w:pPr>
          </w:p>
        </w:tc>
      </w:tr>
      <w:tr>
        <w:trPr>
          <w:trHeight w:val="257"/>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6.14</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Excluded Accounts</w:t>
            </w:r>
          </w:p>
        </w:tc>
        <w:tc>
          <w:tcPr>
            <w:tcW w:w="940" w:type="dxa"/>
            <w:vAlign w:val="bottom"/>
          </w:tcPr>
          <w:p>
            <w:pPr>
              <w:spacing w:after="0"/>
              <w:rPr>
                <w:sz w:val="22"/>
                <w:szCs w:val="22"/>
                <w:color w:val="auto"/>
              </w:rPr>
            </w:pPr>
          </w:p>
        </w:tc>
      </w:tr>
      <w:tr>
        <w:trPr>
          <w:trHeight w:val="257"/>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7.01</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Liens</w:t>
            </w:r>
          </w:p>
        </w:tc>
        <w:tc>
          <w:tcPr>
            <w:tcW w:w="940" w:type="dxa"/>
            <w:vAlign w:val="bottom"/>
          </w:tcPr>
          <w:p>
            <w:pPr>
              <w:spacing w:after="0"/>
              <w:rPr>
                <w:sz w:val="22"/>
                <w:szCs w:val="22"/>
                <w:color w:val="auto"/>
              </w:rPr>
            </w:pPr>
          </w:p>
        </w:tc>
      </w:tr>
      <w:tr>
        <w:trPr>
          <w:trHeight w:val="256"/>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7.02</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Indebtedness</w:t>
            </w:r>
          </w:p>
        </w:tc>
        <w:tc>
          <w:tcPr>
            <w:tcW w:w="940" w:type="dxa"/>
            <w:vAlign w:val="bottom"/>
          </w:tcPr>
          <w:p>
            <w:pPr>
              <w:spacing w:after="0"/>
              <w:rPr>
                <w:sz w:val="22"/>
                <w:szCs w:val="22"/>
                <w:color w:val="auto"/>
              </w:rPr>
            </w:pPr>
          </w:p>
        </w:tc>
      </w:tr>
      <w:tr>
        <w:trPr>
          <w:trHeight w:val="258"/>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7.03</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Investments</w:t>
            </w:r>
          </w:p>
        </w:tc>
        <w:tc>
          <w:tcPr>
            <w:tcW w:w="940" w:type="dxa"/>
            <w:vAlign w:val="bottom"/>
          </w:tcPr>
          <w:p>
            <w:pPr>
              <w:spacing w:after="0"/>
              <w:rPr>
                <w:sz w:val="22"/>
                <w:szCs w:val="22"/>
                <w:color w:val="auto"/>
              </w:rPr>
            </w:pPr>
          </w:p>
        </w:tc>
      </w:tr>
      <w:tr>
        <w:trPr>
          <w:trHeight w:val="770"/>
        </w:trPr>
        <w:tc>
          <w:tcPr>
            <w:tcW w:w="9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ADMINISTRATIVE AGENT PREPARED SCHEDULES</w:t>
            </w:r>
          </w:p>
        </w:tc>
        <w:tc>
          <w:tcPr>
            <w:tcW w:w="940" w:type="dxa"/>
            <w:vAlign w:val="bottom"/>
          </w:tcPr>
          <w:p>
            <w:pPr>
              <w:spacing w:after="0"/>
              <w:rPr>
                <w:sz w:val="24"/>
                <w:szCs w:val="24"/>
                <w:color w:val="auto"/>
              </w:rPr>
            </w:pPr>
          </w:p>
        </w:tc>
      </w:tr>
      <w:tr>
        <w:trPr>
          <w:trHeight w:val="511"/>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1.01(a)</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Certain Addresses for Notices</w:t>
            </w:r>
          </w:p>
        </w:tc>
        <w:tc>
          <w:tcPr>
            <w:tcW w:w="940" w:type="dxa"/>
            <w:vAlign w:val="bottom"/>
          </w:tcPr>
          <w:p>
            <w:pPr>
              <w:spacing w:after="0"/>
              <w:rPr>
                <w:sz w:val="24"/>
                <w:szCs w:val="24"/>
                <w:color w:val="auto"/>
              </w:rPr>
            </w:pPr>
          </w:p>
        </w:tc>
      </w:tr>
      <w:tr>
        <w:trPr>
          <w:trHeight w:val="258"/>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SCHEDULE 1.01(b)</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Initial Commitments and Applicable Percentages</w:t>
            </w:r>
          </w:p>
        </w:tc>
        <w:tc>
          <w:tcPr>
            <w:tcW w:w="9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740"/>
          </w:cols>
          <w:pgMar w:left="340" w:top="1440" w:right="819" w:bottom="1440" w:gutter="0" w:footer="0" w:header="0"/>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4869-9470-3210 v.6</w:t>
      </w:r>
    </w:p>
    <w:p>
      <w:pPr>
        <w:sectPr>
          <w:pgSz w:w="11900" w:h="16838" w:orient="portrait"/>
          <w:cols w:equalWidth="0" w:num="1">
            <w:col w:w="10740"/>
          </w:cols>
          <w:pgMar w:left="340" w:top="1440" w:right="819" w:bottom="1440" w:gutter="0" w:footer="0" w:header="0"/>
          <w:type w:val="continuous"/>
        </w:sectPr>
      </w:pPr>
    </w:p>
    <w:bookmarkStart w:id="76" w:name="page77"/>
    <w:bookmarkEnd w:id="76"/>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SCHEDULE 1.01(d)</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SCHEDULE 2.01</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SCHEDULE 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Existing Letters of Credit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Swingline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Letter of Credit Commitments</w:t>
      </w:r>
    </w:p>
    <w:p>
      <w:pPr>
        <w:spacing w:after="0" w:line="211" w:lineRule="exact"/>
        <w:rPr>
          <w:sz w:val="20"/>
          <w:szCs w:val="20"/>
          <w:color w:val="auto"/>
        </w:rPr>
      </w:pPr>
    </w:p>
    <w:p>
      <w:pPr>
        <w:sectPr>
          <w:pgSz w:w="11900" w:h="16838" w:orient="portrait"/>
          <w:cols w:equalWidth="0" w:num="2">
            <w:col w:w="2700" w:space="720"/>
            <w:col w:w="6699"/>
          </w:cols>
          <w:pgMar w:left="340" w:top="1440" w:right="1440" w:bottom="1440" w:gutter="0" w:footer="0" w:header="0"/>
        </w:sectPr>
      </w:pP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EXHIBITS</w:t>
      </w:r>
    </w:p>
    <w:p>
      <w:pPr>
        <w:sectPr>
          <w:pgSz w:w="11900" w:h="16838" w:orient="portrait"/>
          <w:cols w:equalWidth="0" w:num="1">
            <w:col w:w="10119"/>
          </w:cols>
          <w:pgMar w:left="340" w:top="1440" w:right="1440" w:bottom="1440" w:gutter="0" w:footer="0" w:header="0"/>
          <w:type w:val="continuous"/>
        </w:sectPr>
      </w:pPr>
    </w:p>
    <w:p>
      <w:pPr>
        <w:spacing w:after="0" w:line="2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A</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B</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C</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G</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J</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K</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EXHIBIT M-1</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EXHIBIT M-2</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EXHIBIT M-3</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EXHIBIT M-4</w:t>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Q</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 R</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Administrative Questionnaire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Assignment and Assumption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Compliance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Loan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Permitted Acquisition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Revolving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Secured Party Designation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Solvency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Swingline Loan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Officer’s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Tax Compliance Certificates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Tax Compliance Certificates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Tax Compliance Certificates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Tax Compliance Certificates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Funding Indemnity Letter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Financial Condition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Authorization to Share Insurance Information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Notice of Loan Prepayment</w:t>
      </w:r>
    </w:p>
    <w:p>
      <w:pPr>
        <w:spacing w:after="0" w:line="200" w:lineRule="exact"/>
        <w:rPr>
          <w:sz w:val="20"/>
          <w:szCs w:val="20"/>
          <w:color w:val="auto"/>
        </w:rPr>
      </w:pPr>
    </w:p>
    <w:p>
      <w:pPr>
        <w:sectPr>
          <w:pgSz w:w="11900" w:h="16838" w:orient="portrait"/>
          <w:cols w:equalWidth="0" w:num="2">
            <w:col w:w="2700" w:space="720"/>
            <w:col w:w="669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v</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4869-9470-3210 v.6</w:t>
      </w:r>
    </w:p>
    <w:p>
      <w:pPr>
        <w:sectPr>
          <w:pgSz w:w="11900" w:h="16838" w:orient="portrait"/>
          <w:cols w:equalWidth="0" w:num="1">
            <w:col w:w="10119"/>
          </w:cols>
          <w:pgMar w:left="340" w:top="1440" w:right="1440"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97" w:lineRule="exact"/>
        <w:rPr>
          <w:sz w:val="20"/>
          <w:szCs w:val="20"/>
          <w:color w:val="auto"/>
        </w:rPr>
      </w:pPr>
    </w:p>
    <w:p>
      <w:pPr>
        <w:ind w:left="660" w:firstLine="648"/>
        <w:spacing w:after="0" w:line="21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AMENDED AND RESTATED CREDIT AGREEMENT</w:t>
      </w:r>
      <w:r>
        <w:rPr>
          <w:rFonts w:ascii="Times New Roman" w:cs="Times New Roman" w:eastAsia="Times New Roman" w:hAnsi="Times New Roman"/>
          <w:sz w:val="20"/>
          <w:szCs w:val="20"/>
          <w:color w:val="auto"/>
        </w:rPr>
        <w:t xml:space="preserve"> is entered into as of September 27, 2019, among </w:t>
      </w:r>
      <w:r>
        <w:rPr>
          <w:rFonts w:ascii="Times New Roman" w:cs="Times New Roman" w:eastAsia="Times New Roman" w:hAnsi="Times New Roman"/>
          <w:sz w:val="20"/>
          <w:szCs w:val="20"/>
          <w:b w:val="1"/>
          <w:bCs w:val="1"/>
          <w:color w:val="auto"/>
        </w:rPr>
        <w:t>POWELL INDUSTRIES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the Guarantors (defined herein), the Lenders (defined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herein), and </w:t>
      </w:r>
      <w:r>
        <w:rPr>
          <w:rFonts w:ascii="Times New Roman" w:cs="Times New Roman" w:eastAsia="Times New Roman" w:hAnsi="Times New Roman"/>
          <w:sz w:val="20"/>
          <w:szCs w:val="20"/>
          <w:b w:val="1"/>
          <w:bCs w:val="1"/>
          <w:color w:val="auto"/>
        </w:rPr>
        <w:t>BANK OF AMERICA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as Administrative Agent, Swingline Lender and L/C Issuer.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56"/>
        <w:spacing w:after="0" w:line="222"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is hereby made to that certain Amended and Restated Credit Agreement dated as of September 27, 2019 (as amended through the Second Amendment to Amended and Restated Credit Agreement dated as of March 31, 2023, the “</w:t>
      </w:r>
      <w:r>
        <w:rPr>
          <w:rFonts w:ascii="Times New Roman" w:cs="Times New Roman" w:eastAsia="Times New Roman" w:hAnsi="Times New Roman"/>
          <w:sz w:val="20"/>
          <w:szCs w:val="20"/>
          <w:b w:val="1"/>
          <w:bCs w:val="1"/>
          <w:i w:val="1"/>
          <w:iCs w:val="1"/>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among Borrower, Bank of America, N.A., as administrative agent, swing line lender, L/C issuer, and the lenders from time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time party thereto.</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requested that the lenders under the Existing Credit Agreement amend and restate the Existing Credit Agreement and extend credit to the Borrower in the form of a revolving credit facility.</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are willing to amend and restate the Existing Credit Agreement and extend such revolving credit facility to the Borrower on the terms and conditions of this Agreement, including, without limitation loans and other financial accommodations to the Loan Parties and their Subsidiaries in an aggregate amount, as of the Third Amendment Effective Date, of up to $150,000,000.</w:t>
      </w:r>
    </w:p>
    <w:p>
      <w:pPr>
        <w:spacing w:after="0" w:line="148"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the Swingline Lender and the L/C Issuer have agreed to make such loans and other financial accommodations to the Loan Parties on the terms and subject to the conditions set forth herein.</w:t>
      </w:r>
    </w:p>
    <w:p>
      <w:pPr>
        <w:spacing w:after="0" w:line="157" w:lineRule="exact"/>
        <w:rPr>
          <w:sz w:val="20"/>
          <w:szCs w:val="20"/>
          <w:color w:val="auto"/>
        </w:rPr>
      </w:pPr>
    </w:p>
    <w:p>
      <w:pPr>
        <w:ind w:left="660" w:right="2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herein contained,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covenant and agree as follows:</w:t>
      </w:r>
    </w:p>
    <w:p>
      <w:pPr>
        <w:spacing w:after="0" w:line="184"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 AND ACCOUNTING TERMS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As used in this Agreement, the following terms shall have the meanings set forth below: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Acquisition</w:t>
      </w:r>
      <w:r>
        <w:rPr>
          <w:rFonts w:ascii="Times New Roman" w:cs="Times New Roman" w:eastAsia="Times New Roman" w:hAnsi="Times New Roman"/>
          <w:sz w:val="20"/>
          <w:szCs w:val="20"/>
          <w:color w:val="auto"/>
        </w:rPr>
        <w:t>” means the acquisition, whether through a single transaction or a series of related transactions, of (a) a majority of the</w:t>
      </w:r>
    </w:p>
    <w:p>
      <w:pPr>
        <w:ind w:left="20"/>
        <w:spacing w:after="0" w:line="215" w:lineRule="auto"/>
        <w:rPr>
          <w:sz w:val="20"/>
          <w:szCs w:val="20"/>
          <w:color w:val="auto"/>
        </w:rPr>
      </w:pPr>
      <w:r>
        <w:rPr>
          <w:rFonts w:ascii="Times New Roman" w:cs="Times New Roman" w:eastAsia="Times New Roman" w:hAnsi="Times New Roman"/>
          <w:sz w:val="19"/>
          <w:szCs w:val="19"/>
          <w:color w:val="auto"/>
        </w:rPr>
        <w:t>Voting Stock or other controlling ownership interest in another Person (including the purchase of an option, warrant or convertible or similar type security to acquire such a controlling interest at the time it becomes exercisable by the holder thereof), whether by purchase of such</w:t>
      </w:r>
    </w:p>
    <w:p>
      <w:pPr>
        <w:ind w:left="20"/>
        <w:spacing w:after="0" w:line="211" w:lineRule="auto"/>
        <w:rPr>
          <w:sz w:val="20"/>
          <w:szCs w:val="20"/>
          <w:color w:val="auto"/>
        </w:rPr>
      </w:pPr>
      <w:r>
        <w:rPr>
          <w:rFonts w:ascii="Times New Roman" w:cs="Times New Roman" w:eastAsia="Times New Roman" w:hAnsi="Times New Roman"/>
          <w:sz w:val="20"/>
          <w:szCs w:val="20"/>
          <w:color w:val="auto"/>
        </w:rPr>
        <w:t>equity or other ownership interest or upon the exercise of an option or warrant for, or conversion of securities into, such equity or other</w:t>
      </w:r>
    </w:p>
    <w:p>
      <w:pPr>
        <w:ind w:left="20" w:right="20"/>
        <w:spacing w:after="0" w:line="221" w:lineRule="auto"/>
        <w:rPr>
          <w:sz w:val="20"/>
          <w:szCs w:val="20"/>
          <w:color w:val="auto"/>
        </w:rPr>
      </w:pPr>
      <w:r>
        <w:rPr>
          <w:rFonts w:ascii="Times New Roman" w:cs="Times New Roman" w:eastAsia="Times New Roman" w:hAnsi="Times New Roman"/>
          <w:sz w:val="20"/>
          <w:szCs w:val="20"/>
          <w:color w:val="auto"/>
        </w:rPr>
        <w:t>ownership interest, or (b) assets of another Person which constitute all or substantially all of the assets of such Person or of a division, line of business or other business unit of such Person.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Additional Secured Obligations</w:t>
      </w:r>
      <w:r>
        <w:rPr>
          <w:rFonts w:ascii="Times New Roman" w:cs="Times New Roman" w:eastAsia="Times New Roman" w:hAnsi="Times New Roman"/>
          <w:sz w:val="20"/>
          <w:szCs w:val="20"/>
          <w:color w:val="auto"/>
        </w:rPr>
        <w:t>” means (a) all obligations arising under Secured Cash Management Agreements and Secured</w:t>
      </w:r>
    </w:p>
    <w:p>
      <w:pPr>
        <w:ind w:left="20" w:right="20"/>
        <w:spacing w:after="0" w:line="204" w:lineRule="auto"/>
        <w:rPr>
          <w:sz w:val="20"/>
          <w:szCs w:val="20"/>
          <w:color w:val="auto"/>
        </w:rPr>
      </w:pPr>
      <w:r>
        <w:rPr>
          <w:rFonts w:ascii="Times New Roman" w:cs="Times New Roman" w:eastAsia="Times New Roman" w:hAnsi="Times New Roman"/>
          <w:sz w:val="20"/>
          <w:szCs w:val="20"/>
          <w:color w:val="auto"/>
        </w:rPr>
        <w:t>Hedge Agreements and (b) all costs and expenses incurred in connection with enforcement and collection of the foregoing, including the fees, charges and disbursements of counsel, in each case whether direct or indirect (including those acquired by assumption), absolute or</w:t>
      </w:r>
    </w:p>
    <w:p>
      <w:pPr>
        <w:spacing w:after="0" w:line="1" w:lineRule="exact"/>
        <w:rPr>
          <w:sz w:val="20"/>
          <w:szCs w:val="20"/>
          <w:color w:val="auto"/>
        </w:rPr>
      </w:pPr>
    </w:p>
    <w:p>
      <w:pPr>
        <w:ind w:left="20" w:right="20"/>
        <w:spacing w:after="0" w:line="228" w:lineRule="auto"/>
        <w:rPr>
          <w:sz w:val="20"/>
          <w:szCs w:val="20"/>
          <w:color w:val="auto"/>
        </w:rPr>
      </w:pPr>
      <w:r>
        <w:rPr>
          <w:rFonts w:ascii="Times New Roman" w:cs="Times New Roman" w:eastAsia="Times New Roman" w:hAnsi="Times New Roman"/>
          <w:sz w:val="20"/>
          <w:szCs w:val="20"/>
          <w:color w:val="auto"/>
        </w:rPr>
        <w:t>contingent, due or to become due, now existing or hereafter arising and including interest, expenses and fees that accrue after the commencement by or against any Loan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Party or any Affiliate thereof of any proceeding under any Debtor Relief Laws naming such Person as the debtor in such proceeding,</w:t>
      </w:r>
    </w:p>
    <w:p>
      <w:pPr>
        <w:jc w:val="both"/>
        <w:ind w:left="20"/>
        <w:spacing w:after="0" w:line="221" w:lineRule="auto"/>
        <w:rPr>
          <w:sz w:val="20"/>
          <w:szCs w:val="20"/>
          <w:color w:val="auto"/>
        </w:rPr>
      </w:pPr>
      <w:r>
        <w:rPr>
          <w:rFonts w:ascii="Times New Roman" w:cs="Times New Roman" w:eastAsia="Times New Roman" w:hAnsi="Times New Roman"/>
          <w:sz w:val="20"/>
          <w:szCs w:val="20"/>
          <w:color w:val="auto"/>
        </w:rPr>
        <w:t xml:space="preserve">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Additional Secured Obligations of a Guarantor shall exclude any Excluded Swap Obligations with respect to such Guarantor.</w:t>
      </w:r>
    </w:p>
    <w:p>
      <w:pPr>
        <w:spacing w:after="0" w:line="185" w:lineRule="exact"/>
        <w:rPr>
          <w:sz w:val="20"/>
          <w:szCs w:val="20"/>
          <w:color w:val="auto"/>
        </w:rPr>
      </w:pPr>
    </w:p>
    <w:p>
      <w:pPr>
        <w:jc w:val="both"/>
        <w:ind w:left="2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165" w:lineRule="exact"/>
        <w:rPr>
          <w:sz w:val="20"/>
          <w:szCs w:val="20"/>
          <w:color w:val="auto"/>
        </w:rPr>
      </w:pPr>
    </w:p>
    <w:p>
      <w:pPr>
        <w:jc w:val="both"/>
        <w:ind w:lef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b w:val="1"/>
          <w:bCs w:val="1"/>
          <w:i w:val="1"/>
          <w:iCs w:val="1"/>
          <w:color w:val="auto"/>
        </w:rPr>
        <w:t>Schedule 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with respect to such currency, or such other address or account with respect to such currency as the Administrative Agent may from time to time notify the Borrower and the Lenders.</w:t>
      </w:r>
    </w:p>
    <w:p>
      <w:pPr>
        <w:spacing w:after="0" w:line="170" w:lineRule="exact"/>
        <w:rPr>
          <w:sz w:val="20"/>
          <w:szCs w:val="20"/>
          <w:color w:val="auto"/>
        </w:rPr>
      </w:pPr>
    </w:p>
    <w:p>
      <w:pPr>
        <w:jc w:val="both"/>
        <w:ind w:lef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b w:val="1"/>
          <w:bCs w:val="1"/>
          <w:i w:val="1"/>
          <w:iCs w:val="1"/>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02" w:lineRule="exact"/>
        <w:rPr>
          <w:sz w:val="20"/>
          <w:szCs w:val="20"/>
          <w:color w:val="auto"/>
        </w:rPr>
      </w:pPr>
    </w:p>
    <w:p>
      <w:pPr>
        <w:jc w:val="both"/>
        <w:ind w:left="2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means this Amended and Restated Credit Agreement, including all schedules, exhibits and annexes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11.22</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w:t>
      </w:r>
      <w:r>
        <w:rPr>
          <w:rFonts w:ascii="Times New Roman" w:cs="Times New Roman" w:eastAsia="Times New Roman" w:hAnsi="Times New Roman"/>
          <w:sz w:val="20"/>
          <w:szCs w:val="20"/>
          <w:color w:val="auto"/>
        </w:rPr>
        <w:t>” means each of the following currencies: Sterling, Canadian Dollars, and Euros, together with each other</w:t>
      </w:r>
    </w:p>
    <w:p>
      <w:pPr>
        <w:jc w:val="both"/>
        <w:ind w:left="20" w:right="20"/>
        <w:spacing w:after="0" w:line="221" w:lineRule="auto"/>
        <w:rPr>
          <w:sz w:val="20"/>
          <w:szCs w:val="20"/>
          <w:color w:val="auto"/>
        </w:rPr>
      </w:pPr>
      <w:r>
        <w:rPr>
          <w:rFonts w:ascii="Times New Roman" w:cs="Times New Roman" w:eastAsia="Times New Roman" w:hAnsi="Times New Roman"/>
          <w:sz w:val="20"/>
          <w:szCs w:val="20"/>
          <w:color w:val="auto"/>
        </w:rPr>
        <w:t xml:space="preserve">currency (other than Dollars) that is approved in accordance with </w:t>
      </w:r>
      <w:r>
        <w:rPr>
          <w:rFonts w:ascii="Times New Roman" w:cs="Times New Roman" w:eastAsia="Times New Roman" w:hAnsi="Times New Roman"/>
          <w:sz w:val="20"/>
          <w:szCs w:val="20"/>
          <w:b w:val="1"/>
          <w:bCs w:val="1"/>
          <w:i w:val="1"/>
          <w:iCs w:val="1"/>
          <w:color w:val="auto"/>
        </w:rPr>
        <w:t>Section 1.09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for each Alternative Currency, such requested currency is an Eligible Currency.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 Daily Rate</w:t>
      </w:r>
      <w:r>
        <w:rPr>
          <w:rFonts w:ascii="Times New Roman" w:cs="Times New Roman" w:eastAsia="Times New Roman" w:hAnsi="Times New Roman"/>
          <w:sz w:val="20"/>
          <w:szCs w:val="20"/>
          <w:color w:val="auto"/>
        </w:rPr>
        <w:t>” means, for any day, with respect to any Credit Extension:</w:t>
      </w:r>
    </w:p>
    <w:p>
      <w:pPr>
        <w:spacing w:after="0" w:line="216" w:lineRule="exact"/>
        <w:rPr>
          <w:sz w:val="20"/>
          <w:szCs w:val="20"/>
          <w:color w:val="auto"/>
        </w:rPr>
      </w:pPr>
    </w:p>
    <w:p>
      <w:pPr>
        <w:ind w:left="660" w:firstLine="644"/>
        <w:spacing w:after="0" w:line="235" w:lineRule="auto"/>
        <w:tabs>
          <w:tab w:leader="none" w:pos="194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Sterling,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SONIA determined pursuant to the definition thereof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SONIA Adjustment;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daily rate), the daily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b w:val="1"/>
          <w:bCs w:val="1"/>
          <w:i w:val="1"/>
          <w:iCs w:val="1"/>
          <w:color w:val="auto"/>
        </w:rPr>
        <w:t>Section 1.09(a)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b w:val="1"/>
          <w:bCs w:val="1"/>
          <w:i w:val="1"/>
          <w:iCs w:val="1"/>
          <w:color w:val="auto"/>
        </w:rPr>
        <w:t>Section 1.09(a)</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any Alternative Currency Daily Rate shall be</w:t>
      </w:r>
      <w:r>
        <w:rPr>
          <w:rFonts w:ascii="Times New Roman" w:cs="Times New Roman" w:eastAsia="Times New Roman" w:hAnsi="Times New Roman"/>
          <w:sz w:val="20"/>
          <w:szCs w:val="20"/>
          <w:i w:val="1"/>
          <w:iCs w:val="1"/>
          <w:color w:val="auto"/>
        </w:rPr>
        <w:t xml:space="preserve"> less than </w:t>
      </w:r>
      <w:r>
        <w:rPr>
          <w:rFonts w:ascii="Times New Roman" w:cs="Times New Roman" w:eastAsia="Times New Roman" w:hAnsi="Times New Roman"/>
          <w:sz w:val="20"/>
          <w:szCs w:val="20"/>
          <w:color w:val="auto"/>
        </w:rPr>
        <w:t>zero percent (0.0%) per annum, then such rate shall be deemed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equal zero percent (0.0%) per annum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change in an Alternative Currency Daily Rate shall be effective from and including the date of such change without further notice.</w:t>
      </w:r>
    </w:p>
    <w:p>
      <w:pPr>
        <w:spacing w:after="0" w:line="212" w:lineRule="exact"/>
        <w:rPr>
          <w:sz w:val="20"/>
          <w:szCs w:val="20"/>
          <w:color w:val="auto"/>
        </w:rPr>
      </w:pPr>
    </w:p>
    <w:p>
      <w:pPr>
        <w:ind w:left="20"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 Daily Rate Loan</w:t>
      </w:r>
      <w:r>
        <w:rPr>
          <w:rFonts w:ascii="Times New Roman" w:cs="Times New Roman" w:eastAsia="Times New Roman" w:hAnsi="Times New Roman"/>
          <w:sz w:val="20"/>
          <w:szCs w:val="20"/>
          <w:color w:val="auto"/>
        </w:rPr>
        <w:t>” means a Loan that bears interest at a rate based on the definition of “</w:t>
      </w:r>
      <w:r>
        <w:rPr>
          <w:rFonts w:ascii="Times New Roman" w:cs="Times New Roman" w:eastAsia="Times New Roman" w:hAnsi="Times New Roman"/>
          <w:sz w:val="20"/>
          <w:szCs w:val="20"/>
          <w:i w:val="1"/>
          <w:iCs w:val="1"/>
          <w:color w:val="auto"/>
        </w:rPr>
        <w:t>Alternative 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Daily Rate</w:t>
      </w:r>
      <w:r>
        <w:rPr>
          <w:rFonts w:ascii="Times New Roman" w:cs="Times New Roman" w:eastAsia="Times New Roman" w:hAnsi="Times New Roman"/>
          <w:sz w:val="20"/>
          <w:szCs w:val="20"/>
          <w:color w:val="auto"/>
        </w:rPr>
        <w:t>”. All Alternative Currency Daily Rate Loans must be denominated in an Alternative Currency.</w:t>
      </w:r>
    </w:p>
    <w:p>
      <w:pPr>
        <w:spacing w:after="0" w:line="165" w:lineRule="exact"/>
        <w:rPr>
          <w:sz w:val="20"/>
          <w:szCs w:val="20"/>
          <w:color w:val="auto"/>
        </w:rPr>
      </w:pPr>
    </w:p>
    <w:p>
      <w:pPr>
        <w:ind w:lef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Alternative Currency Equivalent</w:t>
      </w:r>
      <w:r>
        <w:rPr>
          <w:rFonts w:ascii="Times New Roman" w:cs="Times New Roman" w:eastAsia="Times New Roman" w:hAnsi="Times New Roman"/>
          <w:sz w:val="19"/>
          <w:szCs w:val="19"/>
          <w:color w:val="auto"/>
        </w:rPr>
        <w:t>” means, at any time, with respect to any amount denominated in Dollars, the equivalent amount thereof in the applicable Alternative Currency as determined by the Administrative Agent or the L/C Issuer, as the case may be, by reference</w:t>
      </w:r>
    </w:p>
    <w:p>
      <w:pPr>
        <w:spacing w:after="0" w:line="1" w:lineRule="exact"/>
        <w:rPr>
          <w:sz w:val="20"/>
          <w:szCs w:val="20"/>
          <w:color w:val="auto"/>
        </w:rPr>
      </w:pPr>
    </w:p>
    <w:p>
      <w:pPr>
        <w:ind w:left="20"/>
        <w:spacing w:after="0" w:line="204" w:lineRule="auto"/>
        <w:rPr>
          <w:sz w:val="20"/>
          <w:szCs w:val="20"/>
          <w:color w:val="auto"/>
        </w:rPr>
      </w:pPr>
      <w:r>
        <w:rPr>
          <w:rFonts w:ascii="Times New Roman" w:cs="Times New Roman" w:eastAsia="Times New Roman" w:hAnsi="Times New Roman"/>
          <w:sz w:val="20"/>
          <w:szCs w:val="20"/>
          <w:color w:val="auto"/>
        </w:rPr>
        <w:t>to Bloomberg (or such other publicly available service for displaying exchange rates), to be the exchange rate for the purchase of such Alternative Currency with Dollars at approximately 11:00 a.m. on the date two (2) Business Days prior to the date as of which the foreign</w:t>
      </w:r>
    </w:p>
    <w:p>
      <w:pPr>
        <w:ind w:left="20"/>
        <w:spacing w:after="0" w:line="211" w:lineRule="auto"/>
        <w:rPr>
          <w:sz w:val="20"/>
          <w:szCs w:val="20"/>
          <w:color w:val="auto"/>
        </w:rPr>
      </w:pPr>
      <w:r>
        <w:rPr>
          <w:rFonts w:ascii="Times New Roman" w:cs="Times New Roman" w:eastAsia="Times New Roman" w:hAnsi="Times New Roman"/>
          <w:sz w:val="20"/>
          <w:szCs w:val="20"/>
          <w:color w:val="auto"/>
        </w:rPr>
        <w:t xml:space="preserve">exchange computation is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if no such rate is available, the “</w:t>
      </w:r>
      <w:r>
        <w:rPr>
          <w:rFonts w:ascii="Times New Roman" w:cs="Times New Roman" w:eastAsia="Times New Roman" w:hAnsi="Times New Roman"/>
          <w:sz w:val="20"/>
          <w:szCs w:val="20"/>
          <w:b w:val="1"/>
          <w:bCs w:val="1"/>
          <w:i w:val="1"/>
          <w:iCs w:val="1"/>
          <w:color w:val="auto"/>
        </w:rPr>
        <w:t>Alternative Currency Equivalent</w:t>
      </w:r>
      <w:r>
        <w:rPr>
          <w:rFonts w:ascii="Times New Roman" w:cs="Times New Roman" w:eastAsia="Times New Roman" w:hAnsi="Times New Roman"/>
          <w:sz w:val="20"/>
          <w:szCs w:val="20"/>
          <w:color w:val="auto"/>
        </w:rPr>
        <w:t>” shall be</w:t>
      </w:r>
    </w:p>
    <w:p>
      <w:pPr>
        <w:spacing w:after="0" w:line="1" w:lineRule="exact"/>
        <w:rPr>
          <w:sz w:val="20"/>
          <w:szCs w:val="20"/>
          <w:color w:val="auto"/>
        </w:rPr>
      </w:pPr>
    </w:p>
    <w:p>
      <w:pPr>
        <w:ind w:left="20"/>
        <w:spacing w:after="0" w:line="221" w:lineRule="auto"/>
        <w:rPr>
          <w:sz w:val="20"/>
          <w:szCs w:val="20"/>
          <w:color w:val="auto"/>
        </w:rPr>
      </w:pPr>
      <w:r>
        <w:rPr>
          <w:rFonts w:ascii="Times New Roman" w:cs="Times New Roman" w:eastAsia="Times New Roman" w:hAnsi="Times New Roman"/>
          <w:sz w:val="20"/>
          <w:szCs w:val="20"/>
          <w:color w:val="auto"/>
        </w:rPr>
        <w:t>determined by the Administrative Agent or the L/C Issuer, as the case may be, using any reasonable method of determination they deem appropriate in their sole discretion (and such determination shall be conclusive absent manifest error).</w:t>
      </w:r>
    </w:p>
    <w:p>
      <w:pPr>
        <w:spacing w:after="0" w:line="185" w:lineRule="exact"/>
        <w:rPr>
          <w:sz w:val="20"/>
          <w:szCs w:val="20"/>
          <w:color w:val="auto"/>
        </w:rPr>
      </w:pPr>
    </w:p>
    <w:p>
      <w:pPr>
        <w:ind w:lef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 Term Rate</w:t>
      </w:r>
      <w:r>
        <w:rPr>
          <w:rFonts w:ascii="Times New Roman" w:cs="Times New Roman" w:eastAsia="Times New Roman" w:hAnsi="Times New Roman"/>
          <w:sz w:val="20"/>
          <w:szCs w:val="20"/>
          <w:color w:val="auto"/>
        </w:rPr>
        <w:t>” means, for any Interest Period, with respect to any Credit Extension</w:t>
      </w:r>
      <w:r>
        <w:rPr>
          <w:rFonts w:ascii="Times New Roman" w:cs="Times New Roman" w:eastAsia="Times New Roman" w:hAnsi="Times New Roman"/>
          <w:sz w:val="20"/>
          <w:szCs w:val="20"/>
          <w:color w:val="FF0000"/>
        </w:rPr>
        <w:t>:</w:t>
      </w:r>
    </w:p>
    <w:p>
      <w:pPr>
        <w:jc w:val="both"/>
        <w:ind w:left="660" w:firstLine="644"/>
        <w:spacing w:after="0" w:line="216" w:lineRule="auto"/>
        <w:tabs>
          <w:tab w:leader="none" w:pos="194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Euros,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Euro Interbank Offered Rate (“</w:t>
      </w:r>
      <w:r>
        <w:rPr>
          <w:rFonts w:ascii="Times New Roman" w:cs="Times New Roman" w:eastAsia="Times New Roman" w:hAnsi="Times New Roman"/>
          <w:sz w:val="20"/>
          <w:szCs w:val="20"/>
          <w:b w:val="1"/>
          <w:bCs w:val="1"/>
          <w:i w:val="1"/>
          <w:iCs w:val="1"/>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(2) TARGET Days preceding the first day of such Interest Period with a term equivalent to such Interest Period;</w:t>
      </w:r>
    </w:p>
    <w:p>
      <w:pPr>
        <w:spacing w:after="0" w:line="145" w:lineRule="exact"/>
        <w:rPr>
          <w:rFonts w:ascii="Times New Roman" w:cs="Times New Roman" w:eastAsia="Times New Roman" w:hAnsi="Times New Roman"/>
          <w:sz w:val="20"/>
          <w:szCs w:val="20"/>
          <w:color w:val="auto"/>
        </w:rPr>
      </w:pPr>
    </w:p>
    <w:p>
      <w:pPr>
        <w:jc w:val="both"/>
        <w:ind w:left="660" w:firstLine="644"/>
        <w:spacing w:after="0" w:line="223"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Canadian dollars,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Canadian Dollar Offered Rate (“</w:t>
      </w:r>
      <w:r>
        <w:rPr>
          <w:rFonts w:ascii="Times New Roman" w:cs="Times New Roman" w:eastAsia="Times New Roman" w:hAnsi="Times New Roman"/>
          <w:sz w:val="20"/>
          <w:szCs w:val="20"/>
          <w:b w:val="1"/>
          <w:bCs w:val="1"/>
          <w:i w:val="1"/>
          <w:iCs w:val="1"/>
          <w:color w:val="auto"/>
        </w:rPr>
        <w:t>CDOR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b w:val="1"/>
          <w:bCs w:val="1"/>
          <w:i w:val="1"/>
          <w:iCs w:val="1"/>
          <w:color w:val="auto"/>
        </w:rPr>
        <w:t>CDOR Rate</w:t>
      </w:r>
      <w:r>
        <w:rPr>
          <w:rFonts w:ascii="Times New Roman" w:cs="Times New Roman" w:eastAsia="Times New Roman" w:hAnsi="Times New Roman"/>
          <w:sz w:val="20"/>
          <w:szCs w:val="20"/>
          <w:color w:val="auto"/>
        </w:rPr>
        <w:t>”) on the Rate Determination Date with a term equivalent to such Interest Period; and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term rate), the term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b w:val="1"/>
          <w:bCs w:val="1"/>
          <w:i w:val="1"/>
          <w:iCs w:val="1"/>
          <w:color w:val="auto"/>
        </w:rPr>
        <w:t>Section 1.09(a)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b w:val="1"/>
          <w:bCs w:val="1"/>
          <w:i w:val="1"/>
          <w:iCs w:val="1"/>
          <w:color w:val="auto"/>
        </w:rPr>
        <w:t>Section 1.09(a)</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any Alternative Currency Term Rate shall be</w:t>
      </w:r>
      <w:r>
        <w:rPr>
          <w:rFonts w:ascii="Times New Roman" w:cs="Times New Roman" w:eastAsia="Times New Roman" w:hAnsi="Times New Roman"/>
          <w:sz w:val="20"/>
          <w:szCs w:val="20"/>
          <w:i w:val="1"/>
          <w:iCs w:val="1"/>
          <w:color w:val="auto"/>
        </w:rPr>
        <w:t xml:space="preserve"> less than </w:t>
      </w:r>
      <w:r>
        <w:rPr>
          <w:rFonts w:ascii="Times New Roman" w:cs="Times New Roman" w:eastAsia="Times New Roman" w:hAnsi="Times New Roman"/>
          <w:sz w:val="20"/>
          <w:szCs w:val="20"/>
          <w:color w:val="auto"/>
        </w:rPr>
        <w:t>zero percent (0.0%) per annum, then such rate shall be deemed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equal zero percent (0.0%) per annum for purposes of this Agreement.</w:t>
      </w:r>
    </w:p>
    <w:p>
      <w:pPr>
        <w:spacing w:after="0" w:line="157" w:lineRule="exact"/>
        <w:rPr>
          <w:sz w:val="20"/>
          <w:szCs w:val="20"/>
          <w:color w:val="auto"/>
        </w:rPr>
      </w:pPr>
    </w:p>
    <w:p>
      <w:pPr>
        <w:ind w:lef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 Term Rate Loan</w:t>
      </w:r>
      <w:r>
        <w:rPr>
          <w:rFonts w:ascii="Times New Roman" w:cs="Times New Roman" w:eastAsia="Times New Roman" w:hAnsi="Times New Roman"/>
          <w:sz w:val="20"/>
          <w:szCs w:val="20"/>
          <w:color w:val="auto"/>
        </w:rPr>
        <w:t>” means a Loan that bears interest at a rate based on the definition of “</w:t>
      </w:r>
      <w:r>
        <w:rPr>
          <w:rFonts w:ascii="Times New Roman" w:cs="Times New Roman" w:eastAsia="Times New Roman" w:hAnsi="Times New Roman"/>
          <w:sz w:val="20"/>
          <w:szCs w:val="20"/>
          <w:i w:val="1"/>
          <w:iCs w:val="1"/>
          <w:color w:val="auto"/>
        </w:rPr>
        <w:t>Alternative 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Term Rate.</w:t>
      </w:r>
      <w:r>
        <w:rPr>
          <w:rFonts w:ascii="Times New Roman" w:cs="Times New Roman" w:eastAsia="Times New Roman" w:hAnsi="Times New Roman"/>
          <w:sz w:val="20"/>
          <w:szCs w:val="20"/>
          <w:color w:val="auto"/>
        </w:rPr>
        <w:t>” All Alternative Currency Term Rate Loans must be denominated in an Alternative Currency.</w:t>
      </w:r>
    </w:p>
    <w:p>
      <w:pPr>
        <w:spacing w:after="0" w:line="165" w:lineRule="exact"/>
        <w:rPr>
          <w:sz w:val="20"/>
          <w:szCs w:val="20"/>
          <w:color w:val="auto"/>
        </w:rPr>
      </w:pPr>
    </w:p>
    <w:p>
      <w:pPr>
        <w:ind w:lef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Authority</w:t>
      </w:r>
      <w:r>
        <w:rPr>
          <w:rFonts w:ascii="Times New Roman" w:cs="Times New Roman" w:eastAsia="Times New Roman" w:hAnsi="Times New Roman"/>
          <w:sz w:val="20"/>
          <w:szCs w:val="20"/>
          <w:color w:val="auto"/>
        </w:rPr>
        <w:t>” means: (a) with respect to the BSBY Screen Rate, Bloomberg (or any successor administrator of the BSBY Screen Rate) or any Governmental Authority having jurisdiction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80" w:name="page81"/>
    <w:bookmarkEnd w:id="80"/>
    <w:p>
      <w:pPr>
        <w:jc w:val="right"/>
        <w:ind w:right="20"/>
        <w:spacing w:after="0"/>
        <w:rPr>
          <w:sz w:val="20"/>
          <w:szCs w:val="20"/>
          <w:color w:val="auto"/>
        </w:rPr>
      </w:pPr>
      <w:r>
        <w:rPr>
          <w:rFonts w:ascii="Times New Roman" w:cs="Times New Roman" w:eastAsia="Times New Roman" w:hAnsi="Times New Roman"/>
          <w:sz w:val="18"/>
          <w:szCs w:val="18"/>
          <w:color w:val="auto"/>
        </w:rPr>
        <w:t>ANNEX I</w:t>
      </w:r>
    </w:p>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over the Administrative Agent or Bloomberg with respect to its publication of the BSBY Screen Rate, in each case, acting in such capacity;</w:t>
      </w:r>
    </w:p>
    <w:p>
      <w:pPr>
        <w:ind w:left="20" w:right="20"/>
        <w:spacing w:after="0" w:line="204" w:lineRule="auto"/>
        <w:rPr>
          <w:sz w:val="20"/>
          <w:szCs w:val="20"/>
          <w:color w:val="auto"/>
        </w:rPr>
      </w:pPr>
      <w:r>
        <w:rPr>
          <w:rFonts w:ascii="Times New Roman" w:cs="Times New Roman" w:eastAsia="Times New Roman" w:hAnsi="Times New Roman"/>
          <w:sz w:val="20"/>
          <w:szCs w:val="20"/>
          <w:color w:val="auto"/>
        </w:rPr>
        <w:t>and (b) with respect to any Relevant Rate (other than the BSBY Screen Rate), the applicable administrator for such Relevant Rate or any Governmental Authority having jurisdiction over the Administrative Agent or such administrator with respect to its publication of such</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Relevant Rate, in each case, acting in such capacity.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202" w:lineRule="exact"/>
        <w:rPr>
          <w:sz w:val="20"/>
          <w:szCs w:val="20"/>
          <w:color w:val="auto"/>
        </w:rPr>
      </w:pPr>
    </w:p>
    <w:p>
      <w:pPr>
        <w:ind w:left="20"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Percentage</w:t>
      </w:r>
      <w:r>
        <w:rPr>
          <w:rFonts w:ascii="Times New Roman" w:cs="Times New Roman" w:eastAsia="Times New Roman" w:hAnsi="Times New Roman"/>
          <w:sz w:val="20"/>
          <w:szCs w:val="20"/>
          <w:color w:val="auto"/>
        </w:rPr>
        <w:t>” means in respect of the Revolving Facility, with respect to any Lender at any time, the percentage (carried out to the ninth decimal place) of the Revolving Facility represented by such Lender’s Revolving Commitment at such time, subject to</w:t>
      </w:r>
    </w:p>
    <w:p>
      <w:pPr>
        <w:spacing w:after="0" w:line="2" w:lineRule="exact"/>
        <w:rPr>
          <w:sz w:val="20"/>
          <w:szCs w:val="20"/>
          <w:color w:val="auto"/>
        </w:rPr>
      </w:pPr>
    </w:p>
    <w:p>
      <w:pPr>
        <w:ind w:left="20" w:right="20"/>
        <w:spacing w:after="0" w:line="204" w:lineRule="auto"/>
        <w:rPr>
          <w:sz w:val="20"/>
          <w:szCs w:val="20"/>
          <w:color w:val="auto"/>
        </w:rPr>
      </w:pPr>
      <w:r>
        <w:rPr>
          <w:rFonts w:ascii="Times New Roman" w:cs="Times New Roman" w:eastAsia="Times New Roman" w:hAnsi="Times New Roman"/>
          <w:sz w:val="20"/>
          <w:szCs w:val="20"/>
          <w:color w:val="auto"/>
        </w:rPr>
        <w:t xml:space="preserve">adjustment as provided in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 xml:space="preserve">. If the Commitment of all of the Lenders to make Revolving Loans and the obligation of the L/C Issuer to make L/C Credit Extensions have been terminated pursuant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or if the Revolving Commitments have expired, then</w:t>
      </w:r>
    </w:p>
    <w:p>
      <w:pPr>
        <w:ind w:left="20"/>
        <w:spacing w:after="0" w:line="211" w:lineRule="auto"/>
        <w:rPr>
          <w:sz w:val="20"/>
          <w:szCs w:val="20"/>
          <w:color w:val="auto"/>
        </w:rPr>
      </w:pPr>
      <w:r>
        <w:rPr>
          <w:rFonts w:ascii="Times New Roman" w:cs="Times New Roman" w:eastAsia="Times New Roman" w:hAnsi="Times New Roman"/>
          <w:sz w:val="20"/>
          <w:szCs w:val="20"/>
          <w:color w:val="auto"/>
        </w:rPr>
        <w:t>the Applicable Percentage of each Lender in respect of the Revolving Facility shall be determined based on the Applicable Percentage of</w:t>
      </w:r>
    </w:p>
    <w:p>
      <w:pPr>
        <w:spacing w:after="0" w:line="1" w:lineRule="exact"/>
        <w:rPr>
          <w:sz w:val="20"/>
          <w:szCs w:val="20"/>
          <w:color w:val="auto"/>
        </w:rPr>
      </w:pPr>
    </w:p>
    <w:p>
      <w:pPr>
        <w:ind w:left="20" w:right="20"/>
        <w:spacing w:after="0" w:line="204" w:lineRule="auto"/>
        <w:rPr>
          <w:sz w:val="20"/>
          <w:szCs w:val="20"/>
          <w:color w:val="auto"/>
        </w:rPr>
      </w:pPr>
      <w:r>
        <w:rPr>
          <w:rFonts w:ascii="Times New Roman" w:cs="Times New Roman" w:eastAsia="Times New Roman" w:hAnsi="Times New Roman"/>
          <w:sz w:val="20"/>
          <w:szCs w:val="20"/>
          <w:color w:val="auto"/>
        </w:rPr>
        <w:t>such Lender in respect of the Revolving Facility most recently in effect, giving effect to any subsequent assignments and to any Lender’s status as a Defaulting Lender at the time of determination. The Applicable Percentage of each Lender in respect of the Revolving Facility is</w:t>
      </w:r>
    </w:p>
    <w:p>
      <w:pPr>
        <w:spacing w:after="0" w:line="1" w:lineRule="exact"/>
        <w:rPr>
          <w:sz w:val="20"/>
          <w:szCs w:val="20"/>
          <w:color w:val="auto"/>
        </w:rPr>
      </w:pPr>
    </w:p>
    <w:p>
      <w:pPr>
        <w:ind w:left="20" w:right="20"/>
        <w:spacing w:after="0" w:line="228" w:lineRule="auto"/>
        <w:rPr>
          <w:sz w:val="20"/>
          <w:szCs w:val="20"/>
          <w:color w:val="auto"/>
        </w:rPr>
      </w:pPr>
      <w:r>
        <w:rPr>
          <w:rFonts w:ascii="Times New Roman" w:cs="Times New Roman" w:eastAsia="Times New Roman" w:hAnsi="Times New Roman"/>
          <w:sz w:val="20"/>
          <w:szCs w:val="20"/>
          <w:color w:val="auto"/>
        </w:rPr>
        <w:t xml:space="preserve">set forth opposite the name of such Lender on </w:t>
      </w:r>
      <w:r>
        <w:rPr>
          <w:rFonts w:ascii="Times New Roman" w:cs="Times New Roman" w:eastAsia="Times New Roman" w:hAnsi="Times New Roman"/>
          <w:sz w:val="20"/>
          <w:szCs w:val="20"/>
          <w:b w:val="1"/>
          <w:bCs w:val="1"/>
          <w:i w:val="1"/>
          <w:iCs w:val="1"/>
          <w:color w:val="auto"/>
        </w:rPr>
        <w:t>Schedule 1.01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or in the Assignment and Assumption pursuant to which such Lender becomes a party hereto or in any documentation executed by such Lender pursuant to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as applicable.</w:t>
      </w:r>
    </w:p>
    <w:p>
      <w:pPr>
        <w:spacing w:after="0" w:line="172" w:lineRule="exact"/>
        <w:rPr>
          <w:sz w:val="20"/>
          <w:szCs w:val="20"/>
          <w:color w:val="auto"/>
        </w:rPr>
      </w:pPr>
    </w:p>
    <w:p>
      <w:pPr>
        <w:ind w:left="20"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Rate</w:t>
      </w:r>
      <w:r>
        <w:rPr>
          <w:rFonts w:ascii="Times New Roman" w:cs="Times New Roman" w:eastAsia="Times New Roman" w:hAnsi="Times New Roman"/>
          <w:sz w:val="20"/>
          <w:szCs w:val="20"/>
          <w:color w:val="auto"/>
        </w:rPr>
        <w:t>” means, for any day, the rate per annum set forth in the table below opposite the applicable Level then in effect (based on the Consolidated Leverage Ratio), it being understood that the Applicable Rate for (a) Revolving Loans that are Base Rate Loans</w:t>
      </w:r>
    </w:p>
    <w:p>
      <w:pPr>
        <w:spacing w:after="0" w:line="2" w:lineRule="exact"/>
        <w:rPr>
          <w:sz w:val="20"/>
          <w:szCs w:val="20"/>
          <w:color w:val="auto"/>
        </w:rPr>
      </w:pPr>
    </w:p>
    <w:p>
      <w:pPr>
        <w:ind w:left="20" w:right="20"/>
        <w:spacing w:after="0" w:line="215" w:lineRule="auto"/>
        <w:rPr>
          <w:sz w:val="20"/>
          <w:szCs w:val="20"/>
          <w:color w:val="auto"/>
        </w:rPr>
      </w:pPr>
      <w:r>
        <w:rPr>
          <w:rFonts w:ascii="Times New Roman" w:cs="Times New Roman" w:eastAsia="Times New Roman" w:hAnsi="Times New Roman"/>
          <w:sz w:val="19"/>
          <w:szCs w:val="19"/>
          <w:color w:val="auto"/>
        </w:rPr>
        <w:t>shall be the percentage set forth under the column “Base Rate” in the table below, (b) Revolving Loans that are BSBY Rate Loans shall be the percentage set forth under the column “BSBY Rate” in the table below, (c) the Letter of Credit Fee shall be the percentage set forth under</w:t>
      </w:r>
    </w:p>
    <w:p>
      <w:pPr>
        <w:ind w:left="20" w:right="20"/>
        <w:spacing w:after="0" w:line="221" w:lineRule="auto"/>
        <w:rPr>
          <w:sz w:val="20"/>
          <w:szCs w:val="20"/>
          <w:color w:val="auto"/>
        </w:rPr>
      </w:pPr>
      <w:r>
        <w:rPr>
          <w:rFonts w:ascii="Times New Roman" w:cs="Times New Roman" w:eastAsia="Times New Roman" w:hAnsi="Times New Roman"/>
          <w:sz w:val="20"/>
          <w:szCs w:val="20"/>
          <w:color w:val="auto"/>
        </w:rPr>
        <w:t>the column “Letter of Credit Fee” in the table below, and (d) the Commitment Fee shall be the percentage set forth under the column “Commitment Fee” in the table below:</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180" w:type="dxa"/>
            <w:vAlign w:val="bottom"/>
            <w:tcBorders>
              <w:top w:val="single" w:sz="8" w:color="auto"/>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Pricing</w:t>
            </w:r>
          </w:p>
        </w:tc>
        <w:tc>
          <w:tcPr>
            <w:tcW w:w="258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Consolidated Leverage Ratio</w:t>
            </w:r>
          </w:p>
        </w:tc>
        <w:tc>
          <w:tcPr>
            <w:tcW w:w="2000" w:type="dxa"/>
            <w:vAlign w:val="bottom"/>
            <w:tcBorders>
              <w:top w:val="single" w:sz="8" w:color="auto"/>
              <w:right w:val="single" w:sz="8" w:color="auto"/>
            </w:tcBorders>
            <w:shd w:val="clear" w:color="auto" w:fill="F2F2F2"/>
          </w:tcPr>
          <w:p>
            <w:pPr>
              <w:jc w:val="center"/>
              <w:spacing w:after="0" w:line="190" w:lineRule="exact"/>
              <w:rPr>
                <w:sz w:val="20"/>
                <w:szCs w:val="20"/>
                <w:color w:val="auto"/>
              </w:rPr>
            </w:pPr>
            <w:r>
              <w:rPr>
                <w:rFonts w:ascii="Times New Roman" w:cs="Times New Roman" w:eastAsia="Times New Roman" w:hAnsi="Times New Roman"/>
                <w:sz w:val="20"/>
                <w:szCs w:val="20"/>
                <w:b w:val="1"/>
                <w:bCs w:val="1"/>
                <w:color w:val="auto"/>
                <w:w w:val="99"/>
              </w:rPr>
              <w:t>BSBY Rate Loans and</w:t>
            </w:r>
          </w:p>
        </w:tc>
        <w:tc>
          <w:tcPr>
            <w:tcW w:w="174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c>
          <w:tcPr>
            <w:tcW w:w="20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Letter of Credit Fee</w:t>
            </w:r>
          </w:p>
        </w:tc>
        <w:tc>
          <w:tcPr>
            <w:tcW w:w="176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 Fee</w:t>
            </w:r>
          </w:p>
        </w:tc>
        <w:tc>
          <w:tcPr>
            <w:tcW w:w="0" w:type="dxa"/>
            <w:vAlign w:val="bottom"/>
          </w:tcPr>
          <w:p>
            <w:pPr>
              <w:spacing w:after="0"/>
              <w:rPr>
                <w:sz w:val="1"/>
                <w:szCs w:val="1"/>
                <w:color w:val="auto"/>
              </w:rPr>
            </w:pPr>
          </w:p>
        </w:tc>
      </w:tr>
      <w:tr>
        <w:trPr>
          <w:trHeight w:val="95"/>
        </w:trPr>
        <w:tc>
          <w:tcPr>
            <w:tcW w:w="1180" w:type="dxa"/>
            <w:vAlign w:val="bottom"/>
            <w:tcBorders>
              <w:left w:val="single" w:sz="8" w:color="auto"/>
              <w:right w:val="single" w:sz="8" w:color="auto"/>
            </w:tcBorders>
            <w:vMerge w:val="continue"/>
            <w:shd w:val="clear" w:color="auto" w:fill="F2F2F2"/>
          </w:tcPr>
          <w:p>
            <w:pPr>
              <w:spacing w:after="0"/>
              <w:rPr>
                <w:sz w:val="8"/>
                <w:szCs w:val="8"/>
                <w:color w:val="auto"/>
              </w:rPr>
            </w:pPr>
          </w:p>
        </w:tc>
        <w:tc>
          <w:tcPr>
            <w:tcW w:w="2580" w:type="dxa"/>
            <w:vAlign w:val="bottom"/>
            <w:tcBorders>
              <w:right w:val="single" w:sz="8" w:color="auto"/>
            </w:tcBorders>
            <w:vMerge w:val="continue"/>
            <w:shd w:val="clear" w:color="auto" w:fill="F2F2F2"/>
          </w:tcPr>
          <w:p>
            <w:pPr>
              <w:spacing w:after="0"/>
              <w:rPr>
                <w:sz w:val="8"/>
                <w:szCs w:val="8"/>
                <w:color w:val="auto"/>
              </w:rPr>
            </w:pPr>
          </w:p>
        </w:tc>
        <w:tc>
          <w:tcPr>
            <w:tcW w:w="2000" w:type="dxa"/>
            <w:vAlign w:val="bottom"/>
            <w:tcBorders>
              <w:right w:val="single" w:sz="8" w:color="auto"/>
            </w:tcBorders>
            <w:vMerge w:val="restart"/>
            <w:shd w:val="clear" w:color="auto" w:fill="F2F2F2"/>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Alternative Currency</w:t>
            </w:r>
          </w:p>
        </w:tc>
        <w:tc>
          <w:tcPr>
            <w:tcW w:w="1740" w:type="dxa"/>
            <w:vAlign w:val="bottom"/>
            <w:tcBorders>
              <w:right w:val="single" w:sz="8" w:color="auto"/>
            </w:tcBorders>
            <w:vMerge w:val="continue"/>
            <w:shd w:val="clear" w:color="auto" w:fill="F2F2F2"/>
          </w:tcPr>
          <w:p>
            <w:pPr>
              <w:spacing w:after="0"/>
              <w:rPr>
                <w:sz w:val="8"/>
                <w:szCs w:val="8"/>
                <w:color w:val="auto"/>
              </w:rPr>
            </w:pPr>
          </w:p>
        </w:tc>
        <w:tc>
          <w:tcPr>
            <w:tcW w:w="2000" w:type="dxa"/>
            <w:vAlign w:val="bottom"/>
            <w:tcBorders>
              <w:right w:val="single" w:sz="8" w:color="auto"/>
            </w:tcBorders>
            <w:vMerge w:val="continue"/>
            <w:shd w:val="clear" w:color="auto" w:fill="F2F2F2"/>
          </w:tcPr>
          <w:p>
            <w:pPr>
              <w:spacing w:after="0"/>
              <w:rPr>
                <w:sz w:val="8"/>
                <w:szCs w:val="8"/>
                <w:color w:val="auto"/>
              </w:rPr>
            </w:pPr>
          </w:p>
        </w:tc>
        <w:tc>
          <w:tcPr>
            <w:tcW w:w="176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2580" w:type="dxa"/>
            <w:vAlign w:val="bottom"/>
            <w:tcBorders>
              <w:right w:val="single" w:sz="8" w:color="auto"/>
            </w:tcBorders>
            <w:vMerge w:val="continue"/>
            <w:shd w:val="clear" w:color="auto" w:fill="F2F2F2"/>
          </w:tcPr>
          <w:p>
            <w:pPr>
              <w:spacing w:after="0"/>
              <w:rPr>
                <w:sz w:val="9"/>
                <w:szCs w:val="9"/>
                <w:color w:val="auto"/>
              </w:rPr>
            </w:pPr>
          </w:p>
        </w:tc>
        <w:tc>
          <w:tcPr>
            <w:tcW w:w="2000" w:type="dxa"/>
            <w:vAlign w:val="bottom"/>
            <w:tcBorders>
              <w:right w:val="single" w:sz="8" w:color="auto"/>
            </w:tcBorders>
            <w:vMerge w:val="continue"/>
            <w:shd w:val="clear" w:color="auto" w:fill="F2F2F2"/>
          </w:tcPr>
          <w:p>
            <w:pPr>
              <w:spacing w:after="0"/>
              <w:rPr>
                <w:sz w:val="9"/>
                <w:szCs w:val="9"/>
                <w:color w:val="auto"/>
              </w:rPr>
            </w:pPr>
          </w:p>
        </w:tc>
        <w:tc>
          <w:tcPr>
            <w:tcW w:w="1740" w:type="dxa"/>
            <w:vAlign w:val="bottom"/>
            <w:tcBorders>
              <w:right w:val="single" w:sz="8" w:color="auto"/>
            </w:tcBorders>
            <w:vMerge w:val="continue"/>
            <w:shd w:val="clear" w:color="auto" w:fill="F2F2F2"/>
          </w:tcPr>
          <w:p>
            <w:pPr>
              <w:spacing w:after="0"/>
              <w:rPr>
                <w:sz w:val="9"/>
                <w:szCs w:val="9"/>
                <w:color w:val="auto"/>
              </w:rPr>
            </w:pPr>
          </w:p>
        </w:tc>
        <w:tc>
          <w:tcPr>
            <w:tcW w:w="2000" w:type="dxa"/>
            <w:vAlign w:val="bottom"/>
            <w:tcBorders>
              <w:right w:val="single" w:sz="8" w:color="auto"/>
            </w:tcBorders>
            <w:vMerge w:val="continue"/>
            <w:shd w:val="clear" w:color="auto" w:fill="F2F2F2"/>
          </w:tcPr>
          <w:p>
            <w:pPr>
              <w:spacing w:after="0"/>
              <w:rPr>
                <w:sz w:val="9"/>
                <w:szCs w:val="9"/>
                <w:color w:val="auto"/>
              </w:rPr>
            </w:pPr>
          </w:p>
        </w:tc>
        <w:tc>
          <w:tcPr>
            <w:tcW w:w="1760" w:type="dxa"/>
            <w:vAlign w:val="bottom"/>
            <w:tcBorders>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8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2580" w:type="dxa"/>
            <w:vAlign w:val="bottom"/>
            <w:tcBorders>
              <w:right w:val="single" w:sz="8" w:color="auto"/>
            </w:tcBorders>
            <w:shd w:val="clear" w:color="auto" w:fill="F2F2F2"/>
          </w:tcPr>
          <w:p>
            <w:pPr>
              <w:spacing w:after="0"/>
              <w:rPr>
                <w:sz w:val="13"/>
                <w:szCs w:val="13"/>
                <w:color w:val="auto"/>
              </w:rPr>
            </w:pPr>
          </w:p>
        </w:tc>
        <w:tc>
          <w:tcPr>
            <w:tcW w:w="200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740" w:type="dxa"/>
            <w:vAlign w:val="bottom"/>
            <w:tcBorders>
              <w:right w:val="single" w:sz="8" w:color="auto"/>
            </w:tcBorders>
            <w:shd w:val="clear" w:color="auto" w:fill="F2F2F2"/>
          </w:tcPr>
          <w:p>
            <w:pPr>
              <w:spacing w:after="0"/>
              <w:rPr>
                <w:sz w:val="13"/>
                <w:szCs w:val="13"/>
                <w:color w:val="auto"/>
              </w:rPr>
            </w:pPr>
          </w:p>
        </w:tc>
        <w:tc>
          <w:tcPr>
            <w:tcW w:w="2000" w:type="dxa"/>
            <w:vAlign w:val="bottom"/>
            <w:tcBorders>
              <w:right w:val="single" w:sz="8" w:color="auto"/>
            </w:tcBorders>
            <w:shd w:val="clear" w:color="auto" w:fill="F2F2F2"/>
          </w:tcPr>
          <w:p>
            <w:pPr>
              <w:spacing w:after="0"/>
              <w:rPr>
                <w:sz w:val="13"/>
                <w:szCs w:val="13"/>
                <w:color w:val="auto"/>
              </w:rPr>
            </w:pPr>
          </w:p>
        </w:tc>
        <w:tc>
          <w:tcPr>
            <w:tcW w:w="1760" w:type="dxa"/>
            <w:vAlign w:val="bottom"/>
            <w:tcBorders>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18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2580" w:type="dxa"/>
            <w:vAlign w:val="bottom"/>
            <w:tcBorders>
              <w:bottom w:val="single" w:sz="8" w:color="auto"/>
              <w:right w:val="single" w:sz="8" w:color="auto"/>
            </w:tcBorders>
            <w:shd w:val="clear" w:color="auto" w:fill="F2F2F2"/>
          </w:tcPr>
          <w:p>
            <w:pPr>
              <w:spacing w:after="0"/>
              <w:rPr>
                <w:sz w:val="8"/>
                <w:szCs w:val="8"/>
                <w:color w:val="auto"/>
              </w:rPr>
            </w:pPr>
          </w:p>
        </w:tc>
        <w:tc>
          <w:tcPr>
            <w:tcW w:w="2000" w:type="dxa"/>
            <w:vAlign w:val="bottom"/>
            <w:tcBorders>
              <w:bottom w:val="single" w:sz="8" w:color="auto"/>
              <w:right w:val="single" w:sz="8" w:color="auto"/>
            </w:tcBorders>
            <w:vMerge w:val="continue"/>
            <w:shd w:val="clear" w:color="auto" w:fill="F2F2F2"/>
          </w:tcPr>
          <w:p>
            <w:pPr>
              <w:spacing w:after="0"/>
              <w:rPr>
                <w:sz w:val="8"/>
                <w:szCs w:val="8"/>
                <w:color w:val="auto"/>
              </w:rPr>
            </w:pPr>
          </w:p>
        </w:tc>
        <w:tc>
          <w:tcPr>
            <w:tcW w:w="1740" w:type="dxa"/>
            <w:vAlign w:val="bottom"/>
            <w:tcBorders>
              <w:bottom w:val="single" w:sz="8" w:color="auto"/>
              <w:right w:val="single" w:sz="8" w:color="auto"/>
            </w:tcBorders>
            <w:shd w:val="clear" w:color="auto" w:fill="F2F2F2"/>
          </w:tcPr>
          <w:p>
            <w:pPr>
              <w:spacing w:after="0"/>
              <w:rPr>
                <w:sz w:val="8"/>
                <w:szCs w:val="8"/>
                <w:color w:val="auto"/>
              </w:rPr>
            </w:pPr>
          </w:p>
        </w:tc>
        <w:tc>
          <w:tcPr>
            <w:tcW w:w="2000" w:type="dxa"/>
            <w:vAlign w:val="bottom"/>
            <w:tcBorders>
              <w:bottom w:val="single" w:sz="8" w:color="auto"/>
              <w:right w:val="single" w:sz="8" w:color="auto"/>
            </w:tcBorders>
            <w:shd w:val="clear" w:color="auto" w:fill="F2F2F2"/>
          </w:tcPr>
          <w:p>
            <w:pPr>
              <w:spacing w:after="0"/>
              <w:rPr>
                <w:sz w:val="8"/>
                <w:szCs w:val="8"/>
                <w:color w:val="auto"/>
              </w:rPr>
            </w:pPr>
          </w:p>
        </w:tc>
        <w:tc>
          <w:tcPr>
            <w:tcW w:w="1760" w:type="dxa"/>
            <w:vAlign w:val="bottom"/>
            <w:tcBorders>
              <w:bottom w:val="single" w:sz="8" w:color="auto"/>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 xml:space="preserve">Less than </w:t>
            </w:r>
            <w:r>
              <w:rPr>
                <w:rFonts w:ascii="Times New Roman" w:cs="Times New Roman" w:eastAsia="Times New Roman" w:hAnsi="Times New Roman"/>
                <w:sz w:val="20"/>
                <w:szCs w:val="20"/>
                <w:color w:val="auto"/>
                <w:w w:val="99"/>
              </w:rPr>
              <w:t>1.00 to 1.00</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+1.50%</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+0.00%</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1.125%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0.25%</w:t>
            </w:r>
          </w:p>
        </w:tc>
        <w:tc>
          <w:tcPr>
            <w:tcW w:w="0" w:type="dxa"/>
            <w:vAlign w:val="bottom"/>
          </w:tcPr>
          <w:p>
            <w:pPr>
              <w:spacing w:after="0"/>
              <w:rPr>
                <w:sz w:val="1"/>
                <w:szCs w:val="1"/>
                <w:color w:val="auto"/>
              </w:rPr>
            </w:pPr>
          </w:p>
        </w:tc>
      </w:tr>
      <w:tr>
        <w:trPr>
          <w:trHeight w:val="62"/>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 xml:space="preserve">Greater than </w:t>
            </w:r>
            <w:r>
              <w:rPr>
                <w:rFonts w:ascii="Times New Roman" w:cs="Times New Roman" w:eastAsia="Times New Roman" w:hAnsi="Times New Roman"/>
                <w:sz w:val="20"/>
                <w:szCs w:val="20"/>
                <w:color w:val="auto"/>
                <w:w w:val="98"/>
              </w:rPr>
              <w:t>or</w:t>
            </w:r>
            <w:r>
              <w:rPr>
                <w:rFonts w:ascii="Times New Roman" w:cs="Times New Roman" w:eastAsia="Times New Roman" w:hAnsi="Times New Roman"/>
                <w:sz w:val="20"/>
                <w:szCs w:val="20"/>
                <w:i w:val="1"/>
                <w:iCs w:val="1"/>
                <w:color w:val="auto"/>
                <w:w w:val="98"/>
              </w:rPr>
              <w:t xml:space="preserve"> equal to </w:t>
            </w:r>
            <w:r>
              <w:rPr>
                <w:rFonts w:ascii="Times New Roman" w:cs="Times New Roman" w:eastAsia="Times New Roman" w:hAnsi="Times New Roman"/>
                <w:sz w:val="20"/>
                <w:szCs w:val="20"/>
                <w:color w:val="auto"/>
                <w:w w:val="98"/>
              </w:rPr>
              <w:t>1.00 to</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+0.25%</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1.125%</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0.30%</w:t>
            </w:r>
          </w:p>
        </w:tc>
        <w:tc>
          <w:tcPr>
            <w:tcW w:w="0" w:type="dxa"/>
            <w:vAlign w:val="bottom"/>
          </w:tcPr>
          <w:p>
            <w:pPr>
              <w:spacing w:after="0"/>
              <w:rPr>
                <w:sz w:val="1"/>
                <w:szCs w:val="1"/>
                <w:color w:val="auto"/>
              </w:rPr>
            </w:pPr>
          </w:p>
        </w:tc>
      </w:tr>
      <w:tr>
        <w:trPr>
          <w:trHeight w:val="154"/>
        </w:trPr>
        <w:tc>
          <w:tcPr>
            <w:tcW w:w="1180" w:type="dxa"/>
            <w:vAlign w:val="bottom"/>
            <w:tcBorders>
              <w:left w:val="single" w:sz="8" w:color="auto"/>
              <w:right w:val="single" w:sz="8" w:color="auto"/>
            </w:tcBorders>
            <w:vMerge w:val="continue"/>
          </w:tcPr>
          <w:p>
            <w:pPr>
              <w:spacing w:after="0"/>
              <w:rPr>
                <w:sz w:val="13"/>
                <w:szCs w:val="13"/>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 xml:space="preserve">1.00, but </w:t>
            </w:r>
            <w:r>
              <w:rPr>
                <w:rFonts w:ascii="Times New Roman" w:cs="Times New Roman" w:eastAsia="Times New Roman" w:hAnsi="Times New Roman"/>
                <w:sz w:val="20"/>
                <w:szCs w:val="20"/>
                <w:i w:val="1"/>
                <w:iCs w:val="1"/>
                <w:color w:val="auto"/>
                <w:w w:val="98"/>
              </w:rPr>
              <w:t>less than</w:t>
            </w:r>
            <w:r>
              <w:rPr>
                <w:rFonts w:ascii="Times New Roman" w:cs="Times New Roman" w:eastAsia="Times New Roman" w:hAnsi="Times New Roman"/>
                <w:sz w:val="20"/>
                <w:szCs w:val="20"/>
                <w:color w:val="auto"/>
                <w:w w:val="98"/>
              </w:rPr>
              <w:t xml:space="preserve"> 2.00 to 1.00</w:t>
            </w:r>
          </w:p>
        </w:tc>
        <w:tc>
          <w:tcPr>
            <w:tcW w:w="200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continue"/>
          </w:tcPr>
          <w:p>
            <w:pPr>
              <w:spacing w:after="0"/>
              <w:rPr>
                <w:sz w:val="13"/>
                <w:szCs w:val="13"/>
                <w:color w:val="auto"/>
              </w:rPr>
            </w:pPr>
          </w:p>
        </w:tc>
        <w:tc>
          <w:tcPr>
            <w:tcW w:w="17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 xml:space="preserve">Greater than </w:t>
            </w:r>
            <w:r>
              <w:rPr>
                <w:rFonts w:ascii="Times New Roman" w:cs="Times New Roman" w:eastAsia="Times New Roman" w:hAnsi="Times New Roman"/>
                <w:sz w:val="20"/>
                <w:szCs w:val="20"/>
                <w:color w:val="auto"/>
                <w:w w:val="98"/>
              </w:rPr>
              <w:t>or</w:t>
            </w:r>
            <w:r>
              <w:rPr>
                <w:rFonts w:ascii="Times New Roman" w:cs="Times New Roman" w:eastAsia="Times New Roman" w:hAnsi="Times New Roman"/>
                <w:sz w:val="20"/>
                <w:szCs w:val="20"/>
                <w:i w:val="1"/>
                <w:iCs w:val="1"/>
                <w:color w:val="auto"/>
                <w:w w:val="98"/>
              </w:rPr>
              <w:t xml:space="preserve"> equal to </w:t>
            </w:r>
            <w:r>
              <w:rPr>
                <w:rFonts w:ascii="Times New Roman" w:cs="Times New Roman" w:eastAsia="Times New Roman" w:hAnsi="Times New Roman"/>
                <w:sz w:val="20"/>
                <w:szCs w:val="20"/>
                <w:color w:val="auto"/>
                <w:w w:val="98"/>
              </w:rPr>
              <w:t>2.00 to</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+0.50%</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1.125%</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0.35%</w:t>
            </w:r>
          </w:p>
        </w:tc>
        <w:tc>
          <w:tcPr>
            <w:tcW w:w="0" w:type="dxa"/>
            <w:vAlign w:val="bottom"/>
          </w:tcPr>
          <w:p>
            <w:pPr>
              <w:spacing w:after="0"/>
              <w:rPr>
                <w:sz w:val="1"/>
                <w:szCs w:val="1"/>
                <w:color w:val="auto"/>
              </w:rPr>
            </w:pPr>
          </w:p>
        </w:tc>
      </w:tr>
      <w:tr>
        <w:trPr>
          <w:trHeight w:val="150"/>
        </w:trPr>
        <w:tc>
          <w:tcPr>
            <w:tcW w:w="1180" w:type="dxa"/>
            <w:vAlign w:val="bottom"/>
            <w:tcBorders>
              <w:left w:val="single" w:sz="8" w:color="auto"/>
              <w:right w:val="single" w:sz="8" w:color="auto"/>
            </w:tcBorders>
            <w:vMerge w:val="continue"/>
          </w:tcPr>
          <w:p>
            <w:pPr>
              <w:spacing w:after="0"/>
              <w:rPr>
                <w:sz w:val="13"/>
                <w:szCs w:val="13"/>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2000" w:type="dxa"/>
            <w:vAlign w:val="bottom"/>
            <w:tcBorders>
              <w:right w:val="single" w:sz="8" w:color="auto"/>
            </w:tcBorders>
            <w:vMerge w:val="continue"/>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continue"/>
          </w:tcPr>
          <w:p>
            <w:pPr>
              <w:spacing w:after="0"/>
              <w:rPr>
                <w:sz w:val="13"/>
                <w:szCs w:val="13"/>
                <w:color w:val="auto"/>
              </w:rPr>
            </w:pPr>
          </w:p>
        </w:tc>
        <w:tc>
          <w:tcPr>
            <w:tcW w:w="17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left="20"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b w:val="1"/>
          <w:bCs w:val="1"/>
          <w:i w:val="1"/>
          <w:iCs w:val="1"/>
          <w:color w:val="auto"/>
        </w:rPr>
        <w:t>Section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p>
    <w:p>
      <w:pPr>
        <w:ind w:left="20"/>
        <w:spacing w:after="0" w:line="212" w:lineRule="auto"/>
        <w:rPr>
          <w:sz w:val="20"/>
          <w:szCs w:val="20"/>
          <w:color w:val="auto"/>
        </w:rPr>
      </w:pP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 Compliance Certificate is not delivered when due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Section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then, upon the request of the</w:t>
      </w:r>
    </w:p>
    <w:p>
      <w:pPr>
        <w:spacing w:after="0" w:line="1" w:lineRule="exact"/>
        <w:rPr>
          <w:sz w:val="20"/>
          <w:szCs w:val="20"/>
          <w:color w:val="auto"/>
        </w:rPr>
      </w:pPr>
    </w:p>
    <w:p>
      <w:pPr>
        <w:jc w:val="both"/>
        <w:ind w:left="20" w:right="20"/>
        <w:spacing w:after="0" w:line="221" w:lineRule="auto"/>
        <w:rPr>
          <w:sz w:val="20"/>
          <w:szCs w:val="20"/>
          <w:color w:val="auto"/>
        </w:rPr>
      </w:pPr>
      <w:r>
        <w:rPr>
          <w:rFonts w:ascii="Times New Roman" w:cs="Times New Roman" w:eastAsia="Times New Roman" w:hAnsi="Times New Roman"/>
          <w:sz w:val="20"/>
          <w:szCs w:val="20"/>
          <w:color w:val="auto"/>
        </w:rPr>
        <w:t>Required Lenders, Pricing Level 3 in the table above shall apply, in each case as of the first Business Day after the date on which such Compliance Certificate was required to have been delivered and in each case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60"/>
          </w:cols>
          <w:pgMar w:left="320" w:top="96"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shall remain in effect until the first Business Day following the date on which such Compliance Certificate is delivered. In addition, at all times while the Default Rate is in effect, the highest rate set forth in each column in the table above of the Applicable Rate shall apply.</w:t>
      </w:r>
    </w:p>
    <w:p>
      <w:pPr>
        <w:spacing w:after="0" w:line="175"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(i) the determination of the Applicable Rate for any period shall be subject to the provisions of </w:t>
      </w:r>
      <w:r>
        <w:rPr>
          <w:rFonts w:ascii="Times New Roman" w:cs="Times New Roman" w:eastAsia="Times New Roman" w:hAnsi="Times New Roman"/>
          <w:sz w:val="20"/>
          <w:szCs w:val="20"/>
          <w:b w:val="1"/>
          <w:bCs w:val="1"/>
          <w:i w:val="1"/>
          <w:iCs w:val="1"/>
          <w:color w:val="auto"/>
        </w:rPr>
        <w:t>Section 2.10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and (ii) commencing as of the Third Amendment Effective Date, the Applicable Rate</w:t>
      </w:r>
    </w:p>
    <w:p>
      <w:pPr>
        <w:spacing w:after="0" w:line="1" w:lineRule="exact"/>
        <w:rPr>
          <w:sz w:val="20"/>
          <w:szCs w:val="20"/>
          <w:color w:val="auto"/>
        </w:rPr>
      </w:pPr>
    </w:p>
    <w:p>
      <w:pPr>
        <w:jc w:val="both"/>
        <w:spacing w:after="0" w:line="180" w:lineRule="auto"/>
        <w:rPr>
          <w:sz w:val="20"/>
          <w:szCs w:val="20"/>
          <w:color w:val="auto"/>
        </w:rPr>
      </w:pPr>
      <w:r>
        <w:rPr>
          <w:rFonts w:ascii="Times New Roman" w:cs="Times New Roman" w:eastAsia="Times New Roman" w:hAnsi="Times New Roman"/>
          <w:sz w:val="18"/>
          <w:szCs w:val="18"/>
          <w:color w:val="auto"/>
        </w:rPr>
        <w:t>shall be set at Pricing Level 1 in the table above until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Business Day immediately following the date a Compliance Certificate is delivered to the Administrative Agent pursuant to </w:t>
      </w:r>
      <w:r>
        <w:rPr>
          <w:rFonts w:ascii="Times New Roman" w:cs="Times New Roman" w:eastAsia="Times New Roman" w:hAnsi="Times New Roman"/>
          <w:sz w:val="18"/>
          <w:szCs w:val="18"/>
          <w:b w:val="1"/>
          <w:bCs w:val="1"/>
          <w:i w:val="1"/>
          <w:iCs w:val="1"/>
          <w:color w:val="auto"/>
        </w:rPr>
        <w:t>Section 6.02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color w:val="auto"/>
        </w:rPr>
        <w:t>) for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fiscal quarter ending after the Third Amendment Effective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Date. Any adjustment in the Applicable Rate shall be applicable to all Credit Extensions then existing (other than outstanding Letters of Credit) or subsequently made or issued.</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Revolving Percentage</w:t>
      </w:r>
      <w:r>
        <w:rPr>
          <w:rFonts w:ascii="Times New Roman" w:cs="Times New Roman" w:eastAsia="Times New Roman" w:hAnsi="Times New Roman"/>
          <w:sz w:val="20"/>
          <w:szCs w:val="20"/>
          <w:color w:val="auto"/>
        </w:rPr>
        <w:t>” means with respect to any Lender at any time, such Lender’s Applicable Percentage in respect of the Revolving Facility at such time.</w:t>
      </w:r>
    </w:p>
    <w:p>
      <w:pPr>
        <w:spacing w:after="0" w:line="17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necessary for timely settlement on the relevant date in accordance with normal banking procedures in the place of payment.</w:t>
      </w:r>
    </w:p>
    <w:p>
      <w:pPr>
        <w:spacing w:after="0" w:line="19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Appropriate Lender</w:t>
      </w:r>
      <w:r>
        <w:rPr>
          <w:rFonts w:ascii="Times New Roman" w:cs="Times New Roman" w:eastAsia="Times New Roman" w:hAnsi="Times New Roman"/>
          <w:sz w:val="19"/>
          <w:szCs w:val="19"/>
          <w:color w:val="auto"/>
        </w:rPr>
        <w:t>” means, at any time, (a) with respect to the Revolving Facility, a Lender that has a Commitment with respect to such Revolving Facility or holds a Loan under such Revolving Facility at such time, (b) with respect to the Letter of Credit Sublimit, (i)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L/C Issuer and (ii) if any Letters of Credit have been issued pursuant to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the Lenders and (c) with respect to the Swingline Sublimit, (i) the Swingline Lender and (ii) if any Swingline Loans are outstanding pursuant to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the Lenders.</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Arranger</w:t>
      </w:r>
      <w:r>
        <w:rPr>
          <w:rFonts w:ascii="Times New Roman" w:cs="Times New Roman" w:eastAsia="Times New Roman" w:hAnsi="Times New Roman"/>
          <w:sz w:val="20"/>
          <w:szCs w:val="20"/>
          <w:color w:val="auto"/>
        </w:rPr>
        <w:t>” means BofA Securities, Inc., in its capacity as sole lead arranger and sole bookrunner.</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Assignment and Assumption</w:t>
      </w:r>
      <w:r>
        <w:rPr>
          <w:rFonts w:ascii="Times New Roman" w:cs="Times New Roman" w:eastAsia="Times New Roman" w:hAnsi="Times New Roman"/>
          <w:sz w:val="20"/>
          <w:szCs w:val="20"/>
          <w:color w:val="auto"/>
        </w:rPr>
        <w:t>” means an assignment and assumption entered into by a Lender and an Eligible Assignee (with the</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consent of any party whose consent is required by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b w:val="1"/>
          <w:bCs w:val="1"/>
          <w:i w:val="1"/>
          <w:iCs w:val="1"/>
          <w:color w:val="auto"/>
        </w:rPr>
        <w:t xml:space="preserve">Exhibit B </w:t>
      </w:r>
      <w:r>
        <w:rPr>
          <w:rFonts w:ascii="Times New Roman" w:cs="Times New Roman" w:eastAsia="Times New Roman" w:hAnsi="Times New Roman"/>
          <w:sz w:val="20"/>
          <w:szCs w:val="20"/>
          <w:color w:val="auto"/>
        </w:rPr>
        <w:t>or any other form (including an electronic documentation form generated by use of an electronic platform) approved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19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Attributable Indebtedness</w:t>
      </w:r>
      <w:r>
        <w:rPr>
          <w:rFonts w:ascii="Times New Roman" w:cs="Times New Roman" w:eastAsia="Times New Roman" w:hAnsi="Times New Roman"/>
          <w:sz w:val="19"/>
          <w:szCs w:val="19"/>
          <w:color w:val="auto"/>
        </w:rPr>
        <w:t>” means, on any date, (a) in respect of any Financing Lease of any Person, the capitalized amount thereof that would appear on a balance sheet of such Person prepared as of such date in accordance with GAAP, and (b) in respect of any Synthetic</w:t>
      </w:r>
    </w:p>
    <w:p>
      <w:pPr>
        <w:spacing w:after="0" w:line="223" w:lineRule="auto"/>
        <w:rPr>
          <w:sz w:val="20"/>
          <w:szCs w:val="20"/>
          <w:color w:val="auto"/>
        </w:rPr>
      </w:pPr>
      <w:r>
        <w:rPr>
          <w:rFonts w:ascii="Times New Roman" w:cs="Times New Roman" w:eastAsia="Times New Roman" w:hAnsi="Times New Roman"/>
          <w:sz w:val="19"/>
          <w:szCs w:val="19"/>
          <w:color w:val="auto"/>
        </w:rPr>
        <w:t>Lease Obligation, the capitalized amount of the remaining lease or similar payments under the relevant lease or other applicable agreement or</w:t>
      </w:r>
    </w:p>
    <w:p>
      <w:pPr>
        <w:jc w:val="both"/>
        <w:spacing w:after="0" w:line="204" w:lineRule="auto"/>
        <w:rPr>
          <w:sz w:val="20"/>
          <w:szCs w:val="20"/>
          <w:color w:val="auto"/>
        </w:rPr>
      </w:pPr>
      <w:r>
        <w:rPr>
          <w:rFonts w:ascii="Times New Roman" w:cs="Times New Roman" w:eastAsia="Times New Roman" w:hAnsi="Times New Roman"/>
          <w:sz w:val="20"/>
          <w:szCs w:val="20"/>
          <w:color w:val="auto"/>
        </w:rPr>
        <w:t>instrument that would appear on a balance sheet of such Person prepared as of such date in accordance with GAAP if such lease or other agreement or instrument were accounted for as a Financing Lease, (c) all Synthetic Debt of such Person, and (d) in respect of any Sale and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Leaseback Transaction, the present value (discounted in accordance with GAAP at the debt rate implied in the applicable lease) of the obligations of the lessee for rental payments during the term of such lease.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Audited Financial Statements</w:t>
      </w:r>
      <w:r>
        <w:rPr>
          <w:rFonts w:ascii="Times New Roman" w:cs="Times New Roman" w:eastAsia="Times New Roman" w:hAnsi="Times New Roman"/>
          <w:sz w:val="20"/>
          <w:szCs w:val="20"/>
          <w:color w:val="auto"/>
        </w:rPr>
        <w:t>” means the audited Consolidated balance sheet of the Borrower and its Subsidiaries for the fiscal</w:t>
      </w:r>
    </w:p>
    <w:p>
      <w:pPr>
        <w:ind w:left="6" w:right="20"/>
        <w:spacing w:after="0" w:line="221" w:lineRule="auto"/>
        <w:rPr>
          <w:sz w:val="20"/>
          <w:szCs w:val="20"/>
          <w:color w:val="auto"/>
        </w:rPr>
      </w:pPr>
      <w:r>
        <w:rPr>
          <w:rFonts w:ascii="Times New Roman" w:cs="Times New Roman" w:eastAsia="Times New Roman" w:hAnsi="Times New Roman"/>
          <w:sz w:val="20"/>
          <w:szCs w:val="20"/>
          <w:color w:val="auto"/>
        </w:rPr>
        <w:t>year ended September 30, 2018, and the related Consolidated statements of income or operations, Shareholders’ Equity and cash flows for such fiscal year of the Borrower and its Subsidiaries, including the notes thereto.</w:t>
      </w:r>
    </w:p>
    <w:p>
      <w:pPr>
        <w:spacing w:after="0" w:line="185" w:lineRule="exact"/>
        <w:rPr>
          <w:sz w:val="20"/>
          <w:szCs w:val="20"/>
          <w:color w:val="auto"/>
        </w:rPr>
      </w:pPr>
    </w:p>
    <w:p>
      <w:pPr>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Authorization to Share Insurance Information</w:t>
      </w:r>
      <w:r>
        <w:rPr>
          <w:rFonts w:ascii="Times New Roman" w:cs="Times New Roman" w:eastAsia="Times New Roman" w:hAnsi="Times New Roman"/>
          <w:sz w:val="20"/>
          <w:szCs w:val="20"/>
          <w:color w:val="auto"/>
        </w:rPr>
        <w:t xml:space="preserve">” means the authorization substantially in the form of </w:t>
      </w:r>
      <w:r>
        <w:rPr>
          <w:rFonts w:ascii="Times New Roman" w:cs="Times New Roman" w:eastAsia="Times New Roman" w:hAnsi="Times New Roman"/>
          <w:sz w:val="20"/>
          <w:szCs w:val="20"/>
          <w:b w:val="1"/>
          <w:bCs w:val="1"/>
          <w:i w:val="1"/>
          <w:iCs w:val="1"/>
          <w:color w:val="auto"/>
        </w:rPr>
        <w:t>Exhibit Q</w:t>
      </w:r>
      <w:r>
        <w:rPr>
          <w:rFonts w:ascii="Times New Roman" w:cs="Times New Roman" w:eastAsia="Times New Roman" w:hAnsi="Times New Roman"/>
          <w:sz w:val="20"/>
          <w:szCs w:val="20"/>
          <w:color w:val="auto"/>
        </w:rPr>
        <w:t xml:space="preserve"> (or such other form as required by each of the Loan Party’s insurance companies).</w:t>
      </w:r>
    </w:p>
    <w:p>
      <w:pPr>
        <w:spacing w:after="0" w:line="16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Extension Letter of Credit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Availability Period</w:t>
      </w:r>
      <w:r>
        <w:rPr>
          <w:rFonts w:ascii="Times New Roman" w:cs="Times New Roman" w:eastAsia="Times New Roman" w:hAnsi="Times New Roman"/>
          <w:sz w:val="20"/>
          <w:szCs w:val="20"/>
          <w:color w:val="auto"/>
        </w:rPr>
        <w:t xml:space="preserve">” means in respect of the Revolving Facility, the period from and including the Closing Date to the </w:t>
      </w:r>
      <w:r>
        <w:rPr>
          <w:rFonts w:ascii="Times New Roman" w:cs="Times New Roman" w:eastAsia="Times New Roman" w:hAnsi="Times New Roman"/>
          <w:sz w:val="20"/>
          <w:szCs w:val="20"/>
          <w:i w:val="1"/>
          <w:iCs w:val="1"/>
          <w:color w:val="auto"/>
        </w:rPr>
        <w:t>earliest</w:t>
      </w:r>
      <w:r>
        <w:rPr>
          <w:rFonts w:ascii="Times New Roman" w:cs="Times New Roman" w:eastAsia="Times New Roman" w:hAnsi="Times New Roman"/>
          <w:sz w:val="20"/>
          <w:szCs w:val="20"/>
          <w:color w:val="auto"/>
        </w:rPr>
        <w:t xml:space="preserve"> of</w:t>
      </w:r>
    </w:p>
    <w:p>
      <w:pPr>
        <w:ind w:left="286" w:hanging="286"/>
        <w:spacing w:after="0" w:line="197" w:lineRule="auto"/>
        <w:tabs>
          <w:tab w:leader="none" w:pos="28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Maturity Date for the Revolving Facility, (b) the date of termination of the Revolving Commitments pursuant to </w:t>
      </w:r>
      <w:r>
        <w:rPr>
          <w:rFonts w:ascii="Times New Roman" w:cs="Times New Roman" w:eastAsia="Times New Roman" w:hAnsi="Times New Roman"/>
          <w:sz w:val="20"/>
          <w:szCs w:val="20"/>
          <w:b w:val="1"/>
          <w:bCs w:val="1"/>
          <w:i w:val="1"/>
          <w:iCs w:val="1"/>
          <w:color w:val="auto"/>
        </w:rPr>
        <w:t>Section 2.06</w:t>
      </w:r>
      <w:r>
        <w:rPr>
          <w:rFonts w:ascii="Times New Roman" w:cs="Times New Roman" w:eastAsia="Times New Roman" w:hAnsi="Times New Roman"/>
          <w:sz w:val="20"/>
          <w:szCs w:val="20"/>
          <w:color w:val="auto"/>
        </w:rPr>
        <w:t>, and</w:t>
      </w:r>
    </w:p>
    <w:p>
      <w:pPr>
        <w:ind w:left="6" w:right="20" w:hanging="6"/>
        <w:spacing w:after="0" w:line="228" w:lineRule="auto"/>
        <w:tabs>
          <w:tab w:leader="none" w:pos="27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of termination of the Commitment of each Lender to make Revolving Loans and of the obligation of the L/C Issuer to make L/C Credit Extensions pursuant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8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Bail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 Legislation</w:t>
      </w:r>
      <w:r>
        <w:rPr>
          <w:rFonts w:ascii="Times New Roman" w:cs="Times New Roman" w:eastAsia="Times New Roman" w:hAnsi="Times New Roman"/>
          <w:sz w:val="19"/>
          <w:szCs w:val="19"/>
          <w:color w:val="auto"/>
        </w:rPr>
        <w:t xml:space="preserve">” means, (a) with respect to any EEA Member Country implementing </w:t>
      </w:r>
      <w:r>
        <w:rPr>
          <w:rFonts w:ascii="Times New Roman" w:cs="Times New Roman" w:eastAsia="Times New Roman" w:hAnsi="Times New Roman"/>
          <w:sz w:val="19"/>
          <w:szCs w:val="19"/>
          <w:i w:val="1"/>
          <w:iCs w:val="1"/>
          <w:color w:val="auto"/>
        </w:rPr>
        <w:t>Article 55</w:t>
      </w:r>
      <w:r>
        <w:rPr>
          <w:rFonts w:ascii="Times New Roman" w:cs="Times New Roman" w:eastAsia="Times New Roman" w:hAnsi="Times New Roman"/>
          <w:sz w:val="19"/>
          <w:szCs w:val="19"/>
          <w:color w:val="auto"/>
        </w:rPr>
        <w:t xml:space="preserve"> of Directive 2014/59/EU of the</w:t>
      </w:r>
    </w:p>
    <w:p>
      <w:pPr>
        <w:spacing w:after="0" w:line="10" w:lineRule="exact"/>
        <w:rPr>
          <w:sz w:val="20"/>
          <w:szCs w:val="20"/>
          <w:color w:val="auto"/>
        </w:rPr>
      </w:pPr>
    </w:p>
    <w:p>
      <w:pPr>
        <w:ind w:left="6"/>
        <w:spacing w:after="0" w:line="215" w:lineRule="auto"/>
        <w:rPr>
          <w:sz w:val="20"/>
          <w:szCs w:val="20"/>
          <w:color w:val="auto"/>
        </w:rPr>
      </w:pPr>
      <w:r>
        <w:rPr>
          <w:rFonts w:ascii="Times New Roman" w:cs="Times New Roman" w:eastAsia="Times New Roman" w:hAnsi="Times New Roman"/>
          <w:sz w:val="19"/>
          <w:szCs w:val="19"/>
          <w:color w:val="auto"/>
        </w:rPr>
        <w:t xml:space="preserve">European Parliament and of the Council of the European Union, the implementing law, rule, regulation or requirement for such EEA Member Country from time to time which is described in the EU Bail-In Legislation Schedule, and (b) with respect to the United Kingdom, </w:t>
      </w:r>
      <w:r>
        <w:rPr>
          <w:rFonts w:ascii="Times New Roman" w:cs="Times New Roman" w:eastAsia="Times New Roman" w:hAnsi="Times New Roman"/>
          <w:sz w:val="19"/>
          <w:szCs w:val="19"/>
          <w:i w:val="1"/>
          <w:iCs w:val="1"/>
          <w:color w:val="auto"/>
        </w:rPr>
        <w:t>Part I</w:t>
      </w:r>
      <w:r>
        <w:rPr>
          <w:rFonts w:ascii="Times New Roman" w:cs="Times New Roman" w:eastAsia="Times New Roman" w:hAnsi="Times New Roman"/>
          <w:sz w:val="19"/>
          <w:szCs w:val="19"/>
          <w:color w:val="auto"/>
        </w:rPr>
        <w:t xml:space="preserve"> of</w:t>
      </w:r>
    </w:p>
    <w:p>
      <w:pPr>
        <w:ind w:left="6"/>
        <w:spacing w:after="0" w:line="211" w:lineRule="auto"/>
        <w:rPr>
          <w:sz w:val="20"/>
          <w:szCs w:val="20"/>
          <w:color w:val="auto"/>
        </w:rPr>
      </w:pPr>
      <w:r>
        <w:rPr>
          <w:rFonts w:ascii="Times New Roman" w:cs="Times New Roman" w:eastAsia="Times New Roman" w:hAnsi="Times New Roman"/>
          <w:sz w:val="20"/>
          <w:szCs w:val="20"/>
          <w:color w:val="auto"/>
        </w:rPr>
        <w:t>the United Kingdom Banking Act 2009 (as amended from time to time) and any other law, regulation or rule applicable in the United</w:t>
      </w:r>
    </w:p>
    <w:p>
      <w:pPr>
        <w:ind w:left="6"/>
        <w:spacing w:after="0" w:line="221" w:lineRule="auto"/>
        <w:rPr>
          <w:sz w:val="20"/>
          <w:szCs w:val="20"/>
          <w:color w:val="auto"/>
        </w:rPr>
      </w:pPr>
      <w:r>
        <w:rPr>
          <w:rFonts w:ascii="Times New Roman" w:cs="Times New Roman" w:eastAsia="Times New Roman" w:hAnsi="Times New Roman"/>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8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02"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Rate</w:t>
      </w:r>
      <w:r>
        <w:rPr>
          <w:rFonts w:ascii="Times New Roman" w:cs="Times New Roman" w:eastAsia="Times New Roman" w:hAnsi="Times New Roman"/>
          <w:sz w:val="19"/>
          <w:szCs w:val="19"/>
          <w:color w:val="auto"/>
        </w:rPr>
        <w:t xml:space="preserve">” means for any day a fluctuating rate of interest per annum equal to the </w:t>
      </w:r>
      <w:r>
        <w:rPr>
          <w:rFonts w:ascii="Times New Roman" w:cs="Times New Roman" w:eastAsia="Times New Roman" w:hAnsi="Times New Roman"/>
          <w:sz w:val="19"/>
          <w:szCs w:val="19"/>
          <w:i w:val="1"/>
          <w:iCs w:val="1"/>
          <w:color w:val="auto"/>
        </w:rPr>
        <w:t>highest</w:t>
      </w:r>
      <w:r>
        <w:rPr>
          <w:rFonts w:ascii="Times New Roman" w:cs="Times New Roman" w:eastAsia="Times New Roman" w:hAnsi="Times New Roman"/>
          <w:sz w:val="19"/>
          <w:szCs w:val="19"/>
          <w:color w:val="auto"/>
        </w:rPr>
        <w:t xml:space="preserve"> of (a) the Federal Funds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0.50%,</w:t>
      </w:r>
    </w:p>
    <w:p>
      <w:pPr>
        <w:spacing w:after="0" w:line="10" w:lineRule="exact"/>
        <w:rPr>
          <w:sz w:val="20"/>
          <w:szCs w:val="20"/>
          <w:color w:val="auto"/>
        </w:rPr>
      </w:pPr>
    </w:p>
    <w:p>
      <w:pPr>
        <w:jc w:val="both"/>
        <w:ind w:left="6" w:hanging="6"/>
        <w:spacing w:after="0" w:line="212" w:lineRule="auto"/>
        <w:tabs>
          <w:tab w:leader="none" w:pos="30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rate of interest in effect for such day as publicly announced from time to time by Bank of America as its “prime rate,” and (c) the BSBY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1.00%, subject to the interest rate floors set forth therein;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if the Base Rate shall be </w:t>
      </w:r>
      <w:r>
        <w:rPr>
          <w:rFonts w:ascii="Times New Roman" w:cs="Times New Roman" w:eastAsia="Times New Roman" w:hAnsi="Times New Roman"/>
          <w:sz w:val="20"/>
          <w:szCs w:val="20"/>
          <w:i w:val="1"/>
          <w:iCs w:val="1"/>
          <w:color w:val="auto"/>
        </w:rPr>
        <w:t>less than</w:t>
      </w:r>
      <w:r>
        <w:rPr>
          <w:rFonts w:ascii="Times New Roman" w:cs="Times New Roman" w:eastAsia="Times New Roman" w:hAnsi="Times New Roman"/>
          <w:sz w:val="20"/>
          <w:szCs w:val="20"/>
          <w:color w:val="auto"/>
        </w:rPr>
        <w:t xml:space="preserve"> zero percent (0.0%) per annum, then such rate shall be deemed to equal zero percent (0.0%) per annum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b w:val="1"/>
          <w:bCs w:val="1"/>
          <w:i w:val="1"/>
          <w:iCs w:val="1"/>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b w:val="1"/>
          <w:bCs w:val="1"/>
          <w:i w:val="1"/>
          <w:i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above.</w:t>
      </w:r>
    </w:p>
    <w:p>
      <w:pPr>
        <w:spacing w:after="0" w:line="171"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Rate Loan</w:t>
      </w:r>
      <w:r>
        <w:rPr>
          <w:rFonts w:ascii="Times New Roman" w:cs="Times New Roman" w:eastAsia="Times New Roman" w:hAnsi="Times New Roman"/>
          <w:sz w:val="19"/>
          <w:szCs w:val="19"/>
          <w:color w:val="auto"/>
        </w:rPr>
        <w:t>” means a Revolving Loan that bears interest based on the Base Rate. All Base Rate Loans shall be denominated in</w:t>
      </w:r>
    </w:p>
    <w:p>
      <w:pPr>
        <w:spacing w:after="0" w:line="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Dollars.</w:t>
      </w:r>
    </w:p>
    <w:p>
      <w:pPr>
        <w:spacing w:after="0" w:line="190" w:lineRule="exact"/>
        <w:rPr>
          <w:sz w:val="20"/>
          <w:szCs w:val="20"/>
          <w:color w:val="auto"/>
        </w:rPr>
      </w:pPr>
    </w:p>
    <w:p>
      <w:pPr>
        <w:ind w:left="6"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8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Regulation</w:t>
      </w:r>
      <w:r>
        <w:rPr>
          <w:rFonts w:ascii="Times New Roman" w:cs="Times New Roman" w:eastAsia="Times New Roman" w:hAnsi="Times New Roman"/>
          <w:sz w:val="20"/>
          <w:szCs w:val="20"/>
          <w:color w:val="auto"/>
        </w:rPr>
        <w:t>” means 31 C.F.R.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Benefit Plan</w:t>
      </w:r>
      <w:r>
        <w:rPr>
          <w:rFonts w:ascii="Times New Roman" w:cs="Times New Roman" w:eastAsia="Times New Roman" w:hAnsi="Times New Roman"/>
          <w:sz w:val="19"/>
          <w:szCs w:val="19"/>
          <w:color w:val="auto"/>
        </w:rPr>
        <w:t>” means any of (a) an “</w:t>
      </w:r>
      <w:r>
        <w:rPr>
          <w:rFonts w:ascii="Times New Roman" w:cs="Times New Roman" w:eastAsia="Times New Roman" w:hAnsi="Times New Roman"/>
          <w:sz w:val="19"/>
          <w:szCs w:val="19"/>
          <w:i w:val="1"/>
          <w:iCs w:val="1"/>
          <w:color w:val="auto"/>
        </w:rPr>
        <w:t>employee benefit plan</w:t>
      </w:r>
      <w:r>
        <w:rPr>
          <w:rFonts w:ascii="Times New Roman" w:cs="Times New Roman" w:eastAsia="Times New Roman" w:hAnsi="Times New Roman"/>
          <w:sz w:val="19"/>
          <w:szCs w:val="19"/>
          <w:color w:val="auto"/>
        </w:rPr>
        <w:t xml:space="preserve">” (as defined in ERISA) that is subject to </w:t>
      </w:r>
      <w:r>
        <w:rPr>
          <w:rFonts w:ascii="Times New Roman" w:cs="Times New Roman" w:eastAsia="Times New Roman" w:hAnsi="Times New Roman"/>
          <w:sz w:val="19"/>
          <w:szCs w:val="19"/>
          <w:i w:val="1"/>
          <w:iCs w:val="1"/>
          <w:color w:val="auto"/>
        </w:rPr>
        <w:t>Title I</w:t>
      </w:r>
      <w:r>
        <w:rPr>
          <w:rFonts w:ascii="Times New Roman" w:cs="Times New Roman" w:eastAsia="Times New Roman" w:hAnsi="Times New Roman"/>
          <w:sz w:val="19"/>
          <w:szCs w:val="19"/>
          <w:color w:val="auto"/>
        </w:rPr>
        <w:t xml:space="preserve"> of ERISA, (b) a “</w:t>
      </w:r>
      <w:r>
        <w:rPr>
          <w:rFonts w:ascii="Times New Roman" w:cs="Times New Roman" w:eastAsia="Times New Roman" w:hAnsi="Times New Roman"/>
          <w:sz w:val="19"/>
          <w:szCs w:val="19"/>
          <w:i w:val="1"/>
          <w:iCs w:val="1"/>
          <w:color w:val="auto"/>
        </w:rPr>
        <w:t>plan</w:t>
      </w:r>
      <w:r>
        <w:rPr>
          <w:rFonts w:ascii="Times New Roman" w:cs="Times New Roman" w:eastAsia="Times New Roman" w:hAnsi="Times New Roman"/>
          <w:sz w:val="19"/>
          <w:szCs w:val="19"/>
          <w:color w:val="auto"/>
        </w:rPr>
        <w:t>” as</w:t>
      </w:r>
    </w:p>
    <w:p>
      <w:pPr>
        <w:spacing w:after="0" w:line="10" w:lineRule="exact"/>
        <w:rPr>
          <w:sz w:val="20"/>
          <w:szCs w:val="20"/>
          <w:color w:val="auto"/>
        </w:rPr>
      </w:pPr>
    </w:p>
    <w:p>
      <w:pPr>
        <w:ind w:left="20"/>
        <w:spacing w:after="0" w:line="221" w:lineRule="auto"/>
        <w:rPr>
          <w:sz w:val="20"/>
          <w:szCs w:val="20"/>
          <w:color w:val="auto"/>
        </w:rPr>
      </w:pPr>
      <w:r>
        <w:rPr>
          <w:rFonts w:ascii="Times New Roman" w:cs="Times New Roman" w:eastAsia="Times New Roman" w:hAnsi="Times New Roman"/>
          <w:sz w:val="20"/>
          <w:szCs w:val="20"/>
          <w:color w:val="auto"/>
        </w:rPr>
        <w:t xml:space="preserve">defined in and subject to </w:t>
      </w:r>
      <w:r>
        <w:rPr>
          <w:rFonts w:ascii="Times New Roman" w:cs="Times New Roman" w:eastAsia="Times New Roman" w:hAnsi="Times New Roman"/>
          <w:sz w:val="20"/>
          <w:szCs w:val="20"/>
          <w:i w:val="1"/>
          <w:iCs w:val="1"/>
          <w:color w:val="auto"/>
        </w:rPr>
        <w:t>Section 4975</w:t>
      </w:r>
      <w:r>
        <w:rPr>
          <w:rFonts w:ascii="Times New Roman" w:cs="Times New Roman" w:eastAsia="Times New Roman" w:hAnsi="Times New Roman"/>
          <w:sz w:val="20"/>
          <w:szCs w:val="20"/>
          <w:color w:val="auto"/>
        </w:rPr>
        <w:t xml:space="preserve"> of the Code or (c) any Person whose assets include (for purposes of ERISA </w:t>
      </w:r>
      <w:r>
        <w:rPr>
          <w:rFonts w:ascii="Times New Roman" w:cs="Times New Roman" w:eastAsia="Times New Roman" w:hAnsi="Times New Roman"/>
          <w:sz w:val="20"/>
          <w:szCs w:val="20"/>
          <w:i w:val="1"/>
          <w:iCs w:val="1"/>
          <w:color w:val="auto"/>
        </w:rPr>
        <w:t>Section 3(42)</w:t>
      </w:r>
      <w:r>
        <w:rPr>
          <w:rFonts w:ascii="Times New Roman" w:cs="Times New Roman" w:eastAsia="Times New Roman" w:hAnsi="Times New Roman"/>
          <w:sz w:val="20"/>
          <w:szCs w:val="20"/>
          <w:color w:val="auto"/>
        </w:rPr>
        <w:t xml:space="preserve"> or otherwise for purposes of </w:t>
      </w:r>
      <w:r>
        <w:rPr>
          <w:rFonts w:ascii="Times New Roman" w:cs="Times New Roman" w:eastAsia="Times New Roman" w:hAnsi="Times New Roman"/>
          <w:sz w:val="20"/>
          <w:szCs w:val="20"/>
          <w:i w:val="1"/>
          <w:iCs w:val="1"/>
          <w:color w:val="auto"/>
        </w:rPr>
        <w:t>Title I</w:t>
      </w:r>
      <w:r>
        <w:rPr>
          <w:rFonts w:ascii="Times New Roman" w:cs="Times New Roman" w:eastAsia="Times New Roman" w:hAnsi="Times New Roman"/>
          <w:sz w:val="20"/>
          <w:szCs w:val="20"/>
          <w:color w:val="auto"/>
        </w:rPr>
        <w:t xml:space="preserve"> of ERISA or </w:t>
      </w:r>
      <w:r>
        <w:rPr>
          <w:rFonts w:ascii="Times New Roman" w:cs="Times New Roman" w:eastAsia="Times New Roman" w:hAnsi="Times New Roman"/>
          <w:sz w:val="20"/>
          <w:szCs w:val="20"/>
          <w:i w:val="1"/>
          <w:iCs w:val="1"/>
          <w:color w:val="auto"/>
        </w:rPr>
        <w:t>Section 4975</w:t>
      </w:r>
      <w:r>
        <w:rPr>
          <w:rFonts w:ascii="Times New Roman" w:cs="Times New Roman" w:eastAsia="Times New Roman" w:hAnsi="Times New Roman"/>
          <w:sz w:val="20"/>
          <w:szCs w:val="20"/>
          <w:color w:val="auto"/>
        </w:rPr>
        <w:t xml:space="preserve"> of the Code) the assets of any such “employee benefit plan” or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BHC Act Affiliate</w:t>
      </w:r>
      <w:r>
        <w:rPr>
          <w:rFonts w:ascii="Times New Roman" w:cs="Times New Roman" w:eastAsia="Times New Roman" w:hAnsi="Times New Roman"/>
          <w:sz w:val="20"/>
          <w:szCs w:val="20"/>
          <w:color w:val="auto"/>
        </w:rPr>
        <w:t>” of a party means an “</w:t>
      </w:r>
      <w:r>
        <w:rPr>
          <w:rFonts w:ascii="Times New Roman" w:cs="Times New Roman" w:eastAsia="Times New Roman" w:hAnsi="Times New Roman"/>
          <w:sz w:val="20"/>
          <w:szCs w:val="20"/>
          <w:i w:val="1"/>
          <w:iCs w:val="1"/>
          <w:color w:val="auto"/>
        </w:rPr>
        <w:t>affiliate</w:t>
      </w:r>
      <w:r>
        <w:rPr>
          <w:rFonts w:ascii="Times New Roman" w:cs="Times New Roman" w:eastAsia="Times New Roman" w:hAnsi="Times New Roman"/>
          <w:sz w:val="20"/>
          <w:szCs w:val="20"/>
          <w:color w:val="auto"/>
        </w:rPr>
        <w:t>” (as such term is defined under, and interpreted in accordance with, 12 U.S.C.</w:t>
      </w:r>
    </w:p>
    <w:p>
      <w:pPr>
        <w:ind w:left="20"/>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Bloomberg</w:t>
      </w:r>
      <w:r>
        <w:rPr>
          <w:rFonts w:ascii="Times New Roman" w:cs="Times New Roman" w:eastAsia="Times New Roman" w:hAnsi="Times New Roman"/>
          <w:sz w:val="20"/>
          <w:szCs w:val="20"/>
          <w:color w:val="auto"/>
        </w:rPr>
        <w:t>” means Bloomberg Index Services Limited.</w:t>
      </w:r>
    </w:p>
    <w:p>
      <w:pPr>
        <w:spacing w:after="0" w:line="216" w:lineRule="exact"/>
        <w:rPr>
          <w:sz w:val="20"/>
          <w:szCs w:val="20"/>
          <w:color w:val="auto"/>
        </w:rPr>
      </w:pPr>
    </w:p>
    <w:p>
      <w:pPr>
        <w:ind w:lef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Bonds</w:t>
      </w:r>
      <w:r>
        <w:rPr>
          <w:rFonts w:ascii="Times New Roman" w:cs="Times New Roman" w:eastAsia="Times New Roman" w:hAnsi="Times New Roman"/>
          <w:sz w:val="20"/>
          <w:szCs w:val="20"/>
          <w:color w:val="auto"/>
        </w:rPr>
        <w:t>” means the $8,000,000.00 Illinois Development Finance Authority Industrial Development Revenue Bonds (Delta-Unibus, Inc. Project) Series 2001.</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w:t>
      </w:r>
      <w:r>
        <w:rPr>
          <w:rFonts w:ascii="Times New Roman" w:cs="Times New Roman" w:eastAsia="Times New Roman" w:hAnsi="Times New Roman"/>
          <w:sz w:val="20"/>
          <w:szCs w:val="20"/>
          <w:color w:val="auto"/>
        </w:rPr>
        <w:t>” means a Revolving Borrowing or a Swingline Borrowing, as the context may require.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BSBY</w:t>
      </w:r>
      <w:r>
        <w:rPr>
          <w:rFonts w:ascii="Times New Roman" w:cs="Times New Roman" w:eastAsia="Times New Roman" w:hAnsi="Times New Roman"/>
          <w:sz w:val="20"/>
          <w:szCs w:val="20"/>
          <w:color w:val="auto"/>
        </w:rPr>
        <w:t>” means the Bloomberg Short-Term Bank Yield Index rate.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BSBY Rate</w:t>
      </w:r>
      <w:r>
        <w:rPr>
          <w:rFonts w:ascii="Times New Roman" w:cs="Times New Roman" w:eastAsia="Times New Roman" w:hAnsi="Times New Roman"/>
          <w:sz w:val="20"/>
          <w:szCs w:val="20"/>
          <w:color w:val="auto"/>
        </w:rPr>
        <w:t>” means:</w:t>
      </w:r>
    </w:p>
    <w:p>
      <w:pPr>
        <w:jc w:val="both"/>
        <w:ind w:left="660" w:firstLine="644"/>
        <w:spacing w:after="0" w:line="216" w:lineRule="auto"/>
        <w:tabs>
          <w:tab w:leader="none" w:pos="194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BSBY Rate Loan,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BSBY Screen Rate determined two (2) U.S. Government Securities Business Days prior to the commencement of such Interest Period with a term equivalent to such Interest Period;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if the rate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published on such determination date, then BSBY Rate means the BSBY Screen Rate determined on the first U.S. Government Securities Business Day immediately prior thereto; and</w:t>
      </w:r>
    </w:p>
    <w:p>
      <w:pPr>
        <w:spacing w:after="0" w:line="145" w:lineRule="exact"/>
        <w:rPr>
          <w:rFonts w:ascii="Times New Roman" w:cs="Times New Roman" w:eastAsia="Times New Roman" w:hAnsi="Times New Roman"/>
          <w:sz w:val="20"/>
          <w:szCs w:val="20"/>
          <w:color w:val="auto"/>
        </w:rPr>
      </w:pPr>
    </w:p>
    <w:p>
      <w:pPr>
        <w:jc w:val="both"/>
        <w:ind w:left="660" w:firstLine="644"/>
        <w:spacing w:after="0" w:line="223" w:lineRule="auto"/>
        <w:tabs>
          <w:tab w:leader="none" w:pos="19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 Base Rate Loan on any date,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BSBY Screen Rate two U.S. Government Securities Business Days prior to such date with a term of one month commencing that day; provided that if the rate is not published on such determination date, then BSBY Rate means the BSBY Screen Rate on the first U.S. Government Securities Business Day immediately prior thereto;</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provided that </w:t>
      </w:r>
      <w:r>
        <w:rPr>
          <w:rFonts w:ascii="Times New Roman" w:cs="Times New Roman" w:eastAsia="Times New Roman" w:hAnsi="Times New Roman"/>
          <w:sz w:val="20"/>
          <w:szCs w:val="20"/>
          <w:color w:val="auto"/>
        </w:rPr>
        <w:t>if the BSBY Rate determined in accordance with the foregoing provisions of this definition would otherwise be</w:t>
      </w:r>
      <w:r>
        <w:rPr>
          <w:rFonts w:ascii="Times New Roman" w:cs="Times New Roman" w:eastAsia="Times New Roman" w:hAnsi="Times New Roman"/>
          <w:sz w:val="20"/>
          <w:szCs w:val="20"/>
          <w:i w:val="1"/>
          <w:iCs w:val="1"/>
          <w:color w:val="auto"/>
        </w:rPr>
        <w:t xml:space="preserve"> less than </w:t>
      </w:r>
      <w:r>
        <w:rPr>
          <w:rFonts w:ascii="Times New Roman" w:cs="Times New Roman" w:eastAsia="Times New Roman" w:hAnsi="Times New Roman"/>
          <w:sz w:val="20"/>
          <w:szCs w:val="20"/>
          <w:color w:val="auto"/>
        </w:rPr>
        <w:t>zero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percent (0.0%) per annum, then the BSBY Rate shall be deemed to equal zero percent (0.0%) per annum for purposes of this Agreement.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BSBY Rate Loan</w:t>
      </w:r>
      <w:r>
        <w:rPr>
          <w:rFonts w:ascii="Times New Roman" w:cs="Times New Roman" w:eastAsia="Times New Roman" w:hAnsi="Times New Roman"/>
          <w:sz w:val="20"/>
          <w:szCs w:val="20"/>
          <w:color w:val="auto"/>
        </w:rPr>
        <w:t xml:space="preserve">” means a Loan that bears interest at a rate based on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of the definition of BSBY Rate.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BSBY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3.03(b)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BSBY Screen Rate</w:t>
      </w:r>
      <w:r>
        <w:rPr>
          <w:rFonts w:ascii="Times New Roman" w:cs="Times New Roman" w:eastAsia="Times New Roman" w:hAnsi="Times New Roman"/>
          <w:sz w:val="20"/>
          <w:szCs w:val="20"/>
          <w:color w:val="auto"/>
        </w:rPr>
        <w:t>” means the Bloomberg Short-Term Bank Yield Index rate administered by Bloomberg and published on the applicable Reuters screen page (or such other commercially available source providing such quotations as may be designated by the Administrative Agent from time to time).</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BSBY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3.03(b)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Business Day</w:t>
      </w:r>
      <w:r>
        <w:rPr>
          <w:rFonts w:ascii="Times New Roman" w:cs="Times New Roman" w:eastAsia="Times New Roman" w:hAnsi="Times New Roman"/>
          <w:sz w:val="19"/>
          <w:szCs w:val="19"/>
          <w:color w:val="auto"/>
        </w:rPr>
        <w:t>” means any day other than a Saturday, Sunday or other day on which commercial banks are authorized to close under</w:t>
      </w:r>
    </w:p>
    <w:p>
      <w:pPr>
        <w:spacing w:after="0" w:line="10" w:lineRule="exact"/>
        <w:rPr>
          <w:sz w:val="20"/>
          <w:szCs w:val="20"/>
          <w:color w:val="auto"/>
        </w:rPr>
      </w:pPr>
    </w:p>
    <w:p>
      <w:pPr>
        <w:ind w:left="6"/>
        <w:spacing w:after="0" w:line="221" w:lineRule="auto"/>
        <w:rPr>
          <w:sz w:val="20"/>
          <w:szCs w:val="20"/>
          <w:color w:val="auto"/>
        </w:rPr>
      </w:pPr>
      <w:r>
        <w:rPr>
          <w:rFonts w:ascii="Times New Roman" w:cs="Times New Roman" w:eastAsia="Times New Roman" w:hAnsi="Times New Roman"/>
          <w:sz w:val="20"/>
          <w:szCs w:val="20"/>
          <w:color w:val="auto"/>
        </w:rPr>
        <w:t xml:space="preserve">the Laws of, or are in fact closed in, either the state where the Administrative Agent’s Office is located or, if such date relates to a BSBY Rate Loan, New York City,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46" w:firstLine="644"/>
        <w:spacing w:after="0" w:line="222" w:lineRule="auto"/>
        <w:tabs>
          <w:tab w:leader="none" w:pos="19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61" w:lineRule="exact"/>
        <w:rPr>
          <w:rFonts w:ascii="Times New Roman" w:cs="Times New Roman" w:eastAsia="Times New Roman" w:hAnsi="Times New Roman"/>
          <w:sz w:val="20"/>
          <w:szCs w:val="20"/>
          <w:color w:val="auto"/>
        </w:rPr>
      </w:pPr>
    </w:p>
    <w:p>
      <w:pPr>
        <w:jc w:val="both"/>
        <w:ind w:left="646" w:firstLine="644"/>
        <w:spacing w:after="0" w:line="226" w:lineRule="auto"/>
        <w:tabs>
          <w:tab w:leader="none" w:pos="192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w:t>
      </w:r>
    </w:p>
    <w:p>
      <w:pPr>
        <w:spacing w:after="0" w:line="160" w:lineRule="exact"/>
        <w:rPr>
          <w:rFonts w:ascii="Times New Roman" w:cs="Times New Roman" w:eastAsia="Times New Roman" w:hAnsi="Times New Roman"/>
          <w:sz w:val="20"/>
          <w:szCs w:val="20"/>
          <w:color w:val="auto"/>
        </w:rPr>
      </w:pPr>
    </w:p>
    <w:p>
      <w:pPr>
        <w:jc w:val="both"/>
        <w:ind w:left="646" w:firstLine="644"/>
        <w:spacing w:after="0" w:line="226" w:lineRule="auto"/>
        <w:tabs>
          <w:tab w:leader="none" w:pos="19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a currency other than Euro or Sterling, means any such day on which dealings in deposits in the relevant currency are conducted by and between banks in the applicable offshore interbank market for such currency; and</w:t>
      </w:r>
    </w:p>
    <w:p>
      <w:pPr>
        <w:spacing w:after="0" w:line="160" w:lineRule="exact"/>
        <w:rPr>
          <w:rFonts w:ascii="Times New Roman" w:cs="Times New Roman" w:eastAsia="Times New Roman" w:hAnsi="Times New Roman"/>
          <w:sz w:val="20"/>
          <w:szCs w:val="20"/>
          <w:color w:val="auto"/>
        </w:rPr>
      </w:pPr>
    </w:p>
    <w:p>
      <w:pPr>
        <w:jc w:val="both"/>
        <w:ind w:left="646" w:firstLine="644"/>
        <w:spacing w:after="0" w:line="217" w:lineRule="auto"/>
        <w:tabs>
          <w:tab w:leader="none" w:pos="192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58"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Canadian 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CAD</w:t>
      </w:r>
      <w:r>
        <w:rPr>
          <w:rFonts w:ascii="Times New Roman" w:cs="Times New Roman" w:eastAsia="Times New Roman" w:hAnsi="Times New Roman"/>
          <w:sz w:val="20"/>
          <w:szCs w:val="20"/>
          <w:color w:val="auto"/>
        </w:rPr>
        <w:t>” means the lawful currency of Canada.</w:t>
      </w:r>
    </w:p>
    <w:p>
      <w:pPr>
        <w:spacing w:after="0" w:line="202" w:lineRule="exact"/>
        <w:rPr>
          <w:sz w:val="20"/>
          <w:szCs w:val="20"/>
          <w:color w:val="auto"/>
        </w:rPr>
      </w:pPr>
    </w:p>
    <w:p>
      <w:pPr>
        <w:jc w:val="both"/>
        <w:ind w:left="6"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Expenditures</w:t>
      </w:r>
      <w:r>
        <w:rPr>
          <w:rFonts w:ascii="Times New Roman" w:cs="Times New Roman" w:eastAsia="Times New Roman" w:hAnsi="Times New Roman"/>
          <w:sz w:val="20"/>
          <w:szCs w:val="20"/>
          <w:color w:val="auto"/>
        </w:rPr>
        <w:t>” means, with respect to any Person for any period, any expenditure in respect of the purchase or other acquisition of any fixed or capital asset (</w:t>
      </w:r>
      <w:r>
        <w:rPr>
          <w:rFonts w:ascii="Times New Roman" w:cs="Times New Roman" w:eastAsia="Times New Roman" w:hAnsi="Times New Roman"/>
          <w:sz w:val="20"/>
          <w:szCs w:val="20"/>
          <w:i w:val="1"/>
          <w:iCs w:val="1"/>
          <w:color w:val="auto"/>
        </w:rPr>
        <w:t>excluding</w:t>
      </w:r>
      <w:r>
        <w:rPr>
          <w:rFonts w:ascii="Times New Roman" w:cs="Times New Roman" w:eastAsia="Times New Roman" w:hAnsi="Times New Roman"/>
          <w:sz w:val="20"/>
          <w:szCs w:val="20"/>
          <w:color w:val="auto"/>
        </w:rPr>
        <w:t xml:space="preserve"> normal replacements and maintenance which are properly charged to current operations).</w:t>
      </w:r>
    </w:p>
    <w:p>
      <w:pPr>
        <w:spacing w:after="0" w:line="2" w:lineRule="exact"/>
        <w:rPr>
          <w:sz w:val="20"/>
          <w:szCs w:val="20"/>
          <w:color w:val="auto"/>
        </w:rPr>
      </w:pPr>
    </w:p>
    <w:p>
      <w:pPr>
        <w:ind w:left="6"/>
        <w:spacing w:after="0" w:line="204" w:lineRule="auto"/>
        <w:rPr>
          <w:sz w:val="20"/>
          <w:szCs w:val="20"/>
          <w:color w:val="auto"/>
        </w:rPr>
      </w:pPr>
      <w:r>
        <w:rPr>
          <w:rFonts w:ascii="Times New Roman" w:cs="Times New Roman" w:eastAsia="Times New Roman" w:hAnsi="Times New Roman"/>
          <w:sz w:val="20"/>
          <w:szCs w:val="20"/>
          <w:color w:val="auto"/>
        </w:rPr>
        <w:t>For purposes of this definition, the purchase price of equipment that is purchased simultaneously with the trade-in of existing equipment or with insurance proceeds shall be included in Capital Expenditures only to the extent of the gross amount by which such purchase price</w:t>
      </w:r>
    </w:p>
    <w:p>
      <w:pPr>
        <w:spacing w:after="0" w:line="1" w:lineRule="exact"/>
        <w:rPr>
          <w:sz w:val="20"/>
          <w:szCs w:val="20"/>
          <w:color w:val="auto"/>
        </w:rPr>
      </w:pPr>
    </w:p>
    <w:p>
      <w:pPr>
        <w:ind w:left="6"/>
        <w:spacing w:after="0" w:line="228" w:lineRule="auto"/>
        <w:rPr>
          <w:sz w:val="20"/>
          <w:szCs w:val="20"/>
          <w:color w:val="auto"/>
        </w:rPr>
      </w:pPr>
      <w:r>
        <w:rPr>
          <w:rFonts w:ascii="Times New Roman" w:cs="Times New Roman" w:eastAsia="Times New Roman" w:hAnsi="Times New Roman"/>
          <w:sz w:val="20"/>
          <w:szCs w:val="20"/>
          <w:color w:val="auto"/>
        </w:rPr>
        <w:t>exceeds the credit granted by the seller of such equipment for the equipment being traded in at such time or the amount of such insurance proceeds, as the case may be.</w:t>
      </w:r>
    </w:p>
    <w:p>
      <w:pPr>
        <w:spacing w:after="0" w:line="172" w:lineRule="exact"/>
        <w:rPr>
          <w:sz w:val="20"/>
          <w:szCs w:val="20"/>
          <w:color w:val="auto"/>
        </w:rPr>
      </w:pPr>
    </w:p>
    <w:p>
      <w:pPr>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78" w:lineRule="exact"/>
        <w:rPr>
          <w:sz w:val="20"/>
          <w:szCs w:val="20"/>
          <w:color w:val="auto"/>
        </w:rPr>
      </w:pPr>
    </w:p>
    <w:p>
      <w:pPr>
        <w:ind w:left="6"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L/C Issuer or Swingline Lender (as applicable) or the Lenders, as Collateral for L/C Obligations, the Obligations in respect of Swingline</w:t>
      </w:r>
    </w:p>
    <w:p>
      <w:pPr>
        <w:spacing w:after="0" w:line="2" w:lineRule="exact"/>
        <w:rPr>
          <w:sz w:val="20"/>
          <w:szCs w:val="20"/>
          <w:color w:val="auto"/>
        </w:rPr>
      </w:pP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Loans, the obligations of the Lenders to fund participations in respect of L/C Obligations or Swingline Loans, or the Obligations upon and during a Specified Cash Collateral Trigger Event (in each case, as the context may require), (a) cash or deposit account balances,</w:t>
      </w:r>
    </w:p>
    <w:p>
      <w:pPr>
        <w:spacing w:after="0" w:line="1" w:lineRule="exact"/>
        <w:rPr>
          <w:sz w:val="20"/>
          <w:szCs w:val="20"/>
          <w:color w:val="auto"/>
        </w:rPr>
      </w:pPr>
    </w:p>
    <w:p>
      <w:pPr>
        <w:jc w:val="both"/>
        <w:ind w:left="6" w:hanging="6"/>
        <w:spacing w:after="0" w:line="216" w:lineRule="auto"/>
        <w:tabs>
          <w:tab w:leader="none" w:pos="2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backstop letters of credit entered into on terms, from issuers and in amounts satisfactory to the Administrative Agent and the applicable L/C Issuer, and/or (c) if the Administrative Agent and the applicable L/C Issuer or Swingline Lender (or in the case of a Specified Cash Collateral Trigger Event, the Required Lenders) shall agree, in their sole discretion, other credit support, in each case, in Dollars and pursuant to documentation in form and substance satisfactory to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Administrative Agent and the L/C Issuer or the Swingline Lender (or in the case of a Specified Cash Collateral Trigger Event, the Required Lenders) (as applicable).</w:t>
      </w:r>
    </w:p>
    <w:p>
      <w:pPr>
        <w:spacing w:after="0" w:line="171"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Equivalents</w:t>
      </w:r>
      <w:r>
        <w:rPr>
          <w:rFonts w:ascii="Times New Roman" w:cs="Times New Roman" w:eastAsia="Times New Roman" w:hAnsi="Times New Roman"/>
          <w:sz w:val="20"/>
          <w:szCs w:val="20"/>
          <w:color w:val="auto"/>
        </w:rPr>
        <w:t>” means any of the following types of Investments, to the extent owned by the Borrower or any of its direct US domestic Subsidiaries free and clear of all Liens (other than Permitted Liens):</w:t>
      </w:r>
    </w:p>
    <w:p>
      <w:pPr>
        <w:spacing w:after="0" w:line="2" w:lineRule="exact"/>
        <w:rPr>
          <w:sz w:val="20"/>
          <w:szCs w:val="20"/>
          <w:color w:val="auto"/>
        </w:rPr>
      </w:pPr>
    </w:p>
    <w:p>
      <w:pPr>
        <w:jc w:val="both"/>
        <w:ind w:left="640" w:firstLine="644"/>
        <w:spacing w:after="0" w:line="218" w:lineRule="auto"/>
        <w:tabs>
          <w:tab w:leader="none" w:pos="192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or any agency or instrumentality thereof having maturities of </w:t>
      </w:r>
      <w:r>
        <w:rPr>
          <w:rFonts w:ascii="Times New Roman" w:cs="Times New Roman" w:eastAsia="Times New Roman" w:hAnsi="Times New Roman"/>
          <w:sz w:val="20"/>
          <w:szCs w:val="20"/>
          <w:i w:val="1"/>
          <w:iCs w:val="1"/>
          <w:color w:val="auto"/>
        </w:rPr>
        <w:t>not more than</w:t>
      </w:r>
      <w:r>
        <w:rPr>
          <w:rFonts w:ascii="Times New Roman" w:cs="Times New Roman" w:eastAsia="Times New Roman" w:hAnsi="Times New Roman"/>
          <w:sz w:val="20"/>
          <w:szCs w:val="20"/>
          <w:color w:val="auto"/>
        </w:rPr>
        <w:t xml:space="preserve"> 360 days from the date of acquisition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thereof;</w:t>
      </w:r>
    </w:p>
    <w:p>
      <w:pPr>
        <w:spacing w:after="0" w:line="161" w:lineRule="exact"/>
        <w:rPr>
          <w:rFonts w:ascii="Times New Roman" w:cs="Times New Roman" w:eastAsia="Times New Roman" w:hAnsi="Times New Roman"/>
          <w:sz w:val="20"/>
          <w:szCs w:val="20"/>
          <w:color w:val="auto"/>
        </w:rPr>
      </w:pPr>
    </w:p>
    <w:p>
      <w:pPr>
        <w:jc w:val="both"/>
        <w:ind w:left="640" w:firstLine="644"/>
        <w:spacing w:after="0" w:line="216" w:lineRule="auto"/>
        <w:tabs>
          <w:tab w:leader="none" w:pos="192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time deposits with, or insured certificates of deposit or bankers’ acceptances of, (i) any Lender, or (ii) any commercial bank that is not a Lender but who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who (A) issues (or the parent of which issues) commercial paper rated as described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of this definition and (B) has combined capital and surplus of </w:t>
      </w:r>
      <w:r>
        <w:rPr>
          <w:rFonts w:ascii="Times New Roman" w:cs="Times New Roman" w:eastAsia="Times New Roman" w:hAnsi="Times New Roman"/>
          <w:sz w:val="20"/>
          <w:szCs w:val="20"/>
          <w:i w:val="1"/>
          <w:iCs w:val="1"/>
          <w:color w:val="auto"/>
        </w:rPr>
        <w:t>at least</w:t>
      </w:r>
      <w:r>
        <w:rPr>
          <w:rFonts w:ascii="Times New Roman" w:cs="Times New Roman" w:eastAsia="Times New Roman" w:hAnsi="Times New Roman"/>
          <w:sz w:val="20"/>
          <w:szCs w:val="20"/>
          <w:color w:val="auto"/>
        </w:rPr>
        <w:t xml:space="preserve"> $1,000,000,000, in each case with maturities of not more than one (1) year from the date of acquisition thereof;</w:t>
      </w:r>
    </w:p>
    <w:p>
      <w:pPr>
        <w:spacing w:after="0" w:line="158" w:lineRule="exact"/>
        <w:rPr>
          <w:rFonts w:ascii="Times New Roman" w:cs="Times New Roman" w:eastAsia="Times New Roman" w:hAnsi="Times New Roman"/>
          <w:sz w:val="20"/>
          <w:szCs w:val="20"/>
          <w:color w:val="auto"/>
        </w:rPr>
      </w:pPr>
    </w:p>
    <w:p>
      <w:pPr>
        <w:ind w:left="640" w:firstLine="644"/>
        <w:spacing w:after="0" w:line="235" w:lineRule="auto"/>
        <w:tabs>
          <w:tab w:leader="none" w:pos="192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commercial paper rated </w:t>
      </w:r>
      <w:r>
        <w:rPr>
          <w:rFonts w:ascii="Times New Roman" w:cs="Times New Roman" w:eastAsia="Times New Roman" w:hAnsi="Times New Roman"/>
          <w:sz w:val="20"/>
          <w:szCs w:val="20"/>
          <w:i w:val="1"/>
          <w:iCs w:val="1"/>
          <w:color w:val="auto"/>
        </w:rPr>
        <w:t>at least</w:t>
      </w:r>
      <w:r>
        <w:rPr>
          <w:rFonts w:ascii="Times New Roman" w:cs="Times New Roman" w:eastAsia="Times New Roman" w:hAnsi="Times New Roman"/>
          <w:sz w:val="20"/>
          <w:szCs w:val="20"/>
          <w:color w:val="auto"/>
        </w:rPr>
        <w:t xml:space="preserve"> “Prime-2” (or the then equivalent grade) by Moody’s or </w:t>
      </w:r>
      <w:r>
        <w:rPr>
          <w:rFonts w:ascii="Times New Roman" w:cs="Times New Roman" w:eastAsia="Times New Roman" w:hAnsi="Times New Roman"/>
          <w:sz w:val="20"/>
          <w:szCs w:val="20"/>
          <w:i w:val="1"/>
          <w:iCs w:val="1"/>
          <w:color w:val="auto"/>
        </w:rPr>
        <w:t>at least</w:t>
      </w:r>
      <w:r>
        <w:rPr>
          <w:rFonts w:ascii="Times New Roman" w:cs="Times New Roman" w:eastAsia="Times New Roman" w:hAnsi="Times New Roman"/>
          <w:sz w:val="20"/>
          <w:szCs w:val="20"/>
          <w:color w:val="auto"/>
        </w:rPr>
        <w:t xml:space="preserve"> “A-2” (or the then equivalent grade) by S&amp;P, in each case with maturities of </w:t>
      </w:r>
      <w:r>
        <w:rPr>
          <w:rFonts w:ascii="Times New Roman" w:cs="Times New Roman" w:eastAsia="Times New Roman" w:hAnsi="Times New Roman"/>
          <w:sz w:val="20"/>
          <w:szCs w:val="20"/>
          <w:i w:val="1"/>
          <w:iCs w:val="1"/>
          <w:color w:val="auto"/>
        </w:rPr>
        <w:t>not more than</w:t>
      </w:r>
      <w:r>
        <w:rPr>
          <w:rFonts w:ascii="Times New Roman" w:cs="Times New Roman" w:eastAsia="Times New Roman" w:hAnsi="Times New Roman"/>
          <w:sz w:val="20"/>
          <w:szCs w:val="20"/>
          <w:color w:val="auto"/>
        </w:rPr>
        <w:t xml:space="preserve"> 180 days from the date of acquisition thereof; and</w:t>
      </w:r>
    </w:p>
    <w:p>
      <w:pPr>
        <w:spacing w:after="0" w:line="161" w:lineRule="exact"/>
        <w:rPr>
          <w:rFonts w:ascii="Times New Roman" w:cs="Times New Roman" w:eastAsia="Times New Roman" w:hAnsi="Times New Roman"/>
          <w:sz w:val="20"/>
          <w:szCs w:val="20"/>
          <w:color w:val="auto"/>
        </w:rPr>
      </w:pPr>
    </w:p>
    <w:p>
      <w:pPr>
        <w:jc w:val="both"/>
        <w:ind w:left="640" w:firstLine="644"/>
        <w:spacing w:after="0" w:line="222" w:lineRule="auto"/>
        <w:tabs>
          <w:tab w:leader="none" w:pos="192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to Investments of the character, quality and maturity described in </w:t>
      </w:r>
      <w:r>
        <w:rPr>
          <w:rFonts w:ascii="Times New Roman" w:cs="Times New Roman" w:eastAsia="Times New Roman" w:hAnsi="Times New Roman"/>
          <w:sz w:val="20"/>
          <w:szCs w:val="20"/>
          <w:b w:val="1"/>
          <w:bCs w:val="1"/>
          <w:i w:val="1"/>
          <w:i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of this definition.</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 means any agreement that is not prohibited by the terms hereof to provide treasury or cash management services, including deposit accounts, overnight draft, credit cards, debit cards, p-cards (including purchasing cards and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commercial cards), funds transfer, automated clearinghouse, zero balance accounts, returned check concentration, controlled disbursement, lockbox, account reconciliation and reporting and trade finance services and other cash management services.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Bank</w:t>
      </w:r>
      <w:r>
        <w:rPr>
          <w:rFonts w:ascii="Times New Roman" w:cs="Times New Roman" w:eastAsia="Times New Roman" w:hAnsi="Times New Roman"/>
          <w:sz w:val="20"/>
          <w:szCs w:val="20"/>
          <w:color w:val="auto"/>
        </w:rPr>
        <w:t>” means any Person in its capacity as a party to a Cash Management Agreement that, at the time it enters</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into a Cash Management Agreement with a Loan Party or any Subsidiary, is a Lender or an Affiliate of a Lender, in its capacity as a party to such Cash Management Agreement (even if such Person ceases to be a Lender or such Person’s Affiliate ceased to be a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for any of the foregoing to be included as a “Secured Cash Management Agreement” on any date of determination by the</w:t>
      </w: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8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CFC</w:t>
      </w:r>
      <w:r>
        <w:rPr>
          <w:rFonts w:ascii="Times New Roman" w:cs="Times New Roman" w:eastAsia="Times New Roman" w:hAnsi="Times New Roman"/>
          <w:sz w:val="20"/>
          <w:szCs w:val="20"/>
          <w:color w:val="auto"/>
        </w:rPr>
        <w:t xml:space="preserve">” means a Person that is a controlled foreign corporation under </w:t>
      </w:r>
      <w:r>
        <w:rPr>
          <w:rFonts w:ascii="Times New Roman" w:cs="Times New Roman" w:eastAsia="Times New Roman" w:hAnsi="Times New Roman"/>
          <w:sz w:val="20"/>
          <w:szCs w:val="20"/>
          <w:i w:val="1"/>
          <w:iCs w:val="1"/>
          <w:color w:val="auto"/>
        </w:rPr>
        <w:t>Section 957</w:t>
      </w:r>
      <w:r>
        <w:rPr>
          <w:rFonts w:ascii="Times New Roman" w:cs="Times New Roman" w:eastAsia="Times New Roman" w:hAnsi="Times New Roman"/>
          <w:sz w:val="20"/>
          <w:szCs w:val="20"/>
          <w:color w:val="auto"/>
        </w:rPr>
        <w:t xml:space="preserve"> of the Code in which the Borrower or any Loan Party is a United States shareholder within the meaning of </w:t>
      </w:r>
      <w:r>
        <w:rPr>
          <w:rFonts w:ascii="Times New Roman" w:cs="Times New Roman" w:eastAsia="Times New Roman" w:hAnsi="Times New Roman"/>
          <w:sz w:val="20"/>
          <w:szCs w:val="20"/>
          <w:i w:val="1"/>
          <w:iCs w:val="1"/>
          <w:color w:val="auto"/>
        </w:rPr>
        <w:t>Section 951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color w:val="auto"/>
        </w:rPr>
        <w:t>)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Law</w:t>
      </w:r>
      <w:r>
        <w:rPr>
          <w:rFonts w:ascii="Times New Roman" w:cs="Times New Roman" w:eastAsia="Times New Roman" w:hAnsi="Times New Roman"/>
          <w:sz w:val="19"/>
          <w:szCs w:val="19"/>
          <w:color w:val="auto"/>
        </w:rPr>
        <w:t>” means the occurrence, after the Closing Date, of any of the following: (a) the adoption or taking effect of any law,</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rule, regulation or treaty, (b) any change in any law, rule, regulation or treaty or in the administration, interpretation, implementation or application thereof by any Governmental Authority or (c) the making or issuance of any request, rule, guideline or directive (whether or not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having the force of law)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herein to the contrary, (i) the Dodd-Frank</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Wall Street Reform and Consumer Protection Act and all requests, rules, guidelines or directives thereunder or issued in connection therewith or in the implementation thereof and (ii) all requests, rules, guidelines or directives promulgated by the Bank for International Settlements,</w:t>
      </w:r>
    </w:p>
    <w:p>
      <w:pPr>
        <w:spacing w:after="0" w:line="222" w:lineRule="auto"/>
        <w:rPr>
          <w:sz w:val="20"/>
          <w:szCs w:val="20"/>
          <w:color w:val="auto"/>
        </w:rPr>
      </w:pPr>
      <w:r>
        <w:rPr>
          <w:rFonts w:ascii="Times New Roman" w:cs="Times New Roman" w:eastAsia="Times New Roman" w:hAnsi="Times New Roman"/>
          <w:sz w:val="19"/>
          <w:szCs w:val="19"/>
          <w:color w:val="auto"/>
        </w:rPr>
        <w:t>the Basel Committee on Banking Supervision (or any successor or similar authority) or the United States or foreign regulatory authorities, in</w:t>
      </w:r>
    </w:p>
    <w:p>
      <w:pPr>
        <w:spacing w:after="0" w:line="221" w:lineRule="auto"/>
        <w:rPr>
          <w:sz w:val="20"/>
          <w:szCs w:val="20"/>
          <w:color w:val="auto"/>
        </w:rPr>
      </w:pPr>
      <w:r>
        <w:rPr>
          <w:rFonts w:ascii="Times New Roman" w:cs="Times New Roman" w:eastAsia="Times New Roman" w:hAnsi="Times New Roman"/>
          <w:sz w:val="20"/>
          <w:szCs w:val="20"/>
          <w:color w:val="auto"/>
        </w:rPr>
        <w:t>each case pursuant to Basel III, shall in each case be deemed to be a “Change in Law”, regardless of the date enacted, adopted, issued or implemented.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jc w:val="both"/>
        <w:ind w:left="640" w:firstLine="644"/>
        <w:spacing w:after="0" w:line="213" w:lineRule="auto"/>
        <w:tabs>
          <w:tab w:leader="none" w:pos="192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group</w:t>
      </w:r>
      <w:r>
        <w:rPr>
          <w:rFonts w:ascii="Times New Roman" w:cs="Times New Roman" w:eastAsia="Times New Roman" w:hAnsi="Times New Roman"/>
          <w:sz w:val="20"/>
          <w:szCs w:val="20"/>
          <w:color w:val="auto"/>
        </w:rPr>
        <w:t xml:space="preserve">” (as such terms are used in </w:t>
      </w:r>
      <w:r>
        <w:rPr>
          <w:rFonts w:ascii="Times New Roman" w:cs="Times New Roman" w:eastAsia="Times New Roman" w:hAnsi="Times New Roman"/>
          <w:sz w:val="20"/>
          <w:szCs w:val="20"/>
          <w:i w:val="1"/>
          <w:iCs w:val="1"/>
          <w:color w:val="auto"/>
        </w:rPr>
        <w:t>Sections 13(d)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14(d)</w:t>
      </w:r>
      <w:r>
        <w:rPr>
          <w:rFonts w:ascii="Times New Roman" w:cs="Times New Roman" w:eastAsia="Times New Roman" w:hAnsi="Times New Roman"/>
          <w:sz w:val="20"/>
          <w:szCs w:val="20"/>
          <w:color w:val="auto"/>
        </w:rPr>
        <w:t xml:space="preserve"> of the Securities Exchange Act of 1934, but excluding (i) any employee benefit plan of such person or its subsidiaries, and any person or entity acting in its capacity as trustee, agent or other fiduciary or administrator of any such plan) and (ii) Tom Powell and his Affiliates becomes the “</w:t>
      </w:r>
      <w:r>
        <w:rPr>
          <w:rFonts w:ascii="Times New Roman" w:cs="Times New Roman" w:eastAsia="Times New Roman" w:hAnsi="Times New Roman"/>
          <w:sz w:val="20"/>
          <w:szCs w:val="20"/>
          <w:i w:val="1"/>
          <w:iCs w:val="1"/>
          <w:color w:val="auto"/>
        </w:rPr>
        <w:t>beneficial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owner</w:t>
      </w:r>
      <w:r>
        <w:rPr>
          <w:rFonts w:ascii="Times New Roman" w:cs="Times New Roman" w:eastAsia="Times New Roman" w:hAnsi="Times New Roman"/>
          <w:sz w:val="20"/>
          <w:szCs w:val="20"/>
          <w:color w:val="auto"/>
        </w:rPr>
        <w:t>” (as defined in</w:t>
      </w:r>
      <w:r>
        <w:rPr>
          <w:rFonts w:ascii="Times New Roman" w:cs="Times New Roman" w:eastAsia="Times New Roman" w:hAnsi="Times New Roman"/>
          <w:sz w:val="20"/>
          <w:szCs w:val="20"/>
          <w:i w:val="1"/>
          <w:iCs w:val="1"/>
          <w:color w:val="auto"/>
        </w:rPr>
        <w:t xml:space="preserve"> Rules 13d-3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13d-5 </w:t>
      </w:r>
      <w:r>
        <w:rPr>
          <w:rFonts w:ascii="Times New Roman" w:cs="Times New Roman" w:eastAsia="Times New Roman" w:hAnsi="Times New Roman"/>
          <w:sz w:val="20"/>
          <w:szCs w:val="20"/>
          <w:color w:val="auto"/>
        </w:rPr>
        <w:t>under the Securities Exchange Act of 1934, except that a person or group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deemed to have “beneficial ownership” of all securities that such person or group has the right to acquire, whether such right is exercisable immediately or only after the passage of time (such right, an “option right”)), directly or indirectly, of 25%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51" w:lineRule="exact"/>
        <w:rPr>
          <w:rFonts w:ascii="Times New Roman" w:cs="Times New Roman" w:eastAsia="Times New Roman" w:hAnsi="Times New Roman"/>
          <w:sz w:val="20"/>
          <w:szCs w:val="20"/>
          <w:color w:val="auto"/>
        </w:rPr>
      </w:pPr>
    </w:p>
    <w:p>
      <w:pPr>
        <w:jc w:val="both"/>
        <w:ind w:left="640" w:firstLine="644"/>
        <w:spacing w:after="0" w:line="215" w:lineRule="auto"/>
        <w:tabs>
          <w:tab w:leader="none" w:pos="192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nominated, appointed or approved by individuals referred to in </w:t>
      </w:r>
      <w:r>
        <w:rPr>
          <w:rFonts w:ascii="Times New Roman" w:cs="Times New Roman" w:eastAsia="Times New Roman" w:hAnsi="Times New Roman"/>
          <w:sz w:val="20"/>
          <w:szCs w:val="20"/>
          <w:i w:val="1"/>
          <w:iCs w:val="1"/>
          <w:color w:val="auto"/>
        </w:rPr>
        <w:t>clause (i)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nominated, appointed or approved by individuals referred to in </w:t>
      </w:r>
      <w:r>
        <w:rPr>
          <w:rFonts w:ascii="Times New Roman" w:cs="Times New Roman" w:eastAsia="Times New Roman" w:hAnsi="Times New Roman"/>
          <w:sz w:val="20"/>
          <w:szCs w:val="20"/>
          <w:i w:val="1"/>
          <w:iCs w:val="1"/>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 or</w:t>
      </w:r>
    </w:p>
    <w:p>
      <w:pPr>
        <w:spacing w:after="0" w:line="164" w:lineRule="exact"/>
        <w:rPr>
          <w:rFonts w:ascii="Times New Roman" w:cs="Times New Roman" w:eastAsia="Times New Roman" w:hAnsi="Times New Roman"/>
          <w:sz w:val="20"/>
          <w:szCs w:val="20"/>
          <w:color w:val="auto"/>
        </w:rPr>
      </w:pPr>
    </w:p>
    <w:p>
      <w:pPr>
        <w:jc w:val="both"/>
        <w:ind w:left="640" w:firstLine="644"/>
        <w:spacing w:after="0" w:line="216" w:lineRule="auto"/>
        <w:tabs>
          <w:tab w:leader="none" w:pos="192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two or more Persons acting in concert (other than Tom Powell and his Affiliates) shall have acquired by contract or otherwise, or shall have entered into a contract or arrangement that, upon consummation thereof, will result in its or their acquisition of the power to exercise, directly or indirectly, a controlling influence over the management or policies of Borrower, or control over the equity securities of Borrower entitled to vote for members of the board of directors or equivalent governing body of Borrower on a fully-diluted basis (and taking into account all such securities that such Person or group has the right to acquire pursuant to any option right) representing 25% or more of the combined voting power of such securities.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means the date hereof.</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Collateral</w:t>
      </w:r>
      <w:r>
        <w:rPr>
          <w:rFonts w:ascii="Times New Roman" w:cs="Times New Roman" w:eastAsia="Times New Roman" w:hAnsi="Times New Roman"/>
          <w:sz w:val="19"/>
          <w:szCs w:val="19"/>
          <w:color w:val="auto"/>
        </w:rPr>
        <w:t>” means all of the “</w:t>
      </w:r>
      <w:r>
        <w:rPr>
          <w:rFonts w:ascii="Times New Roman" w:cs="Times New Roman" w:eastAsia="Times New Roman" w:hAnsi="Times New Roman"/>
          <w:sz w:val="19"/>
          <w:szCs w:val="19"/>
          <w:i w:val="1"/>
          <w:iCs w:val="1"/>
          <w:color w:val="auto"/>
        </w:rPr>
        <w:t>Collateral</w:t>
      </w:r>
      <w:r>
        <w:rPr>
          <w:rFonts w:ascii="Times New Roman" w:cs="Times New Roman" w:eastAsia="Times New Roman" w:hAnsi="Times New Roman"/>
          <w:sz w:val="19"/>
          <w:szCs w:val="19"/>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43" w:lineRule="exact"/>
        <w:rPr>
          <w:sz w:val="20"/>
          <w:szCs w:val="20"/>
          <w:color w:val="auto"/>
        </w:rPr>
      </w:pPr>
    </w:p>
    <w:p>
      <w:pPr>
        <w:jc w:val="both"/>
        <w:ind w:left="6"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Collateral Documents</w:t>
      </w:r>
      <w:r>
        <w:rPr>
          <w:rFonts w:ascii="Times New Roman" w:cs="Times New Roman" w:eastAsia="Times New Roman" w:hAnsi="Times New Roman"/>
          <w:sz w:val="19"/>
          <w:szCs w:val="19"/>
          <w:color w:val="auto"/>
        </w:rPr>
        <w:t>” means, collectively, the Security Agreement, the Qualifying Control Agreements, each Joinder Agreement, each of the collateral assignments, security agreements, pledge agreements, account control agreements or other similar agreements delivered</w:t>
      </w:r>
    </w:p>
    <w:p>
      <w:pPr>
        <w:spacing w:after="0" w:line="1" w:lineRule="exact"/>
        <w:rPr>
          <w:sz w:val="20"/>
          <w:szCs w:val="20"/>
          <w:color w:val="auto"/>
        </w:rPr>
      </w:pPr>
    </w:p>
    <w:p>
      <w:pPr>
        <w:jc w:val="both"/>
        <w:ind w:left="6"/>
        <w:spacing w:after="0" w:line="221" w:lineRule="auto"/>
        <w:rPr>
          <w:sz w:val="20"/>
          <w:szCs w:val="20"/>
          <w:color w:val="auto"/>
        </w:rPr>
      </w:pPr>
      <w:r>
        <w:rPr>
          <w:rFonts w:ascii="Times New Roman" w:cs="Times New Roman" w:eastAsia="Times New Roman" w:hAnsi="Times New Roman"/>
          <w:sz w:val="20"/>
          <w:szCs w:val="20"/>
          <w:color w:val="auto"/>
        </w:rPr>
        <w:t xml:space="preserve">to the Administrative Agent pursuant to </w:t>
      </w:r>
      <w:r>
        <w:rPr>
          <w:rFonts w:ascii="Times New Roman" w:cs="Times New Roman" w:eastAsia="Times New Roman" w:hAnsi="Times New Roman"/>
          <w:sz w:val="20"/>
          <w:szCs w:val="20"/>
          <w:b w:val="1"/>
          <w:bCs w:val="1"/>
          <w:i w:val="1"/>
          <w:iCs w:val="1"/>
          <w:color w:val="auto"/>
        </w:rPr>
        <w:t>Section 6.14</w:t>
      </w:r>
      <w:r>
        <w:rPr>
          <w:rFonts w:ascii="Times New Roman" w:cs="Times New Roman" w:eastAsia="Times New Roman" w:hAnsi="Times New Roman"/>
          <w:sz w:val="20"/>
          <w:szCs w:val="20"/>
          <w:color w:val="auto"/>
        </w:rPr>
        <w:t>, and each of the other agreements, instruments or documents that creates or purports to create a Lien in favor of the Administrative Agent for the benefit of the Secured Parties.</w:t>
      </w:r>
    </w:p>
    <w:p>
      <w:pPr>
        <w:spacing w:after="0" w:line="18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means a Revolving Commitment.</w:t>
      </w:r>
    </w:p>
    <w:p>
      <w:pPr>
        <w:spacing w:after="0" w:line="216" w:lineRule="exact"/>
        <w:rPr>
          <w:sz w:val="20"/>
          <w:szCs w:val="20"/>
          <w:color w:val="auto"/>
        </w:rPr>
      </w:pPr>
    </w:p>
    <w:p>
      <w:pPr>
        <w:jc w:val="both"/>
        <w:ind w:left="6"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Commodity Exchange Act</w:t>
      </w:r>
      <w:r>
        <w:rPr>
          <w:rFonts w:ascii="Times New Roman" w:cs="Times New Roman" w:eastAsia="Times New Roman" w:hAnsi="Times New Roman"/>
          <w:sz w:val="20"/>
          <w:szCs w:val="20"/>
          <w:color w:val="auto"/>
        </w:rPr>
        <w:t xml:space="preserve">” means the Commodity Exchange Act (7 U.S.C.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84" w:lineRule="exact"/>
        <w:rPr>
          <w:sz w:val="20"/>
          <w:szCs w:val="20"/>
          <w:color w:val="auto"/>
        </w:rPr>
      </w:pPr>
    </w:p>
    <w:p>
      <w:pPr>
        <w:jc w:val="both"/>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16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b w:val="1"/>
          <w:bCs w:val="1"/>
          <w:i w:val="1"/>
          <w:iCs w:val="1"/>
          <w:color w:val="auto"/>
        </w:rPr>
        <w:t>Exhibit C</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BSBY, the CDOR</w:t>
      </w:r>
    </w:p>
    <w:p>
      <w:pPr>
        <w:jc w:val="both"/>
        <w:ind w:left="6"/>
        <w:spacing w:after="0" w:line="215" w:lineRule="auto"/>
        <w:rPr>
          <w:sz w:val="20"/>
          <w:szCs w:val="20"/>
          <w:color w:val="auto"/>
        </w:rPr>
      </w:pPr>
      <w:r>
        <w:rPr>
          <w:rFonts w:ascii="Times New Roman" w:cs="Times New Roman" w:eastAsia="Times New Roman" w:hAnsi="Times New Roman"/>
          <w:sz w:val="19"/>
          <w:szCs w:val="19"/>
          <w:color w:val="auto"/>
        </w:rPr>
        <w:t>Rate, EURIBOR, SONIA, or any proposed Successor Rate for an Agreed Currency, as applicable, any conforming changes to the definitions of “Base Rate”, “BSBY”, “Business Day”, the “CDOR Rate”, “EURIBOR”, “Interest Period” and/or “SONIA”, the timing and frequency of</w:t>
      </w:r>
    </w:p>
    <w:p>
      <w:pPr>
        <w:ind w:left="6"/>
        <w:spacing w:after="0" w:line="222" w:lineRule="auto"/>
        <w:rPr>
          <w:sz w:val="20"/>
          <w:szCs w:val="20"/>
          <w:color w:val="auto"/>
        </w:rPr>
      </w:pPr>
      <w:r>
        <w:rPr>
          <w:rFonts w:ascii="Times New Roman" w:cs="Times New Roman" w:eastAsia="Times New Roman" w:hAnsi="Times New Roman"/>
          <w:sz w:val="19"/>
          <w:szCs w:val="19"/>
          <w:color w:val="auto"/>
        </w:rPr>
        <w:t>determining rates and making payments of interest and other technical, administrative or operational matters (including, for the avoidance of</w:t>
      </w:r>
    </w:p>
    <w:p>
      <w:pPr>
        <w:jc w:val="both"/>
        <w:ind w:left="6"/>
        <w:spacing w:after="0" w:line="215" w:lineRule="auto"/>
        <w:rPr>
          <w:sz w:val="20"/>
          <w:szCs w:val="20"/>
          <w:color w:val="auto"/>
        </w:rPr>
      </w:pPr>
      <w:r>
        <w:rPr>
          <w:rFonts w:ascii="Times New Roman" w:cs="Times New Roman" w:eastAsia="Times New Roman" w:hAnsi="Times New Roman"/>
          <w:sz w:val="19"/>
          <w:szCs w:val="19"/>
          <w:color w:val="auto"/>
        </w:rPr>
        <w:t>doubt, the definition of “Business Day”, the timing of borrowing requests or prepayment, conversion or continuation notices and the length of lookback periods) as may be appropriate, in the discretion of the Administrative Agent, to reflect the adoption and implementation of such</w:t>
      </w: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applicable rate(s) and to permit the administration thereof by the Administrative Agent in a manner substantially consistent with market practice for such Agreed Currency (or, if the Administrative Agent determines that adoption of any portion of such market practice is not</w:t>
      </w:r>
    </w:p>
    <w:p>
      <w:pPr>
        <w:ind w:left="6"/>
        <w:spacing w:after="0" w:line="223" w:lineRule="auto"/>
        <w:rPr>
          <w:sz w:val="20"/>
          <w:szCs w:val="20"/>
          <w:color w:val="auto"/>
        </w:rPr>
      </w:pPr>
      <w:r>
        <w:rPr>
          <w:rFonts w:ascii="Times New Roman" w:cs="Times New Roman" w:eastAsia="Times New Roman" w:hAnsi="Times New Roman"/>
          <w:sz w:val="19"/>
          <w:szCs w:val="19"/>
          <w:color w:val="auto"/>
        </w:rPr>
        <w:t>administratively feasible or that no market practice for the administration of such rate for such Agreed Currency exists, in such other manner</w:t>
      </w:r>
    </w:p>
    <w:p>
      <w:pPr>
        <w:jc w:val="both"/>
        <w:ind w:left="6"/>
        <w:spacing w:after="0" w:line="221" w:lineRule="auto"/>
        <w:rPr>
          <w:sz w:val="20"/>
          <w:szCs w:val="20"/>
          <w:color w:val="auto"/>
        </w:rPr>
      </w:pPr>
      <w:r>
        <w:rPr>
          <w:rFonts w:ascii="Times New Roman" w:cs="Times New Roman" w:eastAsia="Times New Roman" w:hAnsi="Times New Roman"/>
          <w:sz w:val="20"/>
          <w:szCs w:val="20"/>
          <w:color w:val="auto"/>
        </w:rPr>
        <w:t>of administration as the Administrative Agent determines is reasonably necessary in connection with the administration of this Agreement and any other Loan Document).</w:t>
      </w:r>
    </w:p>
    <w:p>
      <w:pPr>
        <w:spacing w:after="0" w:line="185" w:lineRule="exact"/>
        <w:rPr>
          <w:sz w:val="20"/>
          <w:szCs w:val="20"/>
          <w:color w:val="auto"/>
        </w:rPr>
      </w:pPr>
    </w:p>
    <w:p>
      <w:pPr>
        <w:jc w:val="both"/>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65" w:lineRule="exact"/>
        <w:rPr>
          <w:sz w:val="20"/>
          <w:szCs w:val="20"/>
          <w:color w:val="auto"/>
        </w:rPr>
      </w:pPr>
    </w:p>
    <w:p>
      <w:pPr>
        <w:jc w:val="both"/>
        <w:ind w:left="6" w:right="20"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w:t>
      </w:r>
      <w:r>
        <w:rPr>
          <w:rFonts w:ascii="Times New Roman" w:cs="Times New Roman" w:eastAsia="Times New Roman" w:hAnsi="Times New Roman"/>
          <w:sz w:val="19"/>
          <w:szCs w:val="19"/>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56" w:lineRule="exact"/>
        <w:rPr>
          <w:sz w:val="20"/>
          <w:szCs w:val="20"/>
          <w:color w:val="auto"/>
        </w:rPr>
      </w:pPr>
    </w:p>
    <w:p>
      <w:pPr>
        <w:jc w:val="both"/>
        <w:ind w:left="6"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EBITDA</w:t>
      </w:r>
      <w:r>
        <w:rPr>
          <w:rFonts w:ascii="Times New Roman" w:cs="Times New Roman" w:eastAsia="Times New Roman" w:hAnsi="Times New Roman"/>
          <w:sz w:val="19"/>
          <w:szCs w:val="19"/>
          <w:color w:val="auto"/>
        </w:rPr>
        <w:t xml:space="preserve">” means, for any period, the </w:t>
      </w:r>
      <w:r>
        <w:rPr>
          <w:rFonts w:ascii="Times New Roman" w:cs="Times New Roman" w:eastAsia="Times New Roman" w:hAnsi="Times New Roman"/>
          <w:sz w:val="19"/>
          <w:szCs w:val="19"/>
          <w:i w:val="1"/>
          <w:iCs w:val="1"/>
          <w:color w:val="auto"/>
        </w:rPr>
        <w:t>sum of</w:t>
      </w:r>
      <w:r>
        <w:rPr>
          <w:rFonts w:ascii="Times New Roman" w:cs="Times New Roman" w:eastAsia="Times New Roman" w:hAnsi="Times New Roman"/>
          <w:sz w:val="19"/>
          <w:szCs w:val="19"/>
          <w:color w:val="auto"/>
        </w:rPr>
        <w:t xml:space="preserve"> the following determined on a Consolidated basis, without duplication, for the Borrower and its Subsidiaries in accordance with GAAP, (a) Consolidated Net Income for the most recently completed Measurement</w:t>
      </w:r>
    </w:p>
    <w:p>
      <w:pPr>
        <w:spacing w:after="0" w:line="1" w:lineRule="exact"/>
        <w:rPr>
          <w:sz w:val="20"/>
          <w:szCs w:val="20"/>
          <w:color w:val="auto"/>
        </w:rPr>
      </w:pP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 xml:space="preserve">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following to the extent deducted in calculating such Consolidated Net Income (without duplication): (i) Consolidated Interest Charges, (ii) the provision for federal, state, local and foreign income taxes payable, (iii) depreciation and amortization expense,</w:t>
      </w:r>
    </w:p>
    <w:p>
      <w:pPr>
        <w:spacing w:after="0" w:line="1" w:lineRule="exact"/>
        <w:rPr>
          <w:sz w:val="20"/>
          <w:szCs w:val="20"/>
          <w:color w:val="auto"/>
        </w:rPr>
      </w:pPr>
    </w:p>
    <w:p>
      <w:pPr>
        <w:ind w:left="6" w:hanging="6"/>
        <w:spacing w:after="0" w:line="228" w:lineRule="auto"/>
        <w:tabs>
          <w:tab w:leader="none" w:pos="35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charges and losses (excluding such non-cash charges or losses to the extent (A) there were cash charges with respect to such charges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losses in past accounting periods or (B) there is a reasonable expectation that there will be cash charges with respect to such charges and</w:t>
      </w:r>
    </w:p>
    <w:p>
      <w:pPr>
        <w:ind w:left="6" w:right="20"/>
        <w:spacing w:after="0" w:line="215" w:lineRule="auto"/>
        <w:rPr>
          <w:sz w:val="20"/>
          <w:szCs w:val="20"/>
          <w:color w:val="auto"/>
        </w:rPr>
      </w:pPr>
      <w:r>
        <w:rPr>
          <w:rFonts w:ascii="Times New Roman" w:cs="Times New Roman" w:eastAsia="Times New Roman" w:hAnsi="Times New Roman"/>
          <w:sz w:val="19"/>
          <w:szCs w:val="19"/>
          <w:color w:val="auto"/>
        </w:rPr>
        <w:t>losses in future accounting periods, (v) other non-cash charges approved by Administrative Agent; and (vi) any non-cash charges or non-cash expenses incurred pursuant to the Borrower’s stock based compensation plans, as reported in the statement of cash flows in the Consolidated</w:t>
      </w:r>
    </w:p>
    <w:p>
      <w:pPr>
        <w:ind w:left="6"/>
        <w:spacing w:after="0" w:line="222" w:lineRule="auto"/>
        <w:rPr>
          <w:sz w:val="20"/>
          <w:szCs w:val="20"/>
          <w:color w:val="auto"/>
        </w:rPr>
      </w:pPr>
      <w:r>
        <w:rPr>
          <w:rFonts w:ascii="Times New Roman" w:cs="Times New Roman" w:eastAsia="Times New Roman" w:hAnsi="Times New Roman"/>
          <w:sz w:val="19"/>
          <w:szCs w:val="19"/>
          <w:color w:val="auto"/>
        </w:rPr>
        <w:t xml:space="preserve">financial statements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(c) without duplication and to the extent reflected as a gain or otherwise included in the calculation of Consolidated</w:t>
      </w:r>
    </w:p>
    <w:p>
      <w:pPr>
        <w:ind w:left="6"/>
        <w:spacing w:after="0" w:line="204" w:lineRule="auto"/>
        <w:rPr>
          <w:sz w:val="20"/>
          <w:szCs w:val="20"/>
          <w:color w:val="auto"/>
        </w:rPr>
      </w:pPr>
      <w:r>
        <w:rPr>
          <w:rFonts w:ascii="Times New Roman" w:cs="Times New Roman" w:eastAsia="Times New Roman" w:hAnsi="Times New Roman"/>
          <w:sz w:val="20"/>
          <w:szCs w:val="20"/>
          <w:color w:val="auto"/>
        </w:rPr>
        <w:t>Net Income for such period, non-cash gains (excluding any such non-cash gains to the extent (i) there were cash gains with respect to such gains in past accounting periods or (ii) there is a reasonable expectation that there will be cash gains with respect to such gains in future</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accounting periods).</w:t>
      </w:r>
    </w:p>
    <w:p>
      <w:pPr>
        <w:spacing w:after="0" w:line="190" w:lineRule="exact"/>
        <w:rPr>
          <w:sz w:val="20"/>
          <w:szCs w:val="20"/>
          <w:color w:val="auto"/>
        </w:rPr>
      </w:pPr>
    </w:p>
    <w:p>
      <w:pPr>
        <w:ind w:left="6"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Funded Indebtedness</w:t>
      </w:r>
      <w:r>
        <w:rPr>
          <w:rFonts w:ascii="Times New Roman" w:cs="Times New Roman" w:eastAsia="Times New Roman" w:hAnsi="Times New Roman"/>
          <w:sz w:val="20"/>
          <w:szCs w:val="20"/>
          <w:color w:val="auto"/>
        </w:rPr>
        <w:t xml:space="preserve">” means, as of any date of determination, for Borrower and its Subsidiaries on a Consolidated basis, the </w:t>
      </w:r>
      <w:r>
        <w:rPr>
          <w:rFonts w:ascii="Times New Roman" w:cs="Times New Roman" w:eastAsia="Times New Roman" w:hAnsi="Times New Roman"/>
          <w:sz w:val="20"/>
          <w:szCs w:val="20"/>
          <w:i w:val="1"/>
          <w:iCs w:val="1"/>
          <w:color w:val="auto"/>
        </w:rPr>
        <w:t>sum</w:t>
      </w:r>
      <w:r>
        <w:rPr>
          <w:rFonts w:ascii="Times New Roman" w:cs="Times New Roman" w:eastAsia="Times New Roman" w:hAnsi="Times New Roman"/>
          <w:sz w:val="20"/>
          <w:szCs w:val="20"/>
          <w:color w:val="auto"/>
        </w:rPr>
        <w:t xml:space="preserve"> of (a) the outstanding principal amount of all obligations, whether current or long-term, for borrowed money (including</w:t>
      </w:r>
    </w:p>
    <w:p>
      <w:pPr>
        <w:ind w:left="6"/>
        <w:spacing w:after="0" w:line="213" w:lineRule="auto"/>
        <w:rPr>
          <w:sz w:val="20"/>
          <w:szCs w:val="20"/>
          <w:color w:val="auto"/>
        </w:rPr>
      </w:pPr>
      <w:r>
        <w:rPr>
          <w:rFonts w:ascii="Times New Roman" w:cs="Times New Roman" w:eastAsia="Times New Roman" w:hAnsi="Times New Roman"/>
          <w:sz w:val="20"/>
          <w:szCs w:val="20"/>
          <w:color w:val="auto"/>
        </w:rPr>
        <w:t xml:space="preserve">Obligations hereunder) and all obligations evidenced by bonds, debentures, notes, loan agreements or other similar instruments,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all</w:t>
      </w:r>
    </w:p>
    <w:p>
      <w:pPr>
        <w:ind w:left="6"/>
        <w:spacing w:after="0" w:line="215" w:lineRule="auto"/>
        <w:rPr>
          <w:sz w:val="20"/>
          <w:szCs w:val="20"/>
          <w:color w:val="auto"/>
        </w:rPr>
      </w:pPr>
      <w:r>
        <w:rPr>
          <w:rFonts w:ascii="Times New Roman" w:cs="Times New Roman" w:eastAsia="Times New Roman" w:hAnsi="Times New Roman"/>
          <w:sz w:val="19"/>
          <w:szCs w:val="19"/>
          <w:color w:val="auto"/>
        </w:rPr>
        <w:t xml:space="preserve">purchase money Indebtedness,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all direct obligations under Surety Bonds in respect of which demand has been made for performance by the surety, (d) all direct obligations arising under letters of credit (including standby and commercial), bankers’ acceptances, bank</w:t>
      </w:r>
    </w:p>
    <w:p>
      <w:pPr>
        <w:ind w:left="6"/>
        <w:spacing w:after="0" w:line="211" w:lineRule="auto"/>
        <w:rPr>
          <w:sz w:val="20"/>
          <w:szCs w:val="20"/>
          <w:color w:val="auto"/>
        </w:rPr>
      </w:pPr>
      <w:r>
        <w:rPr>
          <w:rFonts w:ascii="Times New Roman" w:cs="Times New Roman" w:eastAsia="Times New Roman" w:hAnsi="Times New Roman"/>
          <w:sz w:val="20"/>
          <w:szCs w:val="20"/>
          <w:color w:val="auto"/>
        </w:rPr>
        <w:t xml:space="preserve">guaranties, and similar instruments,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(e) all obligations in respect of the deferred purchase price of property or services (other than trade</w:t>
      </w:r>
    </w:p>
    <w:p>
      <w:pPr>
        <w:ind w:left="6"/>
        <w:spacing w:after="0" w:line="204" w:lineRule="auto"/>
        <w:rPr>
          <w:sz w:val="20"/>
          <w:szCs w:val="20"/>
          <w:color w:val="auto"/>
        </w:rPr>
      </w:pPr>
      <w:r>
        <w:rPr>
          <w:rFonts w:ascii="Times New Roman" w:cs="Times New Roman" w:eastAsia="Times New Roman" w:hAnsi="Times New Roman"/>
          <w:sz w:val="20"/>
          <w:szCs w:val="20"/>
          <w:color w:val="auto"/>
        </w:rPr>
        <w:t xml:space="preserve">accounts payable in the ordinary course of business),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(f) Attributable Indebtedness in respect of capital leases and Synthetic Lease Obligations,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(g) without duplication, all Guarantees with respect to outstanding Indebtedness of the types specified in clauses</w:t>
      </w:r>
    </w:p>
    <w:p>
      <w:pPr>
        <w:spacing w:after="0" w:line="1" w:lineRule="exact"/>
        <w:rPr>
          <w:sz w:val="20"/>
          <w:szCs w:val="20"/>
          <w:color w:val="auto"/>
        </w:rPr>
      </w:pPr>
    </w:p>
    <w:p>
      <w:pPr>
        <w:jc w:val="both"/>
        <w:ind w:left="6" w:hanging="6"/>
        <w:spacing w:after="0" w:line="216" w:lineRule="auto"/>
        <w:tabs>
          <w:tab w:leader="none" w:pos="28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(f) above of Persons other than Borrower or any Subsidiary, and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(h) all Indebtedness of the types referred to in </w:t>
      </w:r>
      <w:r>
        <w:rPr>
          <w:rFonts w:ascii="Times New Roman" w:cs="Times New Roman" w:eastAsia="Times New Roman" w:hAnsi="Times New Roman"/>
          <w:sz w:val="20"/>
          <w:szCs w:val="20"/>
          <w:i w:val="1"/>
          <w:iCs w:val="1"/>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xml:space="preserve"> above of any partnership or joint venture (other than a joint venture that is itself a corporation or limited liability company) in which Borrower or a Subsidiary is a general partner or joint venturer, unless such Indebtedness is expressly made non-recourse to Borrower or such Subsidiary.</w:t>
      </w:r>
    </w:p>
    <w:p>
      <w:pPr>
        <w:spacing w:after="0" w:line="172" w:lineRule="exact"/>
        <w:rPr>
          <w:sz w:val="20"/>
          <w:szCs w:val="20"/>
          <w:color w:val="auto"/>
        </w:rPr>
      </w:pPr>
    </w:p>
    <w:p>
      <w:pPr>
        <w:jc w:val="both"/>
        <w:ind w:left="6"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Charges</w:t>
      </w:r>
      <w:r>
        <w:rPr>
          <w:rFonts w:ascii="Times New Roman" w:cs="Times New Roman" w:eastAsia="Times New Roman" w:hAnsi="Times New Roman"/>
          <w:sz w:val="20"/>
          <w:szCs w:val="20"/>
          <w:color w:val="auto"/>
        </w:rPr>
        <w:t xml:space="preserve">” means, for any Measurement Period,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(a) all interest, premium payments, debt discount, fees, charges and related expenses in connection with borrowed money (including capitalized interest) or in connection with the deferred</w:t>
      </w:r>
    </w:p>
    <w:p>
      <w:pPr>
        <w:spacing w:after="0" w:line="2" w:lineRule="exact"/>
        <w:rPr>
          <w:sz w:val="20"/>
          <w:szCs w:val="20"/>
          <w:color w:val="auto"/>
        </w:rPr>
      </w:pPr>
    </w:p>
    <w:p>
      <w:pPr>
        <w:jc w:val="both"/>
        <w:ind w:left="6"/>
        <w:spacing w:after="0" w:line="215" w:lineRule="auto"/>
        <w:rPr>
          <w:sz w:val="20"/>
          <w:szCs w:val="20"/>
          <w:color w:val="auto"/>
        </w:rPr>
      </w:pPr>
      <w:r>
        <w:rPr>
          <w:rFonts w:ascii="Times New Roman" w:cs="Times New Roman" w:eastAsia="Times New Roman" w:hAnsi="Times New Roman"/>
          <w:sz w:val="19"/>
          <w:szCs w:val="19"/>
          <w:color w:val="auto"/>
        </w:rPr>
        <w:t>purchase price of assets, in each case to the extent treated as interest in accordance with GAAP, (b) all interest paid or payable with respect to discontinued operations and (c) the portion of rent expense under Financing Leases that is treated as interest in accordance with GAAP, in</w:t>
      </w:r>
    </w:p>
    <w:p>
      <w:pPr>
        <w:ind w:left="6"/>
        <w:spacing w:after="0"/>
        <w:rPr>
          <w:sz w:val="20"/>
          <w:szCs w:val="20"/>
          <w:color w:val="auto"/>
        </w:rPr>
      </w:pPr>
      <w:r>
        <w:rPr>
          <w:rFonts w:ascii="Times New Roman" w:cs="Times New Roman" w:eastAsia="Times New Roman" w:hAnsi="Times New Roman"/>
          <w:sz w:val="20"/>
          <w:szCs w:val="20"/>
          <w:color w:val="auto"/>
        </w:rPr>
        <w:t>each case, of or by the Borrower and its Subsidiaries on a Consolidated basis for the most recently completed Measurement Period.</w:t>
      </w:r>
    </w:p>
    <w:p>
      <w:pPr>
        <w:spacing w:after="0" w:line="190" w:lineRule="exact"/>
        <w:rPr>
          <w:sz w:val="20"/>
          <w:szCs w:val="20"/>
          <w:color w:val="auto"/>
        </w:rPr>
      </w:pPr>
    </w:p>
    <w:p>
      <w:pPr>
        <w:jc w:val="both"/>
        <w:ind w:left="6"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Coverage Ratio</w:t>
      </w:r>
      <w:r>
        <w:rPr>
          <w:rFonts w:ascii="Times New Roman" w:cs="Times New Roman" w:eastAsia="Times New Roman" w:hAnsi="Times New Roman"/>
          <w:sz w:val="20"/>
          <w:szCs w:val="20"/>
          <w:color w:val="auto"/>
        </w:rPr>
        <w:t xml:space="preserve">” means, as of any date of determination, the ratio of (a) (i) Consolidated EBITDA for the most recently completed Measurement Period,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 cash federal, state, local and foreign income taxes for Borrower and its Subsidiaries</w:t>
      </w:r>
    </w:p>
    <w:p>
      <w:pPr>
        <w:spacing w:after="0" w:line="2" w:lineRule="exact"/>
        <w:rPr>
          <w:sz w:val="20"/>
          <w:szCs w:val="20"/>
          <w:color w:val="auto"/>
        </w:rPr>
      </w:pPr>
    </w:p>
    <w:p>
      <w:pPr>
        <w:jc w:val="both"/>
        <w:ind w:left="6"/>
        <w:spacing w:after="0" w:line="228" w:lineRule="auto"/>
        <w:rPr>
          <w:sz w:val="20"/>
          <w:szCs w:val="20"/>
          <w:color w:val="auto"/>
        </w:rPr>
      </w:pPr>
      <w:r>
        <w:rPr>
          <w:rFonts w:ascii="Times New Roman" w:cs="Times New Roman" w:eastAsia="Times New Roman" w:hAnsi="Times New Roman"/>
          <w:sz w:val="20"/>
          <w:szCs w:val="20"/>
          <w:color w:val="auto"/>
        </w:rPr>
        <w:t xml:space="preserve">for such period,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(iii) actual cash Maintenance Capital Expenditures for such period to (b) Consolidated Interest Charges, in each case, of or by the Borrower and its Subsidiaries on a consolidated basis for the most recently completed Measurement Period.</w:t>
      </w:r>
    </w:p>
    <w:p>
      <w:pPr>
        <w:spacing w:after="0" w:line="172" w:lineRule="exact"/>
        <w:rPr>
          <w:sz w:val="20"/>
          <w:szCs w:val="20"/>
          <w:color w:val="auto"/>
        </w:rPr>
      </w:pPr>
    </w:p>
    <w:p>
      <w:pPr>
        <w:jc w:val="both"/>
        <w:ind w:left="6"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Leverage Ratio</w:t>
      </w:r>
      <w:r>
        <w:rPr>
          <w:rFonts w:ascii="Times New Roman" w:cs="Times New Roman" w:eastAsia="Times New Roman" w:hAnsi="Times New Roman"/>
          <w:sz w:val="20"/>
          <w:szCs w:val="20"/>
          <w:color w:val="auto"/>
        </w:rPr>
        <w:t>” means, as of any date of determination, the ratio of (a) Consolidated Funded Indebtedness as of such date to (b) Consolidated EBITDA of the Borrower and its Subsidiaries on a Consolidated basis for the most recently completed Measurement Period.</w:t>
      </w:r>
    </w:p>
    <w:p>
      <w:pPr>
        <w:spacing w:after="0" w:line="170" w:lineRule="exact"/>
        <w:rPr>
          <w:sz w:val="20"/>
          <w:szCs w:val="20"/>
          <w:color w:val="auto"/>
        </w:rPr>
      </w:pPr>
    </w:p>
    <w:p>
      <w:pPr>
        <w:jc w:val="both"/>
        <w:ind w:left="6"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Net Income</w:t>
      </w:r>
      <w:r>
        <w:rPr>
          <w:rFonts w:ascii="Times New Roman" w:cs="Times New Roman" w:eastAsia="Times New Roman" w:hAnsi="Times New Roman"/>
          <w:sz w:val="20"/>
          <w:szCs w:val="20"/>
          <w:color w:val="auto"/>
        </w:rPr>
        <w:t xml:space="preserve">” means, at any date of determination, the net income (or loss) of the Borrower and its Subsidiaries on a Consolidated basis for the most recently completed Measurement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Consolidated Net Income shall </w:t>
      </w:r>
      <w:r>
        <w:rPr>
          <w:rFonts w:ascii="Times New Roman" w:cs="Times New Roman" w:eastAsia="Times New Roman" w:hAnsi="Times New Roman"/>
          <w:sz w:val="20"/>
          <w:szCs w:val="20"/>
          <w:i w:val="1"/>
          <w:iCs w:val="1"/>
          <w:color w:val="auto"/>
        </w:rPr>
        <w:t>exclude</w:t>
      </w:r>
      <w:r>
        <w:rPr>
          <w:rFonts w:ascii="Times New Roman" w:cs="Times New Roman" w:eastAsia="Times New Roman" w:hAnsi="Times New Roman"/>
          <w:sz w:val="20"/>
          <w:szCs w:val="20"/>
          <w:color w:val="auto"/>
        </w:rPr>
        <w:t xml:space="preserve"> (a) unusual</w:t>
      </w:r>
    </w:p>
    <w:p>
      <w:pPr>
        <w:spacing w:after="0" w:line="2" w:lineRule="exact"/>
        <w:rPr>
          <w:sz w:val="20"/>
          <w:szCs w:val="20"/>
          <w:color w:val="auto"/>
        </w:rPr>
      </w:pP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and infrequent gains and unusual and infrequent losses for such Measurement Period, (b) the net income of any Subsidiary during such Measurement Period to the extent that the declaration or payment of dividends or similar distributions by such Subsidiary of such income is</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not permitted by operation of the terms of 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Organization Documents or any agreement, instrument or Law applicable to such Subsidiary during such Measurement Period, except that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Borrower’s equity in any net loss of any such Subsidiary for such Measurement Period shall be included in determining Consolidated Net Income, and (c) any income (or loss) for such Measurement Period of any Person if such Person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a Subsidiary, except that the</w:t>
      </w:r>
    </w:p>
    <w:p>
      <w:pPr>
        <w:spacing w:after="0" w:line="223" w:lineRule="auto"/>
        <w:rPr>
          <w:sz w:val="20"/>
          <w:szCs w:val="20"/>
          <w:color w:val="auto"/>
        </w:rPr>
      </w:pPr>
      <w:r>
        <w:rPr>
          <w:rFonts w:ascii="Times New Roman" w:cs="Times New Roman" w:eastAsia="Times New Roman" w:hAnsi="Times New Roman"/>
          <w:sz w:val="19"/>
          <w:szCs w:val="19"/>
          <w:color w:val="auto"/>
        </w:rPr>
        <w:t>Borrower’s equity in the net income of any such Person for such Measurement Period shall be included in Consolidated Net Income up to the</w:t>
      </w:r>
    </w:p>
    <w:p>
      <w:pPr>
        <w:spacing w:after="0" w:line="215" w:lineRule="auto"/>
        <w:rPr>
          <w:sz w:val="20"/>
          <w:szCs w:val="20"/>
          <w:color w:val="auto"/>
        </w:rPr>
      </w:pPr>
      <w:r>
        <w:rPr>
          <w:rFonts w:ascii="Times New Roman" w:cs="Times New Roman" w:eastAsia="Times New Roman" w:hAnsi="Times New Roman"/>
          <w:sz w:val="19"/>
          <w:szCs w:val="19"/>
          <w:color w:val="auto"/>
        </w:rPr>
        <w:t>aggregate amount of cash actually distributed by such Person during such Measurement Period to the Borrower or a Subsidiary as a dividend or other distribution (and in the case of a dividend or other distribution to a Subsidiary, such Subsidiary is not precluded from further</w:t>
      </w:r>
    </w:p>
    <w:p>
      <w:pPr>
        <w:spacing w:after="0"/>
        <w:rPr>
          <w:sz w:val="20"/>
          <w:szCs w:val="20"/>
          <w:color w:val="auto"/>
        </w:rPr>
      </w:pPr>
      <w:r>
        <w:rPr>
          <w:rFonts w:ascii="Times New Roman" w:cs="Times New Roman" w:eastAsia="Times New Roman" w:hAnsi="Times New Roman"/>
          <w:sz w:val="20"/>
          <w:szCs w:val="20"/>
          <w:color w:val="auto"/>
        </w:rPr>
        <w:t xml:space="preserve">distributing such amount to the Borrower as described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of this proviso).</w:t>
      </w:r>
    </w:p>
    <w:p>
      <w:pPr>
        <w:spacing w:after="0" w:line="19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Net Leverage Ratio</w:t>
      </w:r>
      <w:r>
        <w:rPr>
          <w:rFonts w:ascii="Times New Roman" w:cs="Times New Roman" w:eastAsia="Times New Roman" w:hAnsi="Times New Roman"/>
          <w:sz w:val="20"/>
          <w:szCs w:val="20"/>
          <w:color w:val="auto"/>
        </w:rPr>
        <w:t xml:space="preserve">” means, as of any date of determination, the ratio of (a) the </w:t>
      </w:r>
      <w:r>
        <w:rPr>
          <w:rFonts w:ascii="Times New Roman" w:cs="Times New Roman" w:eastAsia="Times New Roman" w:hAnsi="Times New Roman"/>
          <w:sz w:val="20"/>
          <w:szCs w:val="20"/>
          <w:i w:val="1"/>
          <w:iCs w:val="1"/>
          <w:color w:val="auto"/>
        </w:rPr>
        <w:t>difference</w:t>
      </w:r>
      <w:r>
        <w:rPr>
          <w:rFonts w:ascii="Times New Roman" w:cs="Times New Roman" w:eastAsia="Times New Roman" w:hAnsi="Times New Roman"/>
          <w:sz w:val="20"/>
          <w:szCs w:val="20"/>
          <w:color w:val="auto"/>
        </w:rPr>
        <w:t xml:space="preserve"> of (i) Consolidated Funded Indebtedness (</w:t>
      </w:r>
      <w:r>
        <w:rPr>
          <w:rFonts w:ascii="Times New Roman" w:cs="Times New Roman" w:eastAsia="Times New Roman" w:hAnsi="Times New Roman"/>
          <w:sz w:val="20"/>
          <w:szCs w:val="20"/>
          <w:i w:val="1"/>
          <w:iCs w:val="1"/>
          <w:color w:val="auto"/>
        </w:rPr>
        <w:t>excluding</w:t>
      </w:r>
      <w:r>
        <w:rPr>
          <w:rFonts w:ascii="Times New Roman" w:cs="Times New Roman" w:eastAsia="Times New Roman" w:hAnsi="Times New Roman"/>
          <w:sz w:val="20"/>
          <w:szCs w:val="20"/>
          <w:color w:val="auto"/>
        </w:rPr>
        <w:t xml:space="preserve"> Letters of Credit that are secured by Qualified Elective L/C Cash Collateral),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the </w:t>
      </w:r>
      <w:r>
        <w:rPr>
          <w:rFonts w:ascii="Times New Roman" w:cs="Times New Roman" w:eastAsia="Times New Roman" w:hAnsi="Times New Roman"/>
          <w:sz w:val="20"/>
          <w:szCs w:val="20"/>
          <w:i w:val="1"/>
          <w:iCs w:val="1"/>
          <w:color w:val="auto"/>
        </w:rPr>
        <w:t>lesser</w:t>
      </w:r>
      <w:r>
        <w:rPr>
          <w:rFonts w:ascii="Times New Roman" w:cs="Times New Roman" w:eastAsia="Times New Roman" w:hAnsi="Times New Roman"/>
          <w:sz w:val="20"/>
          <w:szCs w:val="20"/>
          <w:color w:val="auto"/>
        </w:rPr>
        <w:t xml:space="preserve"> of (A)</w:t>
      </w:r>
    </w:p>
    <w:p>
      <w:pPr>
        <w:spacing w:after="0" w:line="213" w:lineRule="auto"/>
        <w:rPr>
          <w:sz w:val="20"/>
          <w:szCs w:val="20"/>
          <w:color w:val="auto"/>
        </w:rPr>
      </w:pPr>
      <w:r>
        <w:rPr>
          <w:rFonts w:ascii="Times New Roman" w:cs="Times New Roman" w:eastAsia="Times New Roman" w:hAnsi="Times New Roman"/>
          <w:sz w:val="20"/>
          <w:szCs w:val="20"/>
          <w:color w:val="auto"/>
        </w:rPr>
        <w:t>$60,000,000, (B) sixty percent (60.0%) of the aggregate amount of readily and immediately available cash on the balance sheet of the Loan</w:t>
      </w:r>
    </w:p>
    <w:p>
      <w:pPr>
        <w:spacing w:after="0" w:line="204" w:lineRule="auto"/>
        <w:rPr>
          <w:sz w:val="20"/>
          <w:szCs w:val="20"/>
          <w:color w:val="auto"/>
        </w:rPr>
      </w:pPr>
      <w:r>
        <w:rPr>
          <w:rFonts w:ascii="Times New Roman" w:cs="Times New Roman" w:eastAsia="Times New Roman" w:hAnsi="Times New Roman"/>
          <w:sz w:val="20"/>
          <w:szCs w:val="20"/>
          <w:color w:val="auto"/>
        </w:rPr>
        <w:t>Parties held in deposit accounts of any Loan Party (other than Cash Collateral securing the L/C Obligations, including, without limitation, Qualified Elective L/C Cash Collateral and other than Cash Collateral securing the Obligations that has been provided to, and maintained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with, Administrative Agent pursuant to </w:t>
      </w:r>
      <w:r>
        <w:rPr>
          <w:rFonts w:ascii="Times New Roman" w:cs="Times New Roman" w:eastAsia="Times New Roman" w:hAnsi="Times New Roman"/>
          <w:sz w:val="20"/>
          <w:szCs w:val="20"/>
          <w:b w:val="1"/>
          <w:bCs w:val="1"/>
          <w:i w:val="1"/>
          <w:iCs w:val="1"/>
          <w:color w:val="auto"/>
        </w:rPr>
        <w:t>Section 6.17</w:t>
      </w:r>
      <w:r>
        <w:rPr>
          <w:rFonts w:ascii="Times New Roman" w:cs="Times New Roman" w:eastAsia="Times New Roman" w:hAnsi="Times New Roman"/>
          <w:sz w:val="20"/>
          <w:szCs w:val="20"/>
          <w:color w:val="auto"/>
        </w:rPr>
        <w:t xml:space="preserve"> as a result of the occurrence of a Specified Cash Collateral Trigger Event),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such deposit accounts and the funds therein are unencumbered and free and clear of all Liens and other third-party rights (other than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Lien in favor of the Administrative Agent pursuant to the Collateral Documents and other than Cash Collateral securing the Obligations that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has been provided to, and maintained with, Administrative Agent pursuant to </w:t>
      </w:r>
      <w:r>
        <w:rPr>
          <w:rFonts w:ascii="Times New Roman" w:cs="Times New Roman" w:eastAsia="Times New Roman" w:hAnsi="Times New Roman"/>
          <w:sz w:val="20"/>
          <w:szCs w:val="20"/>
          <w:b w:val="1"/>
          <w:bCs w:val="1"/>
          <w:i w:val="1"/>
          <w:iCs w:val="1"/>
          <w:color w:val="auto"/>
        </w:rPr>
        <w:t>Section 6.17</w:t>
      </w:r>
      <w:r>
        <w:rPr>
          <w:rFonts w:ascii="Times New Roman" w:cs="Times New Roman" w:eastAsia="Times New Roman" w:hAnsi="Times New Roman"/>
          <w:sz w:val="20"/>
          <w:szCs w:val="20"/>
          <w:color w:val="auto"/>
        </w:rPr>
        <w:t xml:space="preserve"> as a result of the occurrence of a Specified Cash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Collateral Trigger Event), and (C) the aggregate face amount of the issued but undrawn amount of Letters of Credit that are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xml:space="preserve"> secured by Qualified Elective L/C Cash Collateral, as of such date, to (b) Consolidated EBITDA of the Borrower and its Subsidiaries on a Consolidated</w:t>
      </w:r>
    </w:p>
    <w:p>
      <w:pPr>
        <w:spacing w:after="0"/>
        <w:rPr>
          <w:sz w:val="20"/>
          <w:szCs w:val="20"/>
          <w:color w:val="auto"/>
        </w:rPr>
      </w:pPr>
      <w:r>
        <w:rPr>
          <w:rFonts w:ascii="Times New Roman" w:cs="Times New Roman" w:eastAsia="Times New Roman" w:hAnsi="Times New Roman"/>
          <w:sz w:val="20"/>
          <w:szCs w:val="20"/>
          <w:color w:val="auto"/>
        </w:rPr>
        <w:t>basis for the most recently completed Measurement Period.</w:t>
      </w:r>
    </w:p>
    <w:p>
      <w:pPr>
        <w:spacing w:after="0" w:line="17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Controlled</w:t>
      </w:r>
      <w:r>
        <w:rPr>
          <w:rFonts w:ascii="Times New Roman" w:cs="Times New Roman" w:eastAsia="Times New Roman" w:hAnsi="Times New Roman"/>
          <w:sz w:val="20"/>
          <w:szCs w:val="20"/>
          <w:color w:val="auto"/>
        </w:rPr>
        <w:t>” have meanings</w:t>
      </w:r>
    </w:p>
    <w:p>
      <w:pPr>
        <w:spacing w:after="0" w:line="213" w:lineRule="auto"/>
        <w:rPr>
          <w:sz w:val="20"/>
          <w:szCs w:val="20"/>
          <w:color w:val="auto"/>
        </w:rPr>
      </w:pPr>
      <w:r>
        <w:rPr>
          <w:rFonts w:ascii="Times New Roman" w:cs="Times New Roman" w:eastAsia="Times New Roman" w:hAnsi="Times New Roman"/>
          <w:sz w:val="20"/>
          <w:szCs w:val="20"/>
          <w:color w:val="auto"/>
        </w:rPr>
        <w:t>correlative thereto. Without limiting the generality of the foregoing, a Person shall be deemed to be Controlled by another Person if such</w:t>
      </w:r>
    </w:p>
    <w:p>
      <w:pPr>
        <w:spacing w:after="0" w:line="221" w:lineRule="auto"/>
        <w:rPr>
          <w:sz w:val="20"/>
          <w:szCs w:val="20"/>
          <w:color w:val="auto"/>
        </w:rPr>
      </w:pPr>
      <w:r>
        <w:rPr>
          <w:rFonts w:ascii="Times New Roman" w:cs="Times New Roman" w:eastAsia="Times New Roman" w:hAnsi="Times New Roman"/>
          <w:sz w:val="20"/>
          <w:szCs w:val="20"/>
          <w:color w:val="auto"/>
        </w:rPr>
        <w:t>other Person possesses, directly or indirectly, power to vote 10% or more of the securities having ordinary voting power for the election of directors, managing general partners or the equivalent</w:t>
      </w:r>
      <w:r>
        <w:rPr>
          <w:rFonts w:ascii="Times New Roman" w:cs="Times New Roman" w:eastAsia="Times New Roman" w:hAnsi="Times New Roman"/>
          <w:sz w:val="20"/>
          <w:szCs w:val="20"/>
          <w:b w:val="1"/>
          <w:bCs w:val="1"/>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Cost of Acquisition</w:t>
      </w:r>
      <w:r>
        <w:rPr>
          <w:rFonts w:ascii="Times New Roman" w:cs="Times New Roman" w:eastAsia="Times New Roman" w:hAnsi="Times New Roman"/>
          <w:sz w:val="20"/>
          <w:szCs w:val="20"/>
          <w:color w:val="auto"/>
        </w:rPr>
        <w:t>” means, with respect to any Acquisition, as at the date of entering into any agreement therefor, the sum of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following (without duplication): (a) the value of the Equity Interests of the Borrower or any Subsidiary to be transferred in connection with such Acquisition, (b) the amount of any cash and fair market value of other property (excluding property described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and the</w:t>
      </w:r>
    </w:p>
    <w:p>
      <w:pPr>
        <w:spacing w:after="0" w:line="211" w:lineRule="auto"/>
        <w:rPr>
          <w:sz w:val="20"/>
          <w:szCs w:val="20"/>
          <w:color w:val="auto"/>
        </w:rPr>
      </w:pPr>
      <w:r>
        <w:rPr>
          <w:rFonts w:ascii="Times New Roman" w:cs="Times New Roman" w:eastAsia="Times New Roman" w:hAnsi="Times New Roman"/>
          <w:sz w:val="20"/>
          <w:szCs w:val="20"/>
          <w:color w:val="auto"/>
        </w:rPr>
        <w:t>unpaid principal amount of any debt instrument) given as consideration in connection with such Acquisition, (c) the amount (determined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using the face amount or the amount payable at maturity, whichever is greater) of any Indebtedness incurred, assumed or acquired by the Borrower or any Subsidiary in connection with such Acquisition, (d) all additional purchase price amounts in the form of earnouts and other</w:t>
      </w:r>
    </w:p>
    <w:p>
      <w:pPr>
        <w:spacing w:after="0" w:line="211" w:lineRule="auto"/>
        <w:rPr>
          <w:sz w:val="20"/>
          <w:szCs w:val="20"/>
          <w:color w:val="auto"/>
        </w:rPr>
      </w:pPr>
      <w:r>
        <w:rPr>
          <w:rFonts w:ascii="Times New Roman" w:cs="Times New Roman" w:eastAsia="Times New Roman" w:hAnsi="Times New Roman"/>
          <w:sz w:val="20"/>
          <w:szCs w:val="20"/>
          <w:color w:val="auto"/>
        </w:rPr>
        <w:t>contingent obligations that should be recorded on the financial statements of the Borrower and its Subsidiaries in accordance with GAAP in</w:t>
      </w:r>
    </w:p>
    <w:p>
      <w:pPr>
        <w:spacing w:after="0" w:line="204" w:lineRule="auto"/>
        <w:rPr>
          <w:sz w:val="20"/>
          <w:szCs w:val="20"/>
          <w:color w:val="auto"/>
        </w:rPr>
      </w:pPr>
      <w:r>
        <w:rPr>
          <w:rFonts w:ascii="Times New Roman" w:cs="Times New Roman" w:eastAsia="Times New Roman" w:hAnsi="Times New Roman"/>
          <w:sz w:val="20"/>
          <w:szCs w:val="20"/>
          <w:color w:val="auto"/>
        </w:rPr>
        <w:t>connection with such Acquisition, (e) all amounts paid in respect of covenants not to compete and consulting agreements that should be recorded on the financial statements of the Borrower and its Subsidiaries in accordance with GAAP, and other affiliated contracts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connection with such Acquisition, and (f) the aggregate fair market value of all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other consideration given by the Borrower or any Subsidiary in connection with such Acquisition. For purposes of determining the Cost of Acquisition for any transaction, the Equity Interests of the Borrower shall be valued in accordance with GAAP.</w:t>
      </w:r>
    </w:p>
    <w:p>
      <w:pPr>
        <w:spacing w:after="0" w:line="17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Entity</w:t>
      </w:r>
      <w:r>
        <w:rPr>
          <w:rFonts w:ascii="Times New Roman" w:cs="Times New Roman" w:eastAsia="Times New Roman" w:hAnsi="Times New Roman"/>
          <w:sz w:val="20"/>
          <w:szCs w:val="20"/>
          <w:color w:val="auto"/>
        </w:rPr>
        <w:t>” means any of the following: (a) a “</w:t>
      </w:r>
      <w:r>
        <w:rPr>
          <w:rFonts w:ascii="Times New Roman" w:cs="Times New Roman" w:eastAsia="Times New Roman" w:hAnsi="Times New Roman"/>
          <w:sz w:val="20"/>
          <w:szCs w:val="20"/>
          <w:i w:val="1"/>
          <w:iCs w:val="1"/>
          <w:color w:val="auto"/>
        </w:rPr>
        <w:t>covered entity</w:t>
      </w:r>
      <w:r>
        <w:rPr>
          <w:rFonts w:ascii="Times New Roman" w:cs="Times New Roman" w:eastAsia="Times New Roman" w:hAnsi="Times New Roman"/>
          <w:sz w:val="20"/>
          <w:szCs w:val="20"/>
          <w:color w:val="auto"/>
        </w:rPr>
        <w:t>” as that term is defined in, and interpreted in accordance with, 12 C.F.R. §252.82(b); (b) a “</w:t>
      </w:r>
      <w:r>
        <w:rPr>
          <w:rFonts w:ascii="Times New Roman" w:cs="Times New Roman" w:eastAsia="Times New Roman" w:hAnsi="Times New Roman"/>
          <w:sz w:val="20"/>
          <w:szCs w:val="20"/>
          <w:i w:val="1"/>
          <w:iCs w:val="1"/>
          <w:color w:val="auto"/>
        </w:rPr>
        <w:t>covered bank</w:t>
      </w:r>
      <w:r>
        <w:rPr>
          <w:rFonts w:ascii="Times New Roman" w:cs="Times New Roman" w:eastAsia="Times New Roman" w:hAnsi="Times New Roman"/>
          <w:sz w:val="20"/>
          <w:szCs w:val="20"/>
          <w:color w:val="auto"/>
        </w:rPr>
        <w:t>” as that term is defined in, and interpreted in accordance with, 12 C.F.R. §47.3(b); or (c) a “</w:t>
      </w:r>
      <w:r>
        <w:rPr>
          <w:rFonts w:ascii="Times New Roman" w:cs="Times New Roman" w:eastAsia="Times New Roman" w:hAnsi="Times New Roman"/>
          <w:sz w:val="20"/>
          <w:szCs w:val="20"/>
          <w:i w:val="1"/>
          <w:iCs w:val="1"/>
          <w:color w:val="auto"/>
        </w:rPr>
        <w:t>covered FSI</w:t>
      </w:r>
      <w:r>
        <w:rPr>
          <w:rFonts w:ascii="Times New Roman" w:cs="Times New Roman" w:eastAsia="Times New Roman" w:hAnsi="Times New Roman"/>
          <w:sz w:val="20"/>
          <w:szCs w:val="20"/>
          <w:color w:val="auto"/>
        </w:rPr>
        <w:t>” as that term is defined in, and interpreted in accordance with, 12 C.F.R. §382.2(b).</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Daily Simple SOFR</w:t>
      </w:r>
      <w:r>
        <w:rPr>
          <w:rFonts w:ascii="Times New Roman" w:cs="Times New Roman" w:eastAsia="Times New Roman" w:hAnsi="Times New Roman"/>
          <w:sz w:val="20"/>
          <w:szCs w:val="20"/>
          <w:color w:val="auto"/>
        </w:rPr>
        <w:t>” means, with respect to any applicable determination date, SOFR published on such date by the Federal</w:t>
      </w:r>
    </w:p>
    <w:p>
      <w:pPr>
        <w:jc w:val="both"/>
        <w:spacing w:after="0" w:line="221" w:lineRule="auto"/>
        <w:rPr>
          <w:sz w:val="20"/>
          <w:szCs w:val="20"/>
          <w:color w:val="auto"/>
        </w:rPr>
      </w:pPr>
      <w:r>
        <w:rPr>
          <w:rFonts w:ascii="Times New Roman" w:cs="Times New Roman" w:eastAsia="Times New Roman" w:hAnsi="Times New Roman"/>
          <w:sz w:val="20"/>
          <w:szCs w:val="20"/>
          <w:color w:val="auto"/>
        </w:rPr>
        <w:t>Reserve Bank of New York, as the administrator of the benchmark (or a successor administrator) on the Federal Reserve Bank of New York’s website (or any successor source).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w:t>
      </w:r>
    </w:p>
    <w:p>
      <w:pPr>
        <w:jc w:val="both"/>
        <w:spacing w:after="0" w:line="221" w:lineRule="auto"/>
        <w:rPr>
          <w:sz w:val="20"/>
          <w:szCs w:val="20"/>
          <w:color w:val="auto"/>
        </w:rPr>
      </w:pPr>
      <w:r>
        <w:rPr>
          <w:rFonts w:ascii="Times New Roman" w:cs="Times New Roman" w:eastAsia="Times New Roman" w:hAnsi="Times New Roman"/>
          <w:sz w:val="20"/>
          <w:szCs w:val="20"/>
          <w:color w:val="auto"/>
        </w:rPr>
        <w:t>assignment for the benefit of creditors, moratorium, rearrangement, receivership, insolvency, reorganization, or similar debtor relief Laws of the United States or other applicable jurisdictions from time to time in effect.</w:t>
      </w:r>
    </w:p>
    <w:p>
      <w:pPr>
        <w:spacing w:after="0" w:line="185"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6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means (a) with respect to any Obligation for which a rate is specified, a rate per annum equal to 2% in </w:t>
      </w:r>
      <w:r>
        <w:rPr>
          <w:rFonts w:ascii="Times New Roman" w:cs="Times New Roman" w:eastAsia="Times New Roman" w:hAnsi="Times New Roman"/>
          <w:sz w:val="20"/>
          <w:szCs w:val="20"/>
          <w:i w:val="1"/>
          <w:iCs w:val="1"/>
          <w:color w:val="auto"/>
        </w:rPr>
        <w:t>excess</w:t>
      </w:r>
      <w:r>
        <w:rPr>
          <w:rFonts w:ascii="Times New Roman" w:cs="Times New Roman" w:eastAsia="Times New Roman" w:hAnsi="Times New Roman"/>
          <w:sz w:val="20"/>
          <w:szCs w:val="20"/>
          <w:color w:val="auto"/>
        </w:rPr>
        <w:t xml:space="preserve"> of the rate otherwise applicable thereto and (b) with respect to any Obligation for which a rate is not specified or available, a rate per annum equal</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for Revolving Loans that are Base Rate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in each case, to the fullest extent permitted by Applicable Law.</w:t>
      </w:r>
    </w:p>
    <w:p>
      <w:pPr>
        <w:spacing w:after="0" w:line="185"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§§252.81, 47.2 or 382.1, as applicable.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any Lender that (a) has failed to (i) fund all or any portion of its Loans</w:t>
      </w:r>
    </w:p>
    <w:p>
      <w:pPr>
        <w:jc w:val="both"/>
        <w:spacing w:after="0" w:line="215" w:lineRule="auto"/>
        <w:rPr>
          <w:sz w:val="20"/>
          <w:szCs w:val="20"/>
          <w:color w:val="auto"/>
        </w:rPr>
      </w:pPr>
      <w:r>
        <w:rPr>
          <w:rFonts w:ascii="Times New Roman" w:cs="Times New Roman" w:eastAsia="Times New Roman" w:hAnsi="Times New Roman"/>
          <w:sz w:val="19"/>
          <w:szCs w:val="19"/>
          <w:color w:val="auto"/>
        </w:rPr>
        <w:t>within two Business Days of the date such Loans were required to be funded hereunder unless such Lender notifies the Administrative Agent and the Borrower in writing that such failure is the result of such Lender’s determination that one or more conditions precedent to funding</w:t>
      </w:r>
    </w:p>
    <w:p>
      <w:pPr>
        <w:spacing w:after="0" w:line="211" w:lineRule="auto"/>
        <w:rPr>
          <w:sz w:val="20"/>
          <w:szCs w:val="20"/>
          <w:color w:val="auto"/>
        </w:rPr>
      </w:pPr>
      <w:r>
        <w:rPr>
          <w:rFonts w:ascii="Times New Roman" w:cs="Times New Roman" w:eastAsia="Times New Roman" w:hAnsi="Times New Roman"/>
          <w:sz w:val="20"/>
          <w:szCs w:val="20"/>
          <w:color w:val="auto"/>
        </w:rPr>
        <w:t>(each of which conditions precedent, together with any applicable default, shall be specifically identified in such writing) has not been</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satisfied, or (ii) pay to the Administrative Agent, the L/C Issuer, the Swingline Lender or any other Lender any other amount required to be paid by it hereunder (including in respect of its participation in Letters of Credit or Swingline Loans) within two Business Days of the date</w:t>
      </w:r>
    </w:p>
    <w:p>
      <w:pPr>
        <w:spacing w:after="0" w:line="211" w:lineRule="auto"/>
        <w:rPr>
          <w:sz w:val="20"/>
          <w:szCs w:val="20"/>
          <w:color w:val="auto"/>
        </w:rPr>
      </w:pPr>
      <w:r>
        <w:rPr>
          <w:rFonts w:ascii="Times New Roman" w:cs="Times New Roman" w:eastAsia="Times New Roman" w:hAnsi="Times New Roman"/>
          <w:sz w:val="20"/>
          <w:szCs w:val="20"/>
          <w:color w:val="auto"/>
        </w:rPr>
        <w:t>when due, (b) has notified the Borrower, the Administrative Agent, the L/C Issuer or the Swingline Lender in writing that it does not intend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w:t>
      </w:r>
    </w:p>
    <w:p>
      <w:pPr>
        <w:spacing w:after="0" w:line="211" w:lineRule="auto"/>
        <w:rPr>
          <w:sz w:val="20"/>
          <w:szCs w:val="20"/>
          <w:color w:val="auto"/>
        </w:rPr>
      </w:pPr>
      <w:r>
        <w:rPr>
          <w:rFonts w:ascii="Times New Roman" w:cs="Times New Roman" w:eastAsia="Times New Roman" w:hAnsi="Times New Roman"/>
          <w:sz w:val="20"/>
          <w:szCs w:val="20"/>
          <w:color w:val="auto"/>
        </w:rPr>
        <w:t>precedent to funding (which condition precedent, together with any applicable default, shall be specifically identified in such writing or</w:t>
      </w:r>
    </w:p>
    <w:p>
      <w:pPr>
        <w:jc w:val="both"/>
        <w:spacing w:after="0" w:line="204" w:lineRule="auto"/>
        <w:rPr>
          <w:sz w:val="20"/>
          <w:szCs w:val="20"/>
          <w:color w:val="auto"/>
        </w:rPr>
      </w:pPr>
      <w:r>
        <w:rPr>
          <w:rFonts w:ascii="Times New Roman" w:cs="Times New Roman" w:eastAsia="Times New Roman" w:hAnsi="Times New Roman"/>
          <w:sz w:val="20"/>
          <w:szCs w:val="20"/>
          <w:color w:val="auto"/>
        </w:rPr>
        <w:t>public statement) cannot be satisfied), (c) has failed, within three Business Days after written request by the Administrative Agent or the Borrower, to confirm in writing to the Administrative Agent and the Borrower that it will comply with its prospective funding obligations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upon receipt of such written confirmation by the Administrative Agent and the Borrower), or (d) has,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has a direct or indirect parent company that has, (i) become the subject of a proceeding under any Debtor Relief Law, (ii) had appointed for it</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acting in such a capacity or (iii)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virtue of the ownership or acquisition of any Equity Interest in that Lender or any direct or indirect parent company thereof by a Governmental Authority so long as such ownership interest does not result in or provide such Lender with immunity from the jurisdiction of</w:t>
      </w:r>
    </w:p>
    <w:p>
      <w:pPr>
        <w:spacing w:after="0" w:line="211" w:lineRule="auto"/>
        <w:rPr>
          <w:sz w:val="20"/>
          <w:szCs w:val="20"/>
          <w:color w:val="auto"/>
        </w:rPr>
      </w:pPr>
      <w:r>
        <w:rPr>
          <w:rFonts w:ascii="Times New Roman" w:cs="Times New Roman" w:eastAsia="Times New Roman" w:hAnsi="Times New Roman"/>
          <w:sz w:val="20"/>
          <w:szCs w:val="20"/>
          <w:color w:val="auto"/>
        </w:rPr>
        <w:t>courts within the United States or from the enforcement of judgments or writs of attachment on its assets or permit such Lender (or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b w:val="1"/>
          <w:bCs w:val="1"/>
          <w:i w:val="1"/>
          <w:i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above, and the effective</w:t>
      </w:r>
    </w:p>
    <w:p>
      <w:pPr>
        <w:spacing w:after="0" w:line="211" w:lineRule="auto"/>
        <w:rPr>
          <w:sz w:val="20"/>
          <w:szCs w:val="20"/>
          <w:color w:val="auto"/>
        </w:rPr>
      </w:pPr>
      <w:r>
        <w:rPr>
          <w:rFonts w:ascii="Times New Roman" w:cs="Times New Roman" w:eastAsia="Times New Roman" w:hAnsi="Times New Roman"/>
          <w:sz w:val="20"/>
          <w:szCs w:val="20"/>
          <w:color w:val="auto"/>
        </w:rPr>
        <w:t>date of such status, shall be conclusive and binding absent manifest error, and such Lender shall be deemed to be a Defaulting Lender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Borrower, the L/C Issuer, the Swingline Lender and each other Lender promptly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such determination.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is the subject of any Sanction.</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Dispose</w:t>
      </w:r>
      <w:r>
        <w:rPr>
          <w:rFonts w:ascii="Times New Roman" w:cs="Times New Roman" w:eastAsia="Times New Roman" w:hAnsi="Times New Roman"/>
          <w:sz w:val="19"/>
          <w:szCs w:val="19"/>
          <w:color w:val="auto"/>
        </w:rPr>
        <w:t>” means the sale, transfer, license, lease or other disposition (including any Sale and Leaseback Transaction), in one (1) transaction or in a series of transactions and whether effected pursuant to a Division or otherwise, of any property by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any Loan Party or Subsidiary (or the granting of any option or other right to do any of the foregoing), including any sale, assignment, transfer or other disposal, with or without recourse, of any notes or accounts receivable or any rights and claims associated therewith.</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Dividing Person</w:t>
      </w:r>
      <w:r>
        <w:rPr>
          <w:rFonts w:ascii="Times New Roman" w:cs="Times New Roman" w:eastAsia="Times New Roman" w:hAnsi="Times New Roman"/>
          <w:sz w:val="20"/>
          <w:szCs w:val="20"/>
          <w:color w:val="auto"/>
        </w:rPr>
        <w:t>” has the meaning assigned to it in the definition of “</w:t>
      </w:r>
      <w:r>
        <w:rPr>
          <w:rFonts w:ascii="Times New Roman" w:cs="Times New Roman" w:eastAsia="Times New Roman" w:hAnsi="Times New Roman"/>
          <w:sz w:val="20"/>
          <w:szCs w:val="20"/>
          <w:i w:val="1"/>
          <w:iCs w:val="1"/>
          <w:color w:val="auto"/>
        </w:rPr>
        <w:t>Division.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b w:val="1"/>
          <w:bCs w:val="1"/>
          <w:i w:val="1"/>
          <w:iCs w:val="1"/>
          <w:color w:val="auto"/>
        </w:rPr>
        <w:t>Dividing Person</w:t>
      </w:r>
      <w:r>
        <w:rPr>
          <w:rFonts w:ascii="Times New Roman" w:cs="Times New Roman" w:eastAsia="Times New Roman" w:hAnsi="Times New Roman"/>
          <w:sz w:val="20"/>
          <w:szCs w:val="20"/>
          <w:color w:val="auto"/>
        </w:rPr>
        <w:t>”) among two (2) or more Persons (whether pursuant to a “</w:t>
      </w:r>
      <w:r>
        <w:rPr>
          <w:rFonts w:ascii="Times New Roman" w:cs="Times New Roman" w:eastAsia="Times New Roman" w:hAnsi="Times New Roman"/>
          <w:sz w:val="20"/>
          <w:szCs w:val="20"/>
          <w:i w:val="1"/>
          <w:iCs w:val="1"/>
          <w:color w:val="auto"/>
        </w:rPr>
        <w:t>plan of division</w:t>
      </w:r>
      <w:r>
        <w:rPr>
          <w:rFonts w:ascii="Times New Roman" w:cs="Times New Roman" w:eastAsia="Times New Roman" w:hAnsi="Times New Roman"/>
          <w:sz w:val="20"/>
          <w:szCs w:val="20"/>
          <w:color w:val="auto"/>
        </w:rPr>
        <w:t>” or similar arrangement), which may or may not include the Dividing Person and pursuant to which the Dividing Person may or may not survive.</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mean lawful money of the United States.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 Equivalent</w:t>
      </w:r>
      <w:r>
        <w:rPr>
          <w:rFonts w:ascii="Times New Roman" w:cs="Times New Roman" w:eastAsia="Times New Roman" w:hAnsi="Times New Roman"/>
          <w:sz w:val="20"/>
          <w:szCs w:val="20"/>
          <w:color w:val="auto"/>
        </w:rPr>
        <w:t>” means, for any amount, at the time of determination thereof, (a) if such amount is expressed in Dollars,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amount, (b) if such amount is expressed in an Alternative Currency, the equivalent of such amount in Dollars determined by using the rate of exchange for the purchase of dollars with the Alternative Currency last provided (either by publication or otherwise provided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or the L/C Issuer, as applicable) by the applicable Bloomberg source (or such other publicly available source for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displaying exchange rates) on date that is two Business Days immediately preceding the date of determination (or if such service ceases to be available or ceases to provide such rate of exchange, the equivalent of such amount in Dollars as determined by the Administrative Agent or</w:t>
      </w:r>
    </w:p>
    <w:p>
      <w:pPr>
        <w:spacing w:after="0" w:line="211" w:lineRule="auto"/>
        <w:rPr>
          <w:sz w:val="20"/>
          <w:szCs w:val="20"/>
          <w:color w:val="auto"/>
        </w:rPr>
      </w:pPr>
      <w:r>
        <w:rPr>
          <w:rFonts w:ascii="Times New Roman" w:cs="Times New Roman" w:eastAsia="Times New Roman" w:hAnsi="Times New Roman"/>
          <w:sz w:val="20"/>
          <w:szCs w:val="20"/>
          <w:color w:val="auto"/>
        </w:rPr>
        <w:t>the L/C Issuer, as applicable using any method of determination it deems appropriate in its sole discretion), and (c) if such amount is</w:t>
      </w:r>
    </w:p>
    <w:p>
      <w:pPr>
        <w:jc w:val="both"/>
        <w:spacing w:after="0" w:line="215" w:lineRule="auto"/>
        <w:rPr>
          <w:sz w:val="20"/>
          <w:szCs w:val="20"/>
          <w:color w:val="auto"/>
        </w:rPr>
      </w:pPr>
      <w:r>
        <w:rPr>
          <w:rFonts w:ascii="Times New Roman" w:cs="Times New Roman" w:eastAsia="Times New Roman" w:hAnsi="Times New Roman"/>
          <w:sz w:val="19"/>
          <w:szCs w:val="19"/>
          <w:color w:val="auto"/>
        </w:rPr>
        <w:t>denominated in any other currency, the equivalent of such amount in Dollars as determined by the Administrative Agent or the L/C Issuer, as applicable, using any method of determination it deems appropriate in its sole discretion. Any determination by the Administrative Agent or</w:t>
      </w:r>
    </w:p>
    <w:p>
      <w:pPr>
        <w:spacing w:after="0"/>
        <w:rPr>
          <w:sz w:val="20"/>
          <w:szCs w:val="20"/>
          <w:color w:val="auto"/>
        </w:rPr>
      </w:pPr>
      <w:r>
        <w:rPr>
          <w:rFonts w:ascii="Times New Roman" w:cs="Times New Roman" w:eastAsia="Times New Roman" w:hAnsi="Times New Roman"/>
          <w:sz w:val="20"/>
          <w:szCs w:val="20"/>
          <w:color w:val="auto"/>
        </w:rPr>
        <w:t xml:space="preserve">the L/C Issuer pursuant to </w:t>
      </w:r>
      <w:r>
        <w:rPr>
          <w:rFonts w:ascii="Times New Roman" w:cs="Times New Roman" w:eastAsia="Times New Roman" w:hAnsi="Times New Roman"/>
          <w:sz w:val="20"/>
          <w:szCs w:val="20"/>
          <w:b w:val="1"/>
          <w:bCs w:val="1"/>
          <w:i w:val="1"/>
          <w:i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above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thereof or the District of Columbia.</w:t>
      </w:r>
    </w:p>
    <w:p>
      <w:pPr>
        <w:spacing w:after="0" w:line="165" w:lineRule="exact"/>
        <w:rPr>
          <w:sz w:val="20"/>
          <w:szCs w:val="20"/>
          <w:color w:val="auto"/>
        </w:rPr>
      </w:pPr>
    </w:p>
    <w:p>
      <w:pPr>
        <w:jc w:val="both"/>
        <w:ind w:left="6"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w:t>
      </w:r>
    </w:p>
    <w:p>
      <w:pPr>
        <w:spacing w:after="0" w:line="2" w:lineRule="exact"/>
        <w:rPr>
          <w:sz w:val="20"/>
          <w:szCs w:val="20"/>
          <w:color w:val="auto"/>
        </w:rPr>
      </w:pPr>
    </w:p>
    <w:p>
      <w:pPr>
        <w:jc w:val="both"/>
        <w:ind w:left="6"/>
        <w:spacing w:after="0" w:line="221" w:lineRule="auto"/>
        <w:rPr>
          <w:sz w:val="20"/>
          <w:szCs w:val="20"/>
          <w:color w:val="auto"/>
        </w:rPr>
      </w:pPr>
      <w:r>
        <w:rPr>
          <w:rFonts w:ascii="Times New Roman" w:cs="Times New Roman" w:eastAsia="Times New Roman" w:hAnsi="Times New Roman"/>
          <w:sz w:val="20"/>
          <w:szCs w:val="20"/>
          <w:color w:val="auto"/>
        </w:rPr>
        <w:t xml:space="preserve">institution described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b w:val="1"/>
          <w:bCs w:val="1"/>
          <w:i w:val="1"/>
          <w:i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of this definition and is subject to consolidated supervision with its parent.</w:t>
      </w:r>
    </w:p>
    <w:p>
      <w:pPr>
        <w:spacing w:after="0" w:line="18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left="6"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Electronic Copy</w:t>
      </w:r>
      <w:r>
        <w:rPr>
          <w:rFonts w:ascii="Times New Roman" w:cs="Times New Roman" w:eastAsia="Times New Roman" w:hAnsi="Times New Roman"/>
          <w:sz w:val="20"/>
          <w:szCs w:val="20"/>
          <w:color w:val="auto"/>
        </w:rPr>
        <w:t xml:space="preserve">” shall have the meaning specified in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18</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Electronic Signature</w:t>
      </w:r>
      <w:r>
        <w:rPr>
          <w:rFonts w:ascii="Times New Roman" w:cs="Times New Roman" w:eastAsia="Times New Roman" w:hAnsi="Times New Roman"/>
          <w:sz w:val="20"/>
          <w:szCs w:val="20"/>
          <w:color w:val="auto"/>
        </w:rPr>
        <w:t>” shall have the meanings assigned to them, respectively, by fifteen (15) U.S.C.</w:t>
      </w:r>
    </w:p>
    <w:p>
      <w:pPr>
        <w:ind w:left="6"/>
        <w:spacing w:after="0"/>
        <w:rPr>
          <w:sz w:val="20"/>
          <w:szCs w:val="20"/>
          <w:color w:val="auto"/>
        </w:rPr>
      </w:pPr>
      <w:r>
        <w:rPr>
          <w:rFonts w:ascii="Times New Roman" w:cs="Times New Roman" w:eastAsia="Times New Roman" w:hAnsi="Times New Roman"/>
          <w:sz w:val="20"/>
          <w:szCs w:val="20"/>
          <w:color w:val="auto"/>
        </w:rPr>
        <w:t>§7006, as it may be amended from time to time.</w:t>
      </w:r>
    </w:p>
    <w:p>
      <w:pPr>
        <w:spacing w:after="0" w:line="190" w:lineRule="exact"/>
        <w:rPr>
          <w:sz w:val="20"/>
          <w:szCs w:val="20"/>
          <w:color w:val="auto"/>
        </w:rPr>
      </w:pPr>
    </w:p>
    <w:p>
      <w:pPr>
        <w:jc w:val="both"/>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iii</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left="6"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Eligible Currency</w:t>
      </w:r>
      <w:r>
        <w:rPr>
          <w:rFonts w:ascii="Times New Roman" w:cs="Times New Roman" w:eastAsia="Times New Roman" w:hAnsi="Times New Roman"/>
          <w:sz w:val="19"/>
          <w:szCs w:val="19"/>
          <w:color w:val="auto"/>
        </w:rPr>
        <w:t>” means any lawful currency other than Dollars that is readily available, freely transferable and convertible into Dollars in the international interbank market available to the Lenders or the L/C Issuer, as applicable, in such market and as to which a Dollar</w:t>
      </w:r>
    </w:p>
    <w:p>
      <w:pPr>
        <w:spacing w:after="0" w:line="1" w:lineRule="exact"/>
        <w:rPr>
          <w:sz w:val="20"/>
          <w:szCs w:val="20"/>
          <w:color w:val="auto"/>
        </w:rPr>
      </w:pP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Equivalent may be readily calculated. If, after the designation by the Lenders or the L/C Issuer, as applicable, of any currency as an Alternative Currency (or if, with respect to any currency that constitutes an Alternative Currency on the Closing Date, after the Closing</w:t>
      </w:r>
    </w:p>
    <w:p>
      <w:pPr>
        <w:spacing w:after="0" w:line="1" w:lineRule="exact"/>
        <w:rPr>
          <w:sz w:val="20"/>
          <w:szCs w:val="20"/>
          <w:color w:val="auto"/>
        </w:rPr>
      </w:pPr>
    </w:p>
    <w:p>
      <w:pPr>
        <w:jc w:val="both"/>
        <w:ind w:left="6"/>
        <w:spacing w:after="0" w:line="215" w:lineRule="auto"/>
        <w:rPr>
          <w:sz w:val="20"/>
          <w:szCs w:val="20"/>
          <w:color w:val="auto"/>
        </w:rPr>
      </w:pPr>
      <w:r>
        <w:rPr>
          <w:rFonts w:ascii="Times New Roman" w:cs="Times New Roman" w:eastAsia="Times New Roman" w:hAnsi="Times New Roman"/>
          <w:sz w:val="19"/>
          <w:szCs w:val="19"/>
          <w:color w:val="auto"/>
        </w:rPr>
        <w:t>Date), any change in currency controls or exchange regulations or any change in the national or international financial, political or economic conditions are imposed in the country in which such currency is issued, result in, in the reasonable opinion of the Administrative Agent (in</w:t>
      </w:r>
    </w:p>
    <w:p>
      <w:pPr>
        <w:ind w:left="6"/>
        <w:spacing w:after="0" w:line="222" w:lineRule="auto"/>
        <w:rPr>
          <w:sz w:val="20"/>
          <w:szCs w:val="20"/>
          <w:color w:val="auto"/>
        </w:rPr>
      </w:pPr>
      <w:r>
        <w:rPr>
          <w:rFonts w:ascii="Times New Roman" w:cs="Times New Roman" w:eastAsia="Times New Roman" w:hAnsi="Times New Roman"/>
          <w:sz w:val="19"/>
          <w:szCs w:val="19"/>
          <w:color w:val="auto"/>
        </w:rPr>
        <w:t>the case of any Loans to be denominated in an Alternative Currency) or the L/C Issuer (in the case of any Letter of Credit to be denominated</w:t>
      </w:r>
    </w:p>
    <w:p>
      <w:pPr>
        <w:jc w:val="both"/>
        <w:ind w:left="6"/>
        <w:spacing w:after="0" w:line="215" w:lineRule="auto"/>
        <w:rPr>
          <w:sz w:val="20"/>
          <w:szCs w:val="20"/>
          <w:color w:val="auto"/>
        </w:rPr>
      </w:pPr>
      <w:r>
        <w:rPr>
          <w:rFonts w:ascii="Times New Roman" w:cs="Times New Roman" w:eastAsia="Times New Roman" w:hAnsi="Times New Roman"/>
          <w:sz w:val="19"/>
          <w:szCs w:val="19"/>
          <w:color w:val="auto"/>
        </w:rPr>
        <w:t>in an Alternative Currency), (a) such currency no longer being readily available, freely transferable and convertible into Dollars, (b) a Dollar Equivalent is no longer readily calculable with respect to such currency, (c) providing such currency is impracticable for the Lenders or</w:t>
      </w:r>
    </w:p>
    <w:p>
      <w:pPr>
        <w:jc w:val="both"/>
        <w:ind w:left="6" w:hanging="6"/>
        <w:spacing w:after="0" w:line="215" w:lineRule="auto"/>
        <w:tabs>
          <w:tab w:leader="none" w:pos="33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longer a currency in which the Lenders are willing to make such Credit Extensions (each of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i w:val="1"/>
          <w:iCs w:val="1"/>
          <w:color w:val="auto"/>
        </w:rPr>
        <w:t>Disqualifying Event</w:t>
      </w:r>
      <w:r>
        <w:rPr>
          <w:rFonts w:ascii="Times New Roman" w:cs="Times New Roman" w:eastAsia="Times New Roman" w:hAnsi="Times New Roman"/>
          <w:sz w:val="20"/>
          <w:szCs w:val="20"/>
          <w:color w:val="auto"/>
        </w:rPr>
        <w:t>”), then the Administrative Agent shall promptly notify the Lenders and the Borrower, and such country’s currency shall no longer be an Alternative Currency until such time as the Disqualifying Event(s) no longer exist. Within five Business Days after receipt of such notice from the Administrative Agent, the Borrower shall repay all Loans in such currency to which the Disqualifying Event applies or convert such Loans into the Dollar Equivalent of Loans in Dollars, subject to the other terms contained herein.</w:t>
      </w:r>
    </w:p>
    <w:p>
      <w:pPr>
        <w:spacing w:after="0" w:line="172" w:lineRule="exact"/>
        <w:rPr>
          <w:sz w:val="20"/>
          <w:szCs w:val="20"/>
          <w:color w:val="auto"/>
        </w:rPr>
      </w:pPr>
    </w:p>
    <w:p>
      <w:pPr>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w:t>
      </w:r>
      <w:r>
        <w:rPr>
          <w:rFonts w:ascii="Times New Roman" w:cs="Times New Roman" w:eastAsia="Times New Roman" w:hAnsi="Times New Roman"/>
          <w:sz w:val="20"/>
          <w:szCs w:val="20"/>
          <w:color w:val="auto"/>
        </w:rPr>
        <w:t>” means ambient air, indoor air, surface water, groundwater, drinking water, soil, surface and subsurface strata, and natural resources such as wetland, flora and fauna.</w:t>
      </w:r>
    </w:p>
    <w:p>
      <w:pPr>
        <w:spacing w:after="0" w:line="178" w:lineRule="exact"/>
        <w:rPr>
          <w:sz w:val="20"/>
          <w:szCs w:val="20"/>
          <w:color w:val="auto"/>
        </w:rPr>
      </w:pPr>
    </w:p>
    <w:p>
      <w:pPr>
        <w:ind w:left="6"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color w:val="auto"/>
        </w:rPr>
        <w:t>” means any and all federal, state, local, and foreign statutes, laws (including common law), regulations, standards, ordinances, rules, judgments, interpretations, orders, decrees, permits, agreements or governmental restrictions relating to</w:t>
      </w:r>
    </w:p>
    <w:p>
      <w:pPr>
        <w:spacing w:after="0" w:line="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pollution or the protection of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Environment or human health (to the extent related to exposure to hazardous materials), including those relating to the manufacture,</w:t>
      </w:r>
    </w:p>
    <w:p>
      <w:pPr>
        <w:ind w:left="6"/>
        <w:spacing w:after="0" w:line="221" w:lineRule="auto"/>
        <w:rPr>
          <w:sz w:val="20"/>
          <w:szCs w:val="20"/>
          <w:color w:val="auto"/>
        </w:rPr>
      </w:pPr>
      <w:r>
        <w:rPr>
          <w:rFonts w:ascii="Times New Roman" w:cs="Times New Roman" w:eastAsia="Times New Roman" w:hAnsi="Times New Roman"/>
          <w:sz w:val="20"/>
          <w:szCs w:val="20"/>
          <w:color w:val="auto"/>
        </w:rPr>
        <w:t>generation, handling, transport, storage, treatment, Release or threat of Release of Hazardous Materials, air emissions and discharges to waste or public systems.</w:t>
      </w:r>
    </w:p>
    <w:p>
      <w:pPr>
        <w:spacing w:after="0" w:line="183"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w:t>
      </w:r>
    </w:p>
    <w:p>
      <w:pPr>
        <w:jc w:val="both"/>
        <w:ind w:left="6" w:right="20"/>
        <w:spacing w:after="0" w:line="215" w:lineRule="auto"/>
        <w:rPr>
          <w:sz w:val="20"/>
          <w:szCs w:val="20"/>
          <w:color w:val="auto"/>
        </w:rPr>
      </w:pPr>
      <w:r>
        <w:rPr>
          <w:rFonts w:ascii="Times New Roman" w:cs="Times New Roman" w:eastAsia="Times New Roman" w:hAnsi="Times New Roman"/>
          <w:sz w:val="19"/>
          <w:szCs w:val="19"/>
          <w:color w:val="auto"/>
        </w:rPr>
        <w:t>remediation, fines, penalties or indemnities) whether based in contract, tort, implied or express warranty, strict liability, criminal or civil statute or common law, directly or indirectly relating to (a) any Environmental Law, (b) the generation, use, handling, transportation, storage,</w:t>
      </w:r>
    </w:p>
    <w:p>
      <w:pPr>
        <w:ind w:left="6"/>
        <w:spacing w:after="0" w:line="211" w:lineRule="auto"/>
        <w:rPr>
          <w:sz w:val="20"/>
          <w:szCs w:val="20"/>
          <w:color w:val="auto"/>
        </w:rPr>
      </w:pPr>
      <w:r>
        <w:rPr>
          <w:rFonts w:ascii="Times New Roman" w:cs="Times New Roman" w:eastAsia="Times New Roman" w:hAnsi="Times New Roman"/>
          <w:sz w:val="20"/>
          <w:szCs w:val="20"/>
          <w:color w:val="auto"/>
        </w:rPr>
        <w:t>treatment or disposal of any Hazardous Materials, (c) exposure to any Hazardous Materials, (d) Release or threatened Release of any</w:t>
      </w:r>
    </w:p>
    <w:p>
      <w:pPr>
        <w:ind w:left="6"/>
        <w:spacing w:after="0" w:line="221" w:lineRule="auto"/>
        <w:rPr>
          <w:sz w:val="20"/>
          <w:szCs w:val="20"/>
          <w:color w:val="auto"/>
        </w:rPr>
      </w:pPr>
      <w:r>
        <w:rPr>
          <w:rFonts w:ascii="Times New Roman" w:cs="Times New Roman" w:eastAsia="Times New Roman" w:hAnsi="Times New Roman"/>
          <w:sz w:val="20"/>
          <w:szCs w:val="20"/>
          <w:color w:val="auto"/>
        </w:rPr>
        <w:t>Hazardous Materials or (e) any contract, agreement or other consensual arrangement pursuant to which liability is assumed or imposed with respect to any of the foregoing.</w:t>
      </w:r>
    </w:p>
    <w:p>
      <w:pPr>
        <w:spacing w:after="0" w:line="185" w:lineRule="exact"/>
        <w:rPr>
          <w:sz w:val="20"/>
          <w:szCs w:val="20"/>
          <w:color w:val="auto"/>
        </w:rPr>
      </w:pPr>
    </w:p>
    <w:p>
      <w:pPr>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Permit</w:t>
      </w:r>
      <w:r>
        <w:rPr>
          <w:rFonts w:ascii="Times New Roman" w:cs="Times New Roman" w:eastAsia="Times New Roman" w:hAnsi="Times New Roman"/>
          <w:sz w:val="20"/>
          <w:szCs w:val="20"/>
          <w:color w:val="auto"/>
        </w:rPr>
        <w:t>” means any permit, certification, registration, approval, identification number, license or other authorization required under any Environmental Law.</w:t>
      </w:r>
    </w:p>
    <w:p>
      <w:pPr>
        <w:spacing w:after="0" w:line="165" w:lineRule="exact"/>
        <w:rPr>
          <w:sz w:val="20"/>
          <w:szCs w:val="20"/>
          <w:color w:val="auto"/>
        </w:rPr>
      </w:pPr>
    </w:p>
    <w:p>
      <w:pPr>
        <w:ind w:left="6"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Equity Interests</w:t>
      </w:r>
      <w:r>
        <w:rPr>
          <w:rFonts w:ascii="Times New Roman" w:cs="Times New Roman" w:eastAsia="Times New Roman" w:hAnsi="Times New Roman"/>
          <w:sz w:val="19"/>
          <w:szCs w:val="19"/>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w:t>
      </w:r>
    </w:p>
    <w:p>
      <w:pPr>
        <w:spacing w:after="0" w:line="1" w:lineRule="exact"/>
        <w:rPr>
          <w:sz w:val="20"/>
          <w:szCs w:val="20"/>
          <w:color w:val="auto"/>
        </w:rPr>
      </w:pPr>
    </w:p>
    <w:p>
      <w:pPr>
        <w:ind w:left="6"/>
        <w:spacing w:after="0" w:line="215" w:lineRule="auto"/>
        <w:rPr>
          <w:sz w:val="20"/>
          <w:szCs w:val="20"/>
          <w:color w:val="auto"/>
        </w:rPr>
      </w:pPr>
      <w:r>
        <w:rPr>
          <w:rFonts w:ascii="Times New Roman" w:cs="Times New Roman" w:eastAsia="Times New Roman" w:hAnsi="Times New Roman"/>
          <w:sz w:val="19"/>
          <w:szCs w:val="19"/>
          <w:color w:val="auto"/>
        </w:rPr>
        <w:t>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w:t>
      </w:r>
    </w:p>
    <w:p>
      <w:pPr>
        <w:ind w:left="6"/>
        <w:spacing w:after="0" w:line="211" w:lineRule="auto"/>
        <w:rPr>
          <w:sz w:val="20"/>
          <w:szCs w:val="20"/>
          <w:color w:val="auto"/>
        </w:rPr>
      </w:pPr>
      <w:r>
        <w:rPr>
          <w:rFonts w:ascii="Times New Roman" w:cs="Times New Roman" w:eastAsia="Times New Roman" w:hAnsi="Times New Roman"/>
          <w:sz w:val="20"/>
          <w:szCs w:val="20"/>
          <w:color w:val="auto"/>
        </w:rPr>
        <w:t>such other interests), and all of the other ownership or profit interests in such Person (including partnership, member or trust interests</w:t>
      </w:r>
    </w:p>
    <w:p>
      <w:pPr>
        <w:ind w:left="6" w:right="20"/>
        <w:spacing w:after="0" w:line="221" w:lineRule="auto"/>
        <w:rPr>
          <w:sz w:val="20"/>
          <w:szCs w:val="20"/>
          <w:color w:val="auto"/>
        </w:rPr>
      </w:pPr>
      <w:r>
        <w:rPr>
          <w:rFonts w:ascii="Times New Roman" w:cs="Times New Roman" w:eastAsia="Times New Roman" w:hAnsi="Times New Roman"/>
          <w:sz w:val="20"/>
          <w:szCs w:val="20"/>
          <w:color w:val="auto"/>
        </w:rPr>
        <w:t>therein), whether voting or nonvoting, and whether or not such shares, warrants, options, rights or other interests are outstanding on any date of determination.</w:t>
      </w:r>
    </w:p>
    <w:p>
      <w:pPr>
        <w:spacing w:after="0" w:line="185" w:lineRule="exact"/>
        <w:rPr>
          <w:sz w:val="20"/>
          <w:szCs w:val="20"/>
          <w:color w:val="auto"/>
        </w:rPr>
      </w:pPr>
    </w:p>
    <w:p>
      <w:pPr>
        <w:ind w:left="6"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83"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Borrower within the</w:t>
      </w:r>
    </w:p>
    <w:p>
      <w:pPr>
        <w:ind w:left="6"/>
        <w:spacing w:after="0" w:line="221" w:lineRule="auto"/>
        <w:rPr>
          <w:sz w:val="20"/>
          <w:szCs w:val="20"/>
          <w:color w:val="auto"/>
        </w:rPr>
      </w:pPr>
      <w:r>
        <w:rPr>
          <w:rFonts w:ascii="Times New Roman" w:cs="Times New Roman" w:eastAsia="Times New Roman" w:hAnsi="Times New Roman"/>
          <w:sz w:val="20"/>
          <w:szCs w:val="20"/>
          <w:color w:val="auto"/>
        </w:rPr>
        <w:t xml:space="preserve">meaning of </w:t>
      </w:r>
      <w:r>
        <w:rPr>
          <w:rFonts w:ascii="Times New Roman" w:cs="Times New Roman" w:eastAsia="Times New Roman" w:hAnsi="Times New Roman"/>
          <w:sz w:val="20"/>
          <w:szCs w:val="20"/>
          <w:i w:val="1"/>
          <w:iCs w:val="1"/>
          <w:color w:val="auto"/>
        </w:rPr>
        <w:t>Sections 414(b)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(c)</w:t>
      </w:r>
      <w:r>
        <w:rPr>
          <w:rFonts w:ascii="Times New Roman" w:cs="Times New Roman" w:eastAsia="Times New Roman" w:hAnsi="Times New Roman"/>
          <w:sz w:val="20"/>
          <w:szCs w:val="20"/>
          <w:color w:val="auto"/>
        </w:rPr>
        <w:t xml:space="preserve"> of the Code (and </w:t>
      </w:r>
      <w:r>
        <w:rPr>
          <w:rFonts w:ascii="Times New Roman" w:cs="Times New Roman" w:eastAsia="Times New Roman" w:hAnsi="Times New Roman"/>
          <w:sz w:val="20"/>
          <w:szCs w:val="20"/>
          <w:i w:val="1"/>
          <w:iCs w:val="1"/>
          <w:color w:val="auto"/>
        </w:rPr>
        <w:t>Sections 414(m)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(o)</w:t>
      </w:r>
      <w:r>
        <w:rPr>
          <w:rFonts w:ascii="Times New Roman" w:cs="Times New Roman" w:eastAsia="Times New Roman" w:hAnsi="Times New Roman"/>
          <w:sz w:val="20"/>
          <w:szCs w:val="20"/>
          <w:color w:val="auto"/>
        </w:rPr>
        <w:t xml:space="preserve"> of the Code for purposes of provisions relating to </w:t>
      </w:r>
      <w:r>
        <w:rPr>
          <w:rFonts w:ascii="Times New Roman" w:cs="Times New Roman" w:eastAsia="Times New Roman" w:hAnsi="Times New Roman"/>
          <w:sz w:val="20"/>
          <w:szCs w:val="20"/>
          <w:i w:val="1"/>
          <w:iCs w:val="1"/>
          <w:color w:val="auto"/>
        </w:rPr>
        <w:t>Section 412</w:t>
      </w:r>
      <w:r>
        <w:rPr>
          <w:rFonts w:ascii="Times New Roman" w:cs="Times New Roman" w:eastAsia="Times New Roman" w:hAnsi="Times New Roman"/>
          <w:sz w:val="20"/>
          <w:szCs w:val="20"/>
          <w:color w:val="auto"/>
        </w:rPr>
        <w:t xml:space="preserve"> of the Code).</w:t>
      </w:r>
    </w:p>
    <w:p>
      <w:pPr>
        <w:spacing w:after="0" w:line="183"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Event</w:t>
      </w:r>
      <w:r>
        <w:rPr>
          <w:rFonts w:ascii="Times New Roman" w:cs="Times New Roman" w:eastAsia="Times New Roman" w:hAnsi="Times New Roman"/>
          <w:sz w:val="20"/>
          <w:szCs w:val="20"/>
          <w:color w:val="auto"/>
        </w:rPr>
        <w:t>” means (a) a Reportable Event with respect to a Pension Plan; (b) the withdrawal of the Borrower or any ERISA</w:t>
      </w: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 xml:space="preserve">Affiliate from a Pension Plan subject to </w:t>
      </w:r>
      <w:r>
        <w:rPr>
          <w:rFonts w:ascii="Times New Roman" w:cs="Times New Roman" w:eastAsia="Times New Roman" w:hAnsi="Times New Roman"/>
          <w:sz w:val="20"/>
          <w:szCs w:val="20"/>
          <w:i w:val="1"/>
          <w:iCs w:val="1"/>
          <w:color w:val="auto"/>
        </w:rPr>
        <w:t>Section 4063</w:t>
      </w:r>
      <w:r>
        <w:rPr>
          <w:rFonts w:ascii="Times New Roman" w:cs="Times New Roman" w:eastAsia="Times New Roman" w:hAnsi="Times New Roman"/>
          <w:sz w:val="20"/>
          <w:szCs w:val="20"/>
          <w:color w:val="auto"/>
        </w:rPr>
        <w:t xml:space="preserve"> of ERISA during a plan year in which such entity was a “</w:t>
      </w:r>
      <w:r>
        <w:rPr>
          <w:rFonts w:ascii="Times New Roman" w:cs="Times New Roman" w:eastAsia="Times New Roman" w:hAnsi="Times New Roman"/>
          <w:sz w:val="20"/>
          <w:szCs w:val="20"/>
          <w:i w:val="1"/>
          <w:iCs w:val="1"/>
          <w:color w:val="auto"/>
        </w:rPr>
        <w:t>substantial employer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i w:val="1"/>
          <w:iCs w:val="1"/>
          <w:color w:val="auto"/>
        </w:rPr>
        <w:t>Section 4001(a)(2)</w:t>
      </w:r>
      <w:r>
        <w:rPr>
          <w:rFonts w:ascii="Times New Roman" w:cs="Times New Roman" w:eastAsia="Times New Roman" w:hAnsi="Times New Roman"/>
          <w:sz w:val="20"/>
          <w:szCs w:val="20"/>
          <w:color w:val="auto"/>
        </w:rPr>
        <w:t xml:space="preserve"> of ERISA or a cessation of operations that is treated as such a withdrawal under </w:t>
      </w:r>
      <w:r>
        <w:rPr>
          <w:rFonts w:ascii="Times New Roman" w:cs="Times New Roman" w:eastAsia="Times New Roman" w:hAnsi="Times New Roman"/>
          <w:sz w:val="20"/>
          <w:szCs w:val="20"/>
          <w:i w:val="1"/>
          <w:iCs w:val="1"/>
          <w:color w:val="auto"/>
        </w:rPr>
        <w:t>Section 4062(e)</w:t>
      </w:r>
      <w:r>
        <w:rPr>
          <w:rFonts w:ascii="Times New Roman" w:cs="Times New Roman" w:eastAsia="Times New Roman" w:hAnsi="Times New Roman"/>
          <w:sz w:val="20"/>
          <w:szCs w:val="20"/>
          <w:color w:val="auto"/>
        </w:rPr>
        <w:t xml:space="preserve"> of ERISA;</w:t>
      </w:r>
    </w:p>
    <w:p>
      <w:pPr>
        <w:spacing w:after="0" w:line="1" w:lineRule="exact"/>
        <w:rPr>
          <w:sz w:val="20"/>
          <w:szCs w:val="20"/>
          <w:color w:val="auto"/>
        </w:rPr>
      </w:pPr>
    </w:p>
    <w:p>
      <w:pPr>
        <w:jc w:val="both"/>
        <w:ind w:left="6" w:hanging="6"/>
        <w:spacing w:after="0" w:line="210" w:lineRule="auto"/>
        <w:tabs>
          <w:tab w:leader="none" w:pos="27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complete or partial withdrawal by the Borrower or any ERISA Affiliate from a Multiemployer Plan; (d) the filing of a notice of intent to terminate, the treatment of a Pension Plan amendment as a termination under </w:t>
      </w:r>
      <w:r>
        <w:rPr>
          <w:rFonts w:ascii="Times New Roman" w:cs="Times New Roman" w:eastAsia="Times New Roman" w:hAnsi="Times New Roman"/>
          <w:sz w:val="20"/>
          <w:szCs w:val="20"/>
          <w:i w:val="1"/>
          <w:iCs w:val="1"/>
          <w:color w:val="auto"/>
        </w:rPr>
        <w:t>Section 4041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4041A</w:t>
      </w:r>
      <w:r>
        <w:rPr>
          <w:rFonts w:ascii="Times New Roman" w:cs="Times New Roman" w:eastAsia="Times New Roman" w:hAnsi="Times New Roman"/>
          <w:sz w:val="20"/>
          <w:szCs w:val="20"/>
          <w:color w:val="auto"/>
        </w:rPr>
        <w:t xml:space="preserve"> of ERISA; (e) the institution by the PBGC of proceedings to terminate a Pension Plan; (f) any event or condition which constitutes grounds under </w:t>
      </w:r>
      <w:r>
        <w:rPr>
          <w:rFonts w:ascii="Times New Roman" w:cs="Times New Roman" w:eastAsia="Times New Roman" w:hAnsi="Times New Roman"/>
          <w:sz w:val="20"/>
          <w:szCs w:val="20"/>
          <w:i w:val="1"/>
          <w:iCs w:val="1"/>
          <w:color w:val="auto"/>
        </w:rPr>
        <w:t>Section 4042</w:t>
      </w:r>
      <w:r>
        <w:rPr>
          <w:rFonts w:ascii="Times New Roman" w:cs="Times New Roman" w:eastAsia="Times New Roman" w:hAnsi="Times New Roman"/>
          <w:sz w:val="20"/>
          <w:szCs w:val="20"/>
          <w:color w:val="auto"/>
        </w:rPr>
        <w:t xml:space="preserve"> of ERISA for the termination of, or the appointment of a trustee to administer, any Pension Plan; (g) the determination that any Pension Plan is considered an at-risk plan or a plan in endangered or critical status within the meaning of </w:t>
      </w:r>
      <w:r>
        <w:rPr>
          <w:rFonts w:ascii="Times New Roman" w:cs="Times New Roman" w:eastAsia="Times New Roman" w:hAnsi="Times New Roman"/>
          <w:sz w:val="20"/>
          <w:szCs w:val="20"/>
          <w:i w:val="1"/>
          <w:iCs w:val="1"/>
          <w:color w:val="auto"/>
        </w:rPr>
        <w:t>Sections 430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432</w:t>
      </w:r>
      <w:r>
        <w:rPr>
          <w:rFonts w:ascii="Times New Roman" w:cs="Times New Roman" w:eastAsia="Times New Roman" w:hAnsi="Times New Roman"/>
          <w:sz w:val="20"/>
          <w:szCs w:val="20"/>
          <w:color w:val="auto"/>
        </w:rPr>
        <w:t xml:space="preserve"> of the Code or </w:t>
      </w:r>
      <w:r>
        <w:rPr>
          <w:rFonts w:ascii="Times New Roman" w:cs="Times New Roman" w:eastAsia="Times New Roman" w:hAnsi="Times New Roman"/>
          <w:sz w:val="20"/>
          <w:szCs w:val="20"/>
          <w:i w:val="1"/>
          <w:iCs w:val="1"/>
          <w:color w:val="auto"/>
        </w:rPr>
        <w:t>Sections 303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305</w:t>
      </w:r>
      <w:r>
        <w:rPr>
          <w:rFonts w:ascii="Times New Roman" w:cs="Times New Roman" w:eastAsia="Times New Roman" w:hAnsi="Times New Roman"/>
          <w:sz w:val="20"/>
          <w:szCs w:val="20"/>
          <w:color w:val="auto"/>
        </w:rPr>
        <w:t xml:space="preserve"> of ERISA; (h) the imposition of any liability under </w:t>
      </w:r>
      <w:r>
        <w:rPr>
          <w:rFonts w:ascii="Times New Roman" w:cs="Times New Roman" w:eastAsia="Times New Roman" w:hAnsi="Times New Roman"/>
          <w:sz w:val="20"/>
          <w:szCs w:val="20"/>
          <w:i w:val="1"/>
          <w:iCs w:val="1"/>
          <w:color w:val="auto"/>
        </w:rPr>
        <w:t>Title IV</w:t>
      </w:r>
      <w:r>
        <w:rPr>
          <w:rFonts w:ascii="Times New Roman" w:cs="Times New Roman" w:eastAsia="Times New Roman" w:hAnsi="Times New Roman"/>
          <w:sz w:val="20"/>
          <w:szCs w:val="20"/>
          <w:color w:val="auto"/>
        </w:rPr>
        <w:t xml:space="preserve"> of ERISA, other than for PBGC premiums due but not delinquent under </w:t>
      </w:r>
      <w:r>
        <w:rPr>
          <w:rFonts w:ascii="Times New Roman" w:cs="Times New Roman" w:eastAsia="Times New Roman" w:hAnsi="Times New Roman"/>
          <w:sz w:val="20"/>
          <w:szCs w:val="20"/>
          <w:i w:val="1"/>
          <w:iCs w:val="1"/>
          <w:color w:val="auto"/>
        </w:rPr>
        <w:t xml:space="preserve">Section 4007 </w:t>
      </w:r>
      <w:r>
        <w:rPr>
          <w:rFonts w:ascii="Times New Roman" w:cs="Times New Roman" w:eastAsia="Times New Roman" w:hAnsi="Times New Roman"/>
          <w:sz w:val="20"/>
          <w:szCs w:val="20"/>
          <w:color w:val="auto"/>
        </w:rPr>
        <w:t>of ERISA, upon the Borrower or any ERISA Affiliate or (i) a failure by the Borrower or any ERISA Affiliate to meet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requirements under the Pension Funding Rules in respect of a Pension Plan, whether or not waived, or the failure by the Borrower or any ERISA Affiliate to make any required contribution to a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6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Property</w:t>
      </w:r>
      <w:r>
        <w:rPr>
          <w:rFonts w:ascii="Times New Roman" w:cs="Times New Roman" w:eastAsia="Times New Roman" w:hAnsi="Times New Roman"/>
          <w:sz w:val="20"/>
          <w:szCs w:val="20"/>
          <w:color w:val="auto"/>
        </w:rPr>
        <w:t>” means, with respect to any Loan Party, the Equity Interests of any Foreign Subsidiary of any Loan Party to the extent not required to be pledged to secure the Secured Obligations pursuant to the Collateral Documents.</w:t>
      </w:r>
    </w:p>
    <w:p>
      <w:pPr>
        <w:spacing w:after="0" w:line="18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Swap Obligation</w:t>
      </w:r>
      <w:r>
        <w:rPr>
          <w:rFonts w:ascii="Times New Roman" w:cs="Times New Roman" w:eastAsia="Times New Roman" w:hAnsi="Times New Roman"/>
          <w:sz w:val="19"/>
          <w:szCs w:val="19"/>
          <w:color w:val="auto"/>
        </w:rPr>
        <w:t>” means, with respect to any Guarantor, any Swap Obligation if, and to the extent that, all or a portion of</w:t>
      </w:r>
    </w:p>
    <w:p>
      <w:pPr>
        <w:spacing w:after="0" w:line="10" w:lineRule="exact"/>
        <w:rPr>
          <w:sz w:val="20"/>
          <w:szCs w:val="20"/>
          <w:color w:val="auto"/>
        </w:rPr>
      </w:pPr>
    </w:p>
    <w:p>
      <w:pPr>
        <w:jc w:val="both"/>
        <w:ind w:left="6"/>
        <w:spacing w:after="0" w:line="215" w:lineRule="auto"/>
        <w:rPr>
          <w:sz w:val="20"/>
          <w:szCs w:val="20"/>
          <w:color w:val="auto"/>
        </w:rPr>
      </w:pPr>
      <w:r>
        <w:rPr>
          <w:rFonts w:ascii="Times New Roman" w:cs="Times New Roman" w:eastAsia="Times New Roman" w:hAnsi="Times New Roman"/>
          <w:sz w:val="19"/>
          <w:szCs w:val="19"/>
          <w:color w:val="auto"/>
        </w:rPr>
        <w:t>the Guaranty of such Guarantor of, or the grant by such Guarantor of a Lien to secure, such Swap Obligation (or any Guarantee thereof) is or becomes illegal under the Commodity Exchange Act or any rule, regulation or order of the Commodity Futures Trading Commission (or the</w:t>
      </w:r>
    </w:p>
    <w:p>
      <w:pPr>
        <w:ind w:left="6"/>
        <w:spacing w:after="0" w:line="211" w:lineRule="auto"/>
        <w:rPr>
          <w:sz w:val="20"/>
          <w:szCs w:val="20"/>
          <w:color w:val="auto"/>
        </w:rPr>
      </w:pPr>
      <w:r>
        <w:rPr>
          <w:rFonts w:ascii="Times New Roman" w:cs="Times New Roman" w:eastAsia="Times New Roman" w:hAnsi="Times New Roman"/>
          <w:sz w:val="20"/>
          <w:szCs w:val="20"/>
          <w:color w:val="auto"/>
        </w:rPr>
        <w:t>application or official interpretation thereof) by virtue of such Guarantor’s failure for any reason to constitute an “</w:t>
      </w:r>
      <w:r>
        <w:rPr>
          <w:rFonts w:ascii="Times New Roman" w:cs="Times New Roman" w:eastAsia="Times New Roman" w:hAnsi="Times New Roman"/>
          <w:sz w:val="20"/>
          <w:szCs w:val="20"/>
          <w:i w:val="1"/>
          <w:iCs w:val="1"/>
          <w:color w:val="auto"/>
        </w:rPr>
        <w:t>eligible contract</w:t>
      </w:r>
    </w:p>
    <w:p>
      <w:pPr>
        <w:jc w:val="both"/>
        <w:ind w:left="6"/>
        <w:spacing w:after="0" w:line="215" w:lineRule="auto"/>
        <w:rPr>
          <w:sz w:val="20"/>
          <w:szCs w:val="20"/>
          <w:color w:val="auto"/>
        </w:rPr>
      </w:pP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as defined in the Commodity Exchange Act (determined after giving effect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any other “keepwell”, support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other agreement for the benefit of such Guarantor and any and all guarantees of such Guarantor’s Swap Obligations by other Loan Parties)</w:t>
      </w:r>
    </w:p>
    <w:p>
      <w:pPr>
        <w:ind w:left="6"/>
        <w:spacing w:after="0" w:line="222" w:lineRule="auto"/>
        <w:rPr>
          <w:sz w:val="20"/>
          <w:szCs w:val="20"/>
          <w:color w:val="auto"/>
        </w:rPr>
      </w:pPr>
      <w:r>
        <w:rPr>
          <w:rFonts w:ascii="Times New Roman" w:cs="Times New Roman" w:eastAsia="Times New Roman" w:hAnsi="Times New Roman"/>
          <w:sz w:val="19"/>
          <w:szCs w:val="19"/>
          <w:color w:val="auto"/>
        </w:rPr>
        <w:t>at the time the Guaranty of such Guarantor, or grant by such Guarantor of a Lien, becomes effective with respect to such Swap Obligation. If</w:t>
      </w: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a Swap Obligation arises under a Master Agreement governing more than one Swap Contract, such exclusion shall apply only to the portion of such Swap Obligation that is attributable to Swap Contracts for which such Guaranty or Lien is or becomes excluded in accordance with</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first sentence of this definition.</w:t>
      </w:r>
    </w:p>
    <w:p>
      <w:pPr>
        <w:spacing w:after="0" w:line="190" w:lineRule="exact"/>
        <w:rPr>
          <w:sz w:val="20"/>
          <w:szCs w:val="20"/>
          <w:color w:val="auto"/>
        </w:rPr>
      </w:pPr>
    </w:p>
    <w:p>
      <w:pPr>
        <w:jc w:val="both"/>
        <w:ind w:left="6"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Taxes</w:t>
      </w:r>
      <w:r>
        <w:rPr>
          <w:rFonts w:ascii="Times New Roman" w:cs="Times New Roman" w:eastAsia="Times New Roman" w:hAnsi="Times New Roman"/>
          <w:sz w:val="20"/>
          <w:szCs w:val="20"/>
          <w:color w:val="auto"/>
        </w:rPr>
        <w:t>” means any of the following Taxes imposed on or with respect to any Recipient or required to be withheld or deducted from a payment to a Recipient, (a) Taxes imposed on or measured by net income (however denominated), franchise Taxes, and</w:t>
      </w:r>
    </w:p>
    <w:p>
      <w:pPr>
        <w:spacing w:after="0" w:line="2" w:lineRule="exact"/>
        <w:rPr>
          <w:sz w:val="20"/>
          <w:szCs w:val="20"/>
          <w:color w:val="auto"/>
        </w:rPr>
      </w:pP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branch profits Taxes, in each case, (i) imposed as a result of such Recipient being organized under the laws of, or having its principal office or, in the case of any Lender, its Lending Office located in, the jurisdiction imposing such Tax (or any political subdivision thereof) or</w:t>
      </w:r>
    </w:p>
    <w:p>
      <w:pPr>
        <w:spacing w:after="0" w:line="1" w:lineRule="exact"/>
        <w:rPr>
          <w:sz w:val="20"/>
          <w:szCs w:val="20"/>
          <w:color w:val="auto"/>
        </w:rPr>
      </w:pPr>
    </w:p>
    <w:p>
      <w:pPr>
        <w:jc w:val="both"/>
        <w:ind w:left="6" w:hanging="6"/>
        <w:spacing w:after="0" w:line="204" w:lineRule="auto"/>
        <w:tabs>
          <w:tab w:leader="none" w:pos="30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jc w:val="both"/>
        <w:ind w:left="6" w:hanging="6"/>
        <w:spacing w:after="0" w:line="215" w:lineRule="auto"/>
        <w:tabs>
          <w:tab w:leader="none" w:pos="26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acquires such interest in the Loan or Commitment (other than pursuant to an assignment request by the Borrower under </w:t>
      </w:r>
      <w:r>
        <w:rPr>
          <w:rFonts w:ascii="Times New Roman" w:cs="Times New Roman" w:eastAsia="Times New Roman" w:hAnsi="Times New Roman"/>
          <w:sz w:val="20"/>
          <w:szCs w:val="20"/>
          <w:b w:val="1"/>
          <w:bCs w:val="1"/>
          <w:i w:val="1"/>
          <w:iCs w:val="1"/>
          <w:color w:val="auto"/>
        </w:rPr>
        <w:t>Section 11.13</w:t>
      </w:r>
      <w:r>
        <w:rPr>
          <w:rFonts w:ascii="Times New Roman" w:cs="Times New Roman" w:eastAsia="Times New Roman" w:hAnsi="Times New Roman"/>
          <w:sz w:val="20"/>
          <w:szCs w:val="20"/>
          <w:color w:val="auto"/>
        </w:rPr>
        <w:t>) or (ii) such Lender changes its Lending Office, except in each case to the extent that, pursuant to</w:t>
      </w:r>
      <w:r>
        <w:rPr>
          <w:rFonts w:ascii="Times New Roman" w:cs="Times New Roman" w:eastAsia="Times New Roman" w:hAnsi="Times New Roman"/>
          <w:sz w:val="20"/>
          <w:szCs w:val="20"/>
          <w:b w:val="1"/>
          <w:bCs w:val="1"/>
          <w:i w:val="1"/>
          <w:iCs w:val="1"/>
          <w:color w:val="auto"/>
        </w:rPr>
        <w:t xml:space="preserve"> Sections 3.01(b) </w:t>
      </w:r>
      <w:r>
        <w:rPr>
          <w:rFonts w:ascii="Times New Roman" w:cs="Times New Roman" w:eastAsia="Times New Roman" w:hAnsi="Times New Roman"/>
          <w:sz w:val="20"/>
          <w:szCs w:val="20"/>
          <w:color w:val="auto"/>
        </w:rPr>
        <w:t>or (d),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b w:val="1"/>
          <w:bCs w:val="1"/>
          <w:i w:val="1"/>
          <w:iCs w:val="1"/>
          <w:color w:val="auto"/>
        </w:rPr>
        <w:t xml:space="preserve">Section 3.01(f) </w:t>
      </w:r>
      <w:r>
        <w:rPr>
          <w:rFonts w:ascii="Times New Roman" w:cs="Times New Roman" w:eastAsia="Times New Roman" w:hAnsi="Times New Roman"/>
          <w:sz w:val="20"/>
          <w:szCs w:val="20"/>
          <w:color w:val="auto"/>
        </w:rPr>
        <w:t>and (d) any U.S. federal withholding Taxes imposed pursuant to FATCA.</w:t>
      </w:r>
    </w:p>
    <w:p>
      <w:pPr>
        <w:spacing w:after="0" w:line="18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Credit Agreement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is defined in the preamble hereto.</w:t>
      </w:r>
    </w:p>
    <w:p>
      <w:pPr>
        <w:spacing w:after="0" w:line="202"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Letters of Credit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those certain letters of credit set forth on </w:t>
      </w:r>
      <w:r>
        <w:rPr>
          <w:rFonts w:ascii="Times New Roman" w:cs="Times New Roman" w:eastAsia="Times New Roman" w:hAnsi="Times New Roman"/>
          <w:sz w:val="20"/>
          <w:szCs w:val="20"/>
          <w:b w:val="1"/>
          <w:bCs w:val="1"/>
          <w:i w:val="1"/>
          <w:iCs w:val="1"/>
          <w:color w:val="auto"/>
        </w:rPr>
        <w:t>Schedule 1.01(d)</w:t>
      </w:r>
      <w:r>
        <w:rPr>
          <w:rFonts w:ascii="Times New Roman" w:cs="Times New Roman" w:eastAsia="Times New Roman" w:hAnsi="Times New Roman"/>
          <w:sz w:val="20"/>
          <w:szCs w:val="20"/>
          <w:b w:val="1"/>
          <w:bCs w:val="1"/>
          <w:color w:val="auto"/>
        </w:rPr>
        <w:t>.</w:t>
      </w:r>
    </w:p>
    <w:p>
      <w:pPr>
        <w:spacing w:after="0" w:line="21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Extraordinary Receipt</w:t>
      </w:r>
      <w:r>
        <w:rPr>
          <w:rFonts w:ascii="Times New Roman" w:cs="Times New Roman" w:eastAsia="Times New Roman" w:hAnsi="Times New Roman"/>
          <w:sz w:val="20"/>
          <w:szCs w:val="20"/>
          <w:color w:val="auto"/>
        </w:rPr>
        <w:t>” means any cash received by or paid to or for the account of any Person not in the ordinary course of</w:t>
      </w:r>
    </w:p>
    <w:p>
      <w:pPr>
        <w:ind w:left="6"/>
        <w:spacing w:after="0" w:line="204" w:lineRule="auto"/>
        <w:rPr>
          <w:sz w:val="20"/>
          <w:szCs w:val="20"/>
          <w:color w:val="auto"/>
        </w:rPr>
      </w:pPr>
      <w:r>
        <w:rPr>
          <w:rFonts w:ascii="Times New Roman" w:cs="Times New Roman" w:eastAsia="Times New Roman" w:hAnsi="Times New Roman"/>
          <w:sz w:val="20"/>
          <w:szCs w:val="20"/>
          <w:color w:val="auto"/>
        </w:rPr>
        <w:t>business, including tax refunds, pension plan reversions, proceeds of insurance (other than proceeds of business interruption insurance to the extent such proceeds constitute compensation for lost earnings and proceeds of Involuntary Dispositions), indemnity payments and any</w:t>
      </w:r>
    </w:p>
    <w:p>
      <w:pPr>
        <w:spacing w:after="0" w:line="1" w:lineRule="exact"/>
        <w:rPr>
          <w:sz w:val="20"/>
          <w:szCs w:val="20"/>
          <w:color w:val="auto"/>
        </w:rPr>
      </w:pPr>
    </w:p>
    <w:p>
      <w:pPr>
        <w:ind w:left="6"/>
        <w:spacing w:after="0" w:line="228" w:lineRule="auto"/>
        <w:rPr>
          <w:sz w:val="20"/>
          <w:szCs w:val="20"/>
          <w:color w:val="auto"/>
        </w:rPr>
      </w:pPr>
      <w:r>
        <w:rPr>
          <w:rFonts w:ascii="Times New Roman" w:cs="Times New Roman" w:eastAsia="Times New Roman" w:hAnsi="Times New Roman"/>
          <w:sz w:val="20"/>
          <w:szCs w:val="20"/>
          <w:color w:val="auto"/>
        </w:rPr>
        <w:t xml:space="preserve">purchase price adjustments;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 Extraordinary Receipt shall not include cash receipts from proceeds of insurance or indemnity payments to the extent that such proceeds, awards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payments are received by any Person in respect of any third party claim against such Person and applied to pay (or to reimburse such Person for its prior payment of) such claim and the costs and expenses of such Person with respect thereto.</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means the Revolving Facility.</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 Termination Date</w:t>
      </w:r>
      <w:r>
        <w:rPr>
          <w:rFonts w:ascii="Times New Roman" w:cs="Times New Roman" w:eastAsia="Times New Roman" w:hAnsi="Times New Roman"/>
          <w:sz w:val="20"/>
          <w:szCs w:val="20"/>
          <w:color w:val="auto"/>
        </w:rPr>
        <w:t>” means the date as of which all of the following shall have occurred: (a) the Aggregate Commitments</w:t>
      </w:r>
    </w:p>
    <w:p>
      <w:pPr>
        <w:jc w:val="both"/>
        <w:spacing w:after="0" w:line="215" w:lineRule="auto"/>
        <w:rPr>
          <w:sz w:val="20"/>
          <w:szCs w:val="20"/>
          <w:color w:val="auto"/>
        </w:rPr>
      </w:pPr>
      <w:r>
        <w:rPr>
          <w:rFonts w:ascii="Times New Roman" w:cs="Times New Roman" w:eastAsia="Times New Roman" w:hAnsi="Times New Roman"/>
          <w:sz w:val="19"/>
          <w:szCs w:val="19"/>
          <w:color w:val="auto"/>
        </w:rPr>
        <w:t>have terminated, (b) all Obligations have been paid in full (other than contingent indemnification obligations), and (c) all Letters of Credit have terminated or expired (other than Letters of Credit as to which other arrangements with respect thereto satisfactory to the Administrative</w:t>
      </w:r>
    </w:p>
    <w:p>
      <w:pPr>
        <w:spacing w:after="0"/>
        <w:rPr>
          <w:sz w:val="20"/>
          <w:szCs w:val="20"/>
          <w:color w:val="auto"/>
        </w:rPr>
      </w:pPr>
      <w:r>
        <w:rPr>
          <w:rFonts w:ascii="Times New Roman" w:cs="Times New Roman" w:eastAsia="Times New Roman" w:hAnsi="Times New Roman"/>
          <w:sz w:val="20"/>
          <w:szCs w:val="20"/>
          <w:color w:val="auto"/>
        </w:rPr>
        <w:t>Agent and the L/C Issuer shall have been made).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FATCA</w:t>
      </w:r>
      <w:r>
        <w:rPr>
          <w:rFonts w:ascii="Times New Roman" w:cs="Times New Roman" w:eastAsia="Times New Roman" w:hAnsi="Times New Roman"/>
          <w:sz w:val="19"/>
          <w:szCs w:val="19"/>
          <w:color w:val="auto"/>
        </w:rPr>
        <w:t xml:space="preserve">” means </w:t>
      </w:r>
      <w:r>
        <w:rPr>
          <w:rFonts w:ascii="Times New Roman" w:cs="Times New Roman" w:eastAsia="Times New Roman" w:hAnsi="Times New Roman"/>
          <w:sz w:val="19"/>
          <w:szCs w:val="19"/>
          <w:i w:val="1"/>
          <w:iCs w:val="1"/>
          <w:color w:val="auto"/>
        </w:rPr>
        <w:t>Sections 1471</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i w:val="1"/>
          <w:iCs w:val="1"/>
          <w:color w:val="auto"/>
        </w:rPr>
        <w:t>1474</w:t>
      </w:r>
      <w:r>
        <w:rPr>
          <w:rFonts w:ascii="Times New Roman" w:cs="Times New Roman" w:eastAsia="Times New Roman" w:hAnsi="Times New Roman"/>
          <w:sz w:val="19"/>
          <w:szCs w:val="19"/>
          <w:color w:val="auto"/>
        </w:rPr>
        <w:t xml:space="preserve"> of the Code, as of the date of this Agreement (or any amended or successor version that is substantively comparable and not materially more onerous to comply with), any current or future regulations or official interpretations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thereof and any agreements entered into pursuant to </w:t>
      </w:r>
      <w:r>
        <w:rPr>
          <w:rFonts w:ascii="Times New Roman" w:cs="Times New Roman" w:eastAsia="Times New Roman" w:hAnsi="Times New Roman"/>
          <w:sz w:val="19"/>
          <w:szCs w:val="19"/>
          <w:i w:val="1"/>
          <w:iCs w:val="1"/>
          <w:color w:val="auto"/>
        </w:rPr>
        <w:t>Section 1471(b)(1)</w:t>
      </w:r>
      <w:r>
        <w:rPr>
          <w:rFonts w:ascii="Times New Roman" w:cs="Times New Roman" w:eastAsia="Times New Roman" w:hAnsi="Times New Roman"/>
          <w:sz w:val="19"/>
          <w:szCs w:val="19"/>
          <w:color w:val="auto"/>
        </w:rPr>
        <w:t xml:space="preserve"> of the Code and any fiscal or regulatory legislation, rules or practices adopted pursuant to any intergovernmental agreement, treaty or convention among Governmental Authorities entered into in connection with</w:t>
      </w:r>
    </w:p>
    <w:p>
      <w:pPr>
        <w:spacing w:after="0"/>
        <w:rPr>
          <w:sz w:val="20"/>
          <w:szCs w:val="20"/>
          <w:color w:val="auto"/>
        </w:rPr>
      </w:pPr>
      <w:r>
        <w:rPr>
          <w:rFonts w:ascii="Times New Roman" w:cs="Times New Roman" w:eastAsia="Times New Roman" w:hAnsi="Times New Roman"/>
          <w:sz w:val="20"/>
          <w:szCs w:val="20"/>
          <w:color w:val="auto"/>
        </w:rPr>
        <w:t>the implementation of the foregoing.</w:t>
      </w:r>
    </w:p>
    <w:p>
      <w:pPr>
        <w:spacing w:after="0" w:line="19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Federal Funds Rate</w:t>
      </w:r>
      <w:r>
        <w:rPr>
          <w:rFonts w:ascii="Times New Roman" w:cs="Times New Roman" w:eastAsia="Times New Roman" w:hAnsi="Times New Roman"/>
          <w:sz w:val="19"/>
          <w:szCs w:val="19"/>
          <w:color w:val="auto"/>
        </w:rPr>
        <w:t>” means, for any day, the rate per annum calculated by the Federal Reserve Bank of New York based on such day’s federal funds transactions by depository institutions (as determined in such manner as the Federal Reserve Bank of New York shall set</w:t>
      </w:r>
    </w:p>
    <w:p>
      <w:pPr>
        <w:spacing w:after="0" w:line="223" w:lineRule="auto"/>
        <w:rPr>
          <w:sz w:val="20"/>
          <w:szCs w:val="20"/>
          <w:color w:val="auto"/>
        </w:rPr>
      </w:pPr>
      <w:r>
        <w:rPr>
          <w:rFonts w:ascii="Times New Roman" w:cs="Times New Roman" w:eastAsia="Times New Roman" w:hAnsi="Times New Roman"/>
          <w:sz w:val="19"/>
          <w:szCs w:val="19"/>
          <w:color w:val="auto"/>
        </w:rPr>
        <w:t>forth on its public website from time to time) and published on the next succeeding Business Day by the Federal Reserve Bank of New York</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as the federal funds effective rate;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if the Federal Funds Rate as so determined would be </w:t>
      </w:r>
      <w:r>
        <w:rPr>
          <w:rFonts w:ascii="Times New Roman" w:cs="Times New Roman" w:eastAsia="Times New Roman" w:hAnsi="Times New Roman"/>
          <w:sz w:val="20"/>
          <w:szCs w:val="20"/>
          <w:i w:val="1"/>
          <w:iCs w:val="1"/>
          <w:color w:val="auto"/>
        </w:rPr>
        <w:t>less than</w:t>
      </w:r>
      <w:r>
        <w:rPr>
          <w:rFonts w:ascii="Times New Roman" w:cs="Times New Roman" w:eastAsia="Times New Roman" w:hAnsi="Times New Roman"/>
          <w:sz w:val="20"/>
          <w:szCs w:val="20"/>
          <w:color w:val="auto"/>
        </w:rPr>
        <w:t xml:space="preserve"> zero percent (0.0%) per annum, then such rate shall be deemed to equal zero percent (0.0%) per annum for the purposes of this Agreement.</w:t>
      </w:r>
    </w:p>
    <w:p>
      <w:pPr>
        <w:spacing w:after="0" w:line="18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Fee Letter</w:t>
      </w:r>
      <w:r>
        <w:rPr>
          <w:rFonts w:ascii="Times New Roman" w:cs="Times New Roman" w:eastAsia="Times New Roman" w:hAnsi="Times New Roman"/>
          <w:sz w:val="20"/>
          <w:szCs w:val="20"/>
          <w:color w:val="auto"/>
        </w:rPr>
        <w:t>” means (a) the letter agreement, dated September 27, 2019, between the Borrower, the Administrative Agent and the Arranger, and (b) the letter agreement, dated July 6, 2023, between the Borrower, the Administrative Agent and the Arranger executed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connection with the Third Amendment.</w:t>
      </w:r>
    </w:p>
    <w:p>
      <w:pPr>
        <w:spacing w:after="0" w:line="190"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Financing Lease</w:t>
      </w:r>
      <w:r>
        <w:rPr>
          <w:rFonts w:ascii="Times New Roman" w:cs="Times New Roman" w:eastAsia="Times New Roman" w:hAnsi="Times New Roman"/>
          <w:sz w:val="20"/>
          <w:szCs w:val="20"/>
          <w:color w:val="auto"/>
        </w:rPr>
        <w:t>” means any lease that has been or is required to be, in accordance with GAAP, recorded, classified and accounted for as a financing lease.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w:t>
      </w:r>
    </w:p>
    <w:p>
      <w:pPr>
        <w:jc w:val="both"/>
        <w:spacing w:after="0" w:line="204" w:lineRule="auto"/>
        <w:rPr>
          <w:sz w:val="20"/>
          <w:szCs w:val="20"/>
          <w:color w:val="auto"/>
        </w:rPr>
      </w:pPr>
      <w:r>
        <w:rPr>
          <w:rFonts w:ascii="Times New Roman" w:cs="Times New Roman" w:eastAsia="Times New Roman" w:hAnsi="Times New Roman"/>
          <w:sz w:val="20"/>
          <w:szCs w:val="20"/>
          <w:color w:val="auto"/>
        </w:rPr>
        <w:t>U.S. Person, a Lender that is resident or organized under the laws of a jurisdiction other than that in which the Borrower is resident for tax purposes. For purposes of this definition, the United States, each State thereof and the District of Columbia shall be deemed to constitute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single jurisdiction.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Fronting Exposure</w:t>
      </w:r>
      <w:r>
        <w:rPr>
          <w:rFonts w:ascii="Times New Roman" w:cs="Times New Roman" w:eastAsia="Times New Roman" w:hAnsi="Times New Roman"/>
          <w:sz w:val="20"/>
          <w:szCs w:val="20"/>
          <w:color w:val="auto"/>
        </w:rPr>
        <w:t>” means, at any time there is a Defaulting Lender that is a Lender, (a) with respect to the L/C Issuer,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Defaulting Lender’s Applicable Percentage of the outstanding L/C Obligations other than L/C Obligations as to which such Defaulting Lender’s participation obligation has been reallocated to other Lenders or Cash Collateralized in accordance with the terms hereof,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with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 to the Swingline Lender, such Defaulting Lender’s Applicable Percentage of Swingline Loans other than Swingline Loans as to</w:t>
      </w:r>
    </w:p>
    <w:p>
      <w:pPr>
        <w:spacing w:after="0" w:line="221" w:lineRule="auto"/>
        <w:rPr>
          <w:sz w:val="20"/>
          <w:szCs w:val="20"/>
          <w:color w:val="auto"/>
        </w:rPr>
      </w:pPr>
      <w:r>
        <w:rPr>
          <w:rFonts w:ascii="Times New Roman" w:cs="Times New Roman" w:eastAsia="Times New Roman" w:hAnsi="Times New Roman"/>
          <w:sz w:val="20"/>
          <w:szCs w:val="20"/>
          <w:color w:val="auto"/>
        </w:rPr>
        <w:t>which such Defaulting Lender’s participation obligation has been reallocated to other Lenders or Cash Collateralized in accordance with the terms hereof.</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Funding Indemnity Letter</w:t>
      </w:r>
      <w:r>
        <w:rPr>
          <w:rFonts w:ascii="Times New Roman" w:cs="Times New Roman" w:eastAsia="Times New Roman" w:hAnsi="Times New Roman"/>
          <w:sz w:val="20"/>
          <w:szCs w:val="20"/>
          <w:color w:val="auto"/>
        </w:rPr>
        <w:t xml:space="preserve">” means a funding indemnity letter, substantially in the form of </w:t>
      </w:r>
      <w:r>
        <w:rPr>
          <w:rFonts w:ascii="Times New Roman" w:cs="Times New Roman" w:eastAsia="Times New Roman" w:hAnsi="Times New Roman"/>
          <w:sz w:val="20"/>
          <w:szCs w:val="20"/>
          <w:b w:val="1"/>
          <w:bCs w:val="1"/>
          <w:i w:val="1"/>
          <w:iCs w:val="1"/>
          <w:color w:val="auto"/>
        </w:rPr>
        <w:t>Exhibit N</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generally accepted accounting principles in the United States set forth from time to time in the opinions and</w:t>
      </w:r>
    </w:p>
    <w:p>
      <w:pPr>
        <w:spacing w:after="0" w:line="215" w:lineRule="auto"/>
        <w:rPr>
          <w:sz w:val="20"/>
          <w:szCs w:val="20"/>
          <w:color w:val="auto"/>
        </w:rPr>
      </w:pPr>
      <w:r>
        <w:rPr>
          <w:rFonts w:ascii="Times New Roman" w:cs="Times New Roman" w:eastAsia="Times New Roman" w:hAnsi="Times New Roman"/>
          <w:sz w:val="19"/>
          <w:szCs w:val="19"/>
          <w:color w:val="auto"/>
        </w:rPr>
        <w:t>pronouncements of the Accounting Principles Board and the American Institute of Certified Public Accountants and statements and pronouncements of the Financial Accounting Standards Board (or agencies with similar functions of comparable stature and authority within</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20"/>
          <w:szCs w:val="20"/>
          <w:b w:val="1"/>
          <w:bCs w:val="1"/>
          <w:i w:val="1"/>
          <w:iCs w:val="1"/>
          <w:color w:val="auto"/>
        </w:rPr>
        <w:t>Section 1.03</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legislative, judicial, taxing, regulatory or administrative powers or functions of or pertaining to government (including, without limitation, the Financial Conduct Authority, the Prudential Regulation Authority and any supra-national bodies such as the European Union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European Central Bank).</w:t>
      </w:r>
    </w:p>
    <w:p>
      <w:pPr>
        <w:spacing w:after="0" w:line="190"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Guarantee</w:t>
      </w:r>
      <w:r>
        <w:rPr>
          <w:rFonts w:ascii="Times New Roman" w:cs="Times New Roman" w:eastAsia="Times New Roman" w:hAnsi="Times New Roman"/>
          <w:sz w:val="19"/>
          <w:szCs w:val="19"/>
          <w:color w:val="auto"/>
        </w:rPr>
        <w:t xml:space="preserve">” means, as to any Person, (a) any obligation, contingent or otherwise, of such Person guaranteeing or having the economic effect of guaranteeing any Indebtedness of the kind described in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(g)</w:t>
      </w:r>
      <w:r>
        <w:rPr>
          <w:rFonts w:ascii="Times New Roman" w:cs="Times New Roman" w:eastAsia="Times New Roman" w:hAnsi="Times New Roman"/>
          <w:sz w:val="19"/>
          <w:szCs w:val="19"/>
          <w:color w:val="auto"/>
        </w:rPr>
        <w:t xml:space="preserve"> of the definition thereof or other obligation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payable or performable by another Person (the “</w:t>
      </w:r>
      <w:r>
        <w:rPr>
          <w:rFonts w:ascii="Times New Roman" w:cs="Times New Roman" w:eastAsia="Times New Roman" w:hAnsi="Times New Roman"/>
          <w:sz w:val="19"/>
          <w:szCs w:val="19"/>
          <w:b w:val="1"/>
          <w:bCs w:val="1"/>
          <w:i w:val="1"/>
          <w:iCs w:val="1"/>
          <w:color w:val="auto"/>
        </w:rPr>
        <w:t>primary obligor</w:t>
      </w:r>
      <w:r>
        <w:rPr>
          <w:rFonts w:ascii="Times New Roman" w:cs="Times New Roman" w:eastAsia="Times New Roman" w:hAnsi="Times New Roman"/>
          <w:sz w:val="19"/>
          <w:szCs w:val="19"/>
          <w:color w:val="auto"/>
        </w:rPr>
        <w:t>”) in any manner, whether directly or indirectly, and including any obligation of such Person, direct or indirect, (i) to purchase or pay (or advance or supply funds for the purchase or payment of) such Indebtedness or</w:t>
      </w:r>
    </w:p>
    <w:p>
      <w:pPr>
        <w:spacing w:after="0" w:line="211" w:lineRule="auto"/>
        <w:rPr>
          <w:sz w:val="20"/>
          <w:szCs w:val="20"/>
          <w:color w:val="auto"/>
        </w:rPr>
      </w:pPr>
      <w:r>
        <w:rPr>
          <w:rFonts w:ascii="Times New Roman" w:cs="Times New Roman" w:eastAsia="Times New Roman" w:hAnsi="Times New Roman"/>
          <w:sz w:val="20"/>
          <w:szCs w:val="20"/>
          <w:color w:val="auto"/>
        </w:rPr>
        <w:t>other obligation, (ii) to purchase or lease property, securities or services for the purpose of assuring the obligee in respect of such</w:t>
      </w:r>
    </w:p>
    <w:p>
      <w:pPr>
        <w:spacing w:after="0" w:line="215" w:lineRule="auto"/>
        <w:rPr>
          <w:sz w:val="20"/>
          <w:szCs w:val="20"/>
          <w:color w:val="auto"/>
        </w:rPr>
      </w:pPr>
      <w:r>
        <w:rPr>
          <w:rFonts w:ascii="Times New Roman" w:cs="Times New Roman" w:eastAsia="Times New Roman" w:hAnsi="Times New Roman"/>
          <w:sz w:val="19"/>
          <w:szCs w:val="19"/>
          <w:color w:val="auto"/>
        </w:rPr>
        <w:t>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w:t>
      </w:r>
    </w:p>
    <w:p>
      <w:pPr>
        <w:spacing w:after="0" w:line="222" w:lineRule="auto"/>
        <w:rPr>
          <w:sz w:val="20"/>
          <w:szCs w:val="20"/>
          <w:color w:val="auto"/>
        </w:rPr>
      </w:pPr>
      <w:r>
        <w:rPr>
          <w:rFonts w:ascii="Times New Roman" w:cs="Times New Roman" w:eastAsia="Times New Roman" w:hAnsi="Times New Roman"/>
          <w:sz w:val="19"/>
          <w:szCs w:val="19"/>
          <w:color w:val="auto"/>
        </w:rPr>
        <w:t>primary obligor to pay such Indebtedness or other obligation, or (iv) entered into for the purpose of assuring in any other manner the obligee</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Times New Roman" w:cs="Times New Roman" w:eastAsia="Times New Roman" w:hAnsi="Times New Roman"/>
          <w:sz w:val="20"/>
          <w:szCs w:val="20"/>
          <w:b w:val="1"/>
          <w:bCs w:val="1"/>
          <w:i w:val="1"/>
          <w:iCs w:val="1"/>
          <w:color w:val="auto"/>
        </w:rPr>
        <w:t>clauses (a)</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through </w:t>
      </w:r>
      <w:r>
        <w:rPr>
          <w:rFonts w:ascii="Times New Roman" w:cs="Times New Roman" w:eastAsia="Times New Roman" w:hAnsi="Times New Roman"/>
          <w:sz w:val="19"/>
          <w:szCs w:val="19"/>
          <w:b w:val="1"/>
          <w:bCs w:val="1"/>
          <w:i w:val="1"/>
          <w:iCs w:val="1"/>
          <w:color w:val="auto"/>
        </w:rPr>
        <w:t>(g)</w:t>
      </w:r>
      <w:r>
        <w:rPr>
          <w:rFonts w:ascii="Times New Roman" w:cs="Times New Roman" w:eastAsia="Times New Roman" w:hAnsi="Times New Roman"/>
          <w:sz w:val="19"/>
          <w:szCs w:val="19"/>
          <w:color w:val="auto"/>
        </w:rPr>
        <w:t xml:space="preserve"> of the definition thereof or other obligation of any other Person, whether or not such Indebtedness or other obligation is assumed</w:t>
      </w:r>
    </w:p>
    <w:p>
      <w:pPr>
        <w:jc w:val="both"/>
        <w:spacing w:after="0" w:line="215" w:lineRule="auto"/>
        <w:rPr>
          <w:sz w:val="20"/>
          <w:szCs w:val="20"/>
          <w:color w:val="auto"/>
        </w:rPr>
      </w:pPr>
      <w:r>
        <w:rPr>
          <w:rFonts w:ascii="Times New Roman" w:cs="Times New Roman" w:eastAsia="Times New Roman" w:hAnsi="Times New Roman"/>
          <w:sz w:val="19"/>
          <w:szCs w:val="19"/>
          <w:color w:val="auto"/>
        </w:rPr>
        <w:t>or expressly undertaken by such Person (or any right, contingent or otherwise, of any holder of such Indebtedness to obtain any such Lien). The amount of any Guarantee shall be deemed to be an amount equal to the stated or determinable amount of the related primary obligation,</w:t>
      </w:r>
    </w:p>
    <w:p>
      <w:pPr>
        <w:spacing w:after="0" w:line="242" w:lineRule="auto"/>
        <w:rPr>
          <w:sz w:val="20"/>
          <w:szCs w:val="20"/>
          <w:color w:val="auto"/>
        </w:rPr>
      </w:pPr>
      <w:r>
        <w:rPr>
          <w:rFonts w:ascii="Times New Roman" w:cs="Times New Roman" w:eastAsia="Times New Roman" w:hAnsi="Times New Roman"/>
          <w:sz w:val="19"/>
          <w:szCs w:val="19"/>
          <w:color w:val="auto"/>
        </w:rPr>
        <w:t>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9"/>
          <w:szCs w:val="19"/>
          <w:b w:val="1"/>
          <w:bCs w:val="1"/>
          <w:i w:val="1"/>
          <w:iCs w:val="1"/>
          <w:color w:val="auto"/>
        </w:rPr>
        <w:t>Guarantee</w:t>
      </w:r>
      <w:r>
        <w:rPr>
          <w:rFonts w:ascii="Times New Roman" w:cs="Times New Roman" w:eastAsia="Times New Roman" w:hAnsi="Times New Roman"/>
          <w:sz w:val="19"/>
          <w:szCs w:val="19"/>
          <w:color w:val="auto"/>
        </w:rPr>
        <w:t>” as a verb has a corresponding meaning.</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i w:val="1"/>
          <w:iCs w:val="1"/>
          <w:color w:val="auto"/>
        </w:rPr>
        <w:t>Section 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means, collectively, (a) the Subsidiaries of the Borrower as are or may from time to time become parties to this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Agreement pursuant to </w:t>
      </w:r>
      <w:r>
        <w:rPr>
          <w:rFonts w:ascii="Times New Roman" w:cs="Times New Roman" w:eastAsia="Times New Roman" w:hAnsi="Times New Roman"/>
          <w:sz w:val="20"/>
          <w:szCs w:val="20"/>
          <w:b w:val="1"/>
          <w:bCs w:val="1"/>
          <w:i w:val="1"/>
          <w:iCs w:val="1"/>
          <w:color w:val="auto"/>
        </w:rPr>
        <w:t>Section 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13</w:t>
      </w:r>
      <w:r>
        <w:rPr>
          <w:rFonts w:ascii="Times New Roman" w:cs="Times New Roman" w:eastAsia="Times New Roman" w:hAnsi="Times New Roman"/>
          <w:sz w:val="20"/>
          <w:szCs w:val="20"/>
          <w:color w:val="auto"/>
        </w:rPr>
        <w:t xml:space="preserve">, and (b) with respect to Additional Secured Obligations owing by any Loan Party or any of its Subsidiaries and any Swap Obligation of a Specified Loan Party (determined before giving effect to </w:t>
      </w:r>
      <w:r>
        <w:rPr>
          <w:rFonts w:ascii="Times New Roman" w:cs="Times New Roman" w:eastAsia="Times New Roman" w:hAnsi="Times New Roman"/>
          <w:sz w:val="20"/>
          <w:szCs w:val="20"/>
          <w:b w:val="1"/>
          <w:bCs w:val="1"/>
          <w:i w:val="1"/>
          <w:iCs w:val="1"/>
          <w:color w:val="auto"/>
        </w:rPr>
        <w:t>Sections 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11</w:t>
      </w:r>
      <w:r>
        <w:rPr>
          <w:rFonts w:ascii="Times New Roman" w:cs="Times New Roman" w:eastAsia="Times New Roman" w:hAnsi="Times New Roman"/>
          <w:sz w:val="20"/>
          <w:szCs w:val="20"/>
          <w:color w:val="auto"/>
        </w:rPr>
        <w:t>)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Guaranty, the Borrower.</w:t>
      </w:r>
    </w:p>
    <w:p>
      <w:pPr>
        <w:spacing w:after="0" w:line="19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Guaranty</w:t>
      </w:r>
      <w:r>
        <w:rPr>
          <w:rFonts w:ascii="Times New Roman" w:cs="Times New Roman" w:eastAsia="Times New Roman" w:hAnsi="Times New Roman"/>
          <w:sz w:val="20"/>
          <w:szCs w:val="20"/>
          <w:color w:val="auto"/>
        </w:rPr>
        <w:t xml:space="preserve">” means, collectively, the Guarantee made by the Guarantors under </w:t>
      </w:r>
      <w:r>
        <w:rPr>
          <w:rFonts w:ascii="Times New Roman" w:cs="Times New Roman" w:eastAsia="Times New Roman" w:hAnsi="Times New Roman"/>
          <w:sz w:val="20"/>
          <w:szCs w:val="20"/>
          <w:b w:val="1"/>
          <w:bCs w:val="1"/>
          <w:i w:val="1"/>
          <w:iCs w:val="1"/>
          <w:color w:val="auto"/>
        </w:rPr>
        <w:t>Article X</w:t>
      </w:r>
      <w:r>
        <w:rPr>
          <w:rFonts w:ascii="Times New Roman" w:cs="Times New Roman" w:eastAsia="Times New Roman" w:hAnsi="Times New Roman"/>
          <w:sz w:val="20"/>
          <w:szCs w:val="20"/>
          <w:color w:val="auto"/>
        </w:rPr>
        <w:t xml:space="preserve"> in favor of the Secured Parties, together with each other guaranty delivered pursuant to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w:t>
      </w:r>
    </w:p>
    <w:p>
      <w:pPr>
        <w:jc w:val="both"/>
        <w:spacing w:after="0" w:line="204" w:lineRule="auto"/>
        <w:rPr>
          <w:sz w:val="20"/>
          <w:szCs w:val="20"/>
          <w:color w:val="auto"/>
        </w:rPr>
      </w:pPr>
      <w:r>
        <w:rPr>
          <w:rFonts w:ascii="Times New Roman" w:cs="Times New Roman" w:eastAsia="Times New Roman" w:hAnsi="Times New Roman"/>
          <w:sz w:val="20"/>
          <w:szCs w:val="20"/>
          <w:color w:val="auto"/>
        </w:rPr>
        <w:t>other pollutants, including petroleum or petroleum distillates, natural gas, natural gas liquids, asbestos or asbestos-containing materials, polychlorinated biphenyls, radon gas, toxic mold, infectious or medical wastes and all other substances, wastes, chemicals, pollutants,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contaminants or compounds of any nature in any form regulated pursuant to any Environmental Law.</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Hedge Bank</w:t>
      </w:r>
      <w:r>
        <w:rPr>
          <w:rFonts w:ascii="Times New Roman" w:cs="Times New Roman" w:eastAsia="Times New Roman" w:hAnsi="Times New Roman"/>
          <w:sz w:val="20"/>
          <w:szCs w:val="20"/>
          <w:color w:val="auto"/>
        </w:rPr>
        <w:t xml:space="preserve">” means any Person in its capacity as a party to a Swap Contract that, at the time it enters into a Swap Contract not prohibited under </w:t>
      </w:r>
      <w:r>
        <w:rPr>
          <w:rFonts w:ascii="Times New Roman" w:cs="Times New Roman" w:eastAsia="Times New Roman" w:hAnsi="Times New Roman"/>
          <w:sz w:val="20"/>
          <w:szCs w:val="20"/>
          <w:b w:val="1"/>
          <w:bCs w:val="1"/>
          <w:i w:val="1"/>
          <w:iCs w:val="1"/>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VII</w:t>
      </w:r>
      <w:r>
        <w:rPr>
          <w:rFonts w:ascii="Times New Roman" w:cs="Times New Roman" w:eastAsia="Times New Roman" w:hAnsi="Times New Roman"/>
          <w:sz w:val="20"/>
          <w:szCs w:val="20"/>
          <w:color w:val="auto"/>
        </w:rPr>
        <w:t>, is a Lender or an Affiliate of a Lender, in its capacity as a party to such Swap Contract (even if such</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the case of a Secured Hedge Agreement with a</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Person who is no longer a Lender (or Affiliate of a Lender), such Person shall be considered a Hedge Bank only through the stated termination date (without extension or renewal) of such Secured Hedge Agreement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for any of the foregoing to be</w:t>
      </w:r>
    </w:p>
    <w:p>
      <w:pPr>
        <w:spacing w:after="0" w:line="223" w:lineRule="auto"/>
        <w:rPr>
          <w:sz w:val="20"/>
          <w:szCs w:val="20"/>
          <w:color w:val="auto"/>
        </w:rPr>
      </w:pPr>
      <w:r>
        <w:rPr>
          <w:rFonts w:ascii="Times New Roman" w:cs="Times New Roman" w:eastAsia="Times New Roman" w:hAnsi="Times New Roman"/>
          <w:sz w:val="19"/>
          <w:szCs w:val="19"/>
          <w:color w:val="auto"/>
        </w:rPr>
        <w:t>included as a “Secured Hedge Agreement” on any date of determination by the Administrative Agent, the applicable Hedge Bank (other than</w:t>
      </w:r>
    </w:p>
    <w:p>
      <w:pPr>
        <w:spacing w:after="0" w:line="221" w:lineRule="auto"/>
        <w:rPr>
          <w:sz w:val="20"/>
          <w:szCs w:val="20"/>
          <w:color w:val="auto"/>
        </w:rPr>
      </w:pPr>
      <w:r>
        <w:rPr>
          <w:rFonts w:ascii="Times New Roman" w:cs="Times New Roman" w:eastAsia="Times New Roman" w:hAnsi="Times New Roman"/>
          <w:sz w:val="20"/>
          <w:szCs w:val="20"/>
          <w:color w:val="auto"/>
        </w:rPr>
        <w:t>the Administrative Agent or an Affiliate of the Administrative Agent) must have delivered a Secured Party Designation Notice to the Administrative Agent prior to such date of determination.</w:t>
      </w:r>
    </w:p>
    <w:p>
      <w:pPr>
        <w:spacing w:after="0" w:line="18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means international accounting standards within the meaning of IAS Regulation 1606/2002 to the extent applicable to the relevant financial statements delivered under or referred to herein.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88" w:lineRule="exact"/>
        <w:rPr>
          <w:sz w:val="20"/>
          <w:szCs w:val="20"/>
          <w:color w:val="auto"/>
        </w:rPr>
      </w:pPr>
    </w:p>
    <w:p>
      <w:pPr>
        <w:ind w:left="640" w:firstLine="644"/>
        <w:spacing w:after="0"/>
        <w:tabs>
          <w:tab w:leader="none" w:pos="192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47" w:lineRule="exact"/>
        <w:rPr>
          <w:rFonts w:ascii="Times New Roman" w:cs="Times New Roman" w:eastAsia="Times New Roman" w:hAnsi="Times New Roman"/>
          <w:sz w:val="20"/>
          <w:szCs w:val="20"/>
          <w:color w:val="auto"/>
        </w:rPr>
      </w:pPr>
    </w:p>
    <w:p>
      <w:pPr>
        <w:ind w:left="640" w:firstLine="644"/>
        <w:spacing w:after="0"/>
        <w:tabs>
          <w:tab w:leader="none" w:pos="192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175"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w:t>
      </w:r>
    </w:p>
    <w:p>
      <w:pPr>
        <w:spacing w:after="0" w:line="188" w:lineRule="exact"/>
        <w:rPr>
          <w:rFonts w:ascii="Times New Roman" w:cs="Times New Roman" w:eastAsia="Times New Roman" w:hAnsi="Times New Roman"/>
          <w:sz w:val="20"/>
          <w:szCs w:val="20"/>
          <w:color w:val="auto"/>
        </w:rPr>
      </w:pPr>
    </w:p>
    <w:p>
      <w:pPr>
        <w:jc w:val="both"/>
        <w:ind w:left="640" w:firstLine="644"/>
        <w:spacing w:after="0" w:line="226" w:lineRule="auto"/>
        <w:tabs>
          <w:tab w:leader="none" w:pos="192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firstLine="644"/>
        <w:spacing w:after="0"/>
        <w:tabs>
          <w:tab w:leader="none" w:pos="193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Financing Leases and Synthetic Lease Obligations of such Person and all Synthetic Debt of such Person;</w:t>
      </w:r>
    </w:p>
    <w:p>
      <w:pPr>
        <w:spacing w:after="0" w:line="147" w:lineRule="exact"/>
        <w:rPr>
          <w:rFonts w:ascii="Times New Roman" w:cs="Times New Roman" w:eastAsia="Times New Roman" w:hAnsi="Times New Roman"/>
          <w:sz w:val="20"/>
          <w:szCs w:val="20"/>
          <w:color w:val="auto"/>
        </w:rPr>
      </w:pPr>
    </w:p>
    <w:p>
      <w:pPr>
        <w:jc w:val="both"/>
        <w:ind w:left="640" w:firstLine="644"/>
        <w:spacing w:after="0" w:line="222" w:lineRule="auto"/>
        <w:tabs>
          <w:tab w:leader="none" w:pos="192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189" w:lineRule="exact"/>
        <w:rPr>
          <w:sz w:val="20"/>
          <w:szCs w:val="20"/>
          <w:color w:val="auto"/>
        </w:rPr>
      </w:pPr>
    </w:p>
    <w:p>
      <w:pPr>
        <w:ind w:left="640" w:firstLine="648"/>
        <w:spacing w:after="0" w:line="227" w:lineRule="auto"/>
        <w:rPr>
          <w:sz w:val="20"/>
          <w:szCs w:val="20"/>
          <w:color w:val="auto"/>
        </w:rPr>
      </w:pPr>
      <w:r>
        <w:rPr>
          <w:rFonts w:ascii="Times New Roman" w:cs="Times New Roman" w:eastAsia="Times New Roman" w:hAnsi="Times New Roman"/>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w:t>
      </w:r>
    </w:p>
    <w:p>
      <w:pPr>
        <w:ind w:left="640"/>
        <w:spacing w:after="0" w:line="228" w:lineRule="auto"/>
        <w:rPr>
          <w:sz w:val="20"/>
          <w:szCs w:val="20"/>
          <w:color w:val="auto"/>
        </w:rPr>
      </w:pPr>
      <w:r>
        <w:rPr>
          <w:rFonts w:ascii="Times New Roman" w:cs="Times New Roman" w:eastAsia="Times New Roman" w:hAnsi="Times New Roman"/>
          <w:sz w:val="20"/>
          <w:szCs w:val="20"/>
          <w:color w:val="auto"/>
        </w:rPr>
        <w:t>venturer, unless such Indebtedness is expressly made non-recourse to such Person. The amount of any net obligation under any Swap Contract on any date shall be deemed to be the Swap Termination Value thereof as of such date.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Taxes</w:t>
      </w:r>
      <w:r>
        <w:rPr>
          <w:rFonts w:ascii="Times New Roman" w:cs="Times New Roman" w:eastAsia="Times New Roman" w:hAnsi="Times New Roman"/>
          <w:sz w:val="20"/>
          <w:szCs w:val="20"/>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b w:val="1"/>
          <w:bCs w:val="1"/>
          <w:i w:val="1"/>
          <w:iCs w:val="1"/>
          <w:color w:val="auto"/>
        </w:rPr>
        <w:t>clause (a)</w:t>
      </w:r>
      <w:r>
        <w:rPr>
          <w:rFonts w:ascii="Times New Roman" w:cs="Times New Roman" w:eastAsia="Times New Roman" w:hAnsi="Times New Roman"/>
          <w:sz w:val="20"/>
          <w:szCs w:val="20"/>
          <w:color w:val="auto"/>
        </w:rPr>
        <w:t>, Other Taxes.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11.04(b).</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Intercompany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7.02(d)</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Payment Date</w:t>
      </w:r>
      <w:r>
        <w:rPr>
          <w:rFonts w:ascii="Times New Roman" w:cs="Times New Roman" w:eastAsia="Times New Roman" w:hAnsi="Times New Roman"/>
          <w:sz w:val="20"/>
          <w:szCs w:val="20"/>
          <w:color w:val="auto"/>
        </w:rPr>
        <w:t>” means: (a) as to any BSBY Rate Loan or Alternative Currency Term Rate Loan, the last day of each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Interest Period applicable to such Loan and the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if any Interest Period for a BSBY Rate Loan or an Alternative Currency Term Rate Loan </w:t>
      </w:r>
      <w:r>
        <w:rPr>
          <w:rFonts w:ascii="Times New Roman" w:cs="Times New Roman" w:eastAsia="Times New Roman" w:hAnsi="Times New Roman"/>
          <w:sz w:val="20"/>
          <w:szCs w:val="20"/>
          <w:i w:val="1"/>
          <w:iCs w:val="1"/>
          <w:color w:val="auto"/>
        </w:rPr>
        <w:t>exceeds</w:t>
      </w:r>
      <w:r>
        <w:rPr>
          <w:rFonts w:ascii="Times New Roman" w:cs="Times New Roman" w:eastAsia="Times New Roman" w:hAnsi="Times New Roman"/>
          <w:sz w:val="20"/>
          <w:szCs w:val="20"/>
          <w:color w:val="auto"/>
        </w:rPr>
        <w:t xml:space="preserve"> three months, then the respective dates that fall every three months after the beginning of such Interest</w:t>
      </w:r>
    </w:p>
    <w:p>
      <w:pPr>
        <w:spacing w:after="0" w:line="223" w:lineRule="auto"/>
        <w:rPr>
          <w:sz w:val="20"/>
          <w:szCs w:val="20"/>
          <w:color w:val="auto"/>
        </w:rPr>
      </w:pPr>
      <w:r>
        <w:rPr>
          <w:rFonts w:ascii="Times New Roman" w:cs="Times New Roman" w:eastAsia="Times New Roman" w:hAnsi="Times New Roman"/>
          <w:sz w:val="19"/>
          <w:szCs w:val="19"/>
          <w:color w:val="auto"/>
        </w:rPr>
        <w:t>Period shall also be Interest Payment Dates; and (b) as to any Base Rate Loan, Swingline Loan or Alternative Currency Daily Rate Loan,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last Business Day of each March, June, September and December and the Maturity Date (with Swingline Loans being deemed made under the Revolving Facility for purposes of this definition).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Period</w:t>
      </w:r>
      <w:r>
        <w:rPr>
          <w:rFonts w:ascii="Times New Roman" w:cs="Times New Roman" w:eastAsia="Times New Roman" w:hAnsi="Times New Roman"/>
          <w:sz w:val="19"/>
          <w:szCs w:val="19"/>
          <w:color w:val="auto"/>
        </w:rPr>
        <w:t>” means, as to each BSBY Rate Loan and each Alternative Currency Term Rate Loan, the period commencing on the</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date such Loan is disbursed or converted to, or continued as, a BSBY Rate Loan or an Alternative Currency Term Rate Loan and ending on the date that is one (1), three (3) or six (6) months thereafter (in each case, subject to availability for the interest rate applicable to the relevant</w:t>
      </w:r>
    </w:p>
    <w:p>
      <w:pPr>
        <w:spacing w:after="0"/>
        <w:rPr>
          <w:sz w:val="20"/>
          <w:szCs w:val="20"/>
          <w:color w:val="auto"/>
        </w:rPr>
      </w:pPr>
      <w:r>
        <w:rPr>
          <w:rFonts w:ascii="Times New Roman" w:cs="Times New Roman" w:eastAsia="Times New Roman" w:hAnsi="Times New Roman"/>
          <w:sz w:val="20"/>
          <w:szCs w:val="20"/>
          <w:color w:val="auto"/>
        </w:rPr>
        <w:t xml:space="preserve">currency), as selected by the Borrower in its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90" w:lineRule="exact"/>
        <w:rPr>
          <w:sz w:val="20"/>
          <w:szCs w:val="20"/>
          <w:color w:val="auto"/>
        </w:rPr>
      </w:pPr>
    </w:p>
    <w:p>
      <w:pPr>
        <w:jc w:val="both"/>
        <w:ind w:left="640" w:right="20" w:firstLine="644"/>
        <w:spacing w:after="0" w:line="227" w:lineRule="auto"/>
        <w:tabs>
          <w:tab w:leader="none" w:pos="192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Period that would otherwise end on a day that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a Business Day shall be extended to the next succeeding Business Day, unless such Business Day falls in another calendar month, in which case such Interest Period shall end on the next preceding Business Day;</w:t>
      </w:r>
    </w:p>
    <w:p>
      <w:pPr>
        <w:spacing w:after="0" w:line="161" w:lineRule="exact"/>
        <w:rPr>
          <w:rFonts w:ascii="Times New Roman" w:cs="Times New Roman" w:eastAsia="Times New Roman" w:hAnsi="Times New Roman"/>
          <w:sz w:val="20"/>
          <w:szCs w:val="20"/>
          <w:color w:val="auto"/>
        </w:rPr>
      </w:pPr>
    </w:p>
    <w:p>
      <w:pPr>
        <w:jc w:val="both"/>
        <w:ind w:left="640" w:firstLine="644"/>
        <w:spacing w:after="0" w:line="226" w:lineRule="auto"/>
        <w:tabs>
          <w:tab w:leader="none" w:pos="192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hanging="636"/>
        <w:spacing w:after="0"/>
        <w:tabs>
          <w:tab w:leader="none" w:pos="19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18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Investment</w:t>
      </w:r>
      <w:r>
        <w:rPr>
          <w:rFonts w:ascii="Times New Roman" w:cs="Times New Roman" w:eastAsia="Times New Roman" w:hAnsi="Times New Roman"/>
          <w:sz w:val="19"/>
          <w:szCs w:val="19"/>
          <w:color w:val="auto"/>
        </w:rPr>
        <w:t>” means, as to any Person, any direct or indirect acquisition or investment by such Person, whether by means of (a) the purchase or other acquisition of Equity Interests of another Person, (b) a loan, advance or capital contribution to, Guarantee or assumption of</w:t>
      </w:r>
    </w:p>
    <w:p>
      <w:pPr>
        <w:spacing w:after="0" w:line="223" w:lineRule="auto"/>
        <w:rPr>
          <w:sz w:val="20"/>
          <w:szCs w:val="20"/>
          <w:color w:val="auto"/>
        </w:rPr>
      </w:pPr>
      <w:r>
        <w:rPr>
          <w:rFonts w:ascii="Times New Roman" w:cs="Times New Roman" w:eastAsia="Times New Roman" w:hAnsi="Times New Roman"/>
          <w:sz w:val="19"/>
          <w:szCs w:val="19"/>
          <w:color w:val="auto"/>
        </w:rPr>
        <w:t>debt of, or purchase or other acquisition of any other debt or interest in, another Person (including any partnership or joint venture interest in</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other Person and any arrangement pursuant to which the investor guaranties Indebtedness of such other Person), or (c) the purchase or other acquisition (in one transaction or a series of transactions) of assets of another Person which constitute all or substantially all of the</w:t>
      </w:r>
    </w:p>
    <w:p>
      <w:pPr>
        <w:spacing w:after="0" w:line="211" w:lineRule="auto"/>
        <w:rPr>
          <w:sz w:val="20"/>
          <w:szCs w:val="20"/>
          <w:color w:val="auto"/>
        </w:rPr>
      </w:pPr>
      <w:r>
        <w:rPr>
          <w:rFonts w:ascii="Times New Roman" w:cs="Times New Roman" w:eastAsia="Times New Roman" w:hAnsi="Times New Roman"/>
          <w:sz w:val="20"/>
          <w:szCs w:val="20"/>
          <w:color w:val="auto"/>
        </w:rPr>
        <w:t>assets of such Person or of a division, line of business or other business unit of such Person. For purposes of covenant compliance, the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amount of any Investment shall be the amount actually invested, without adjustment for subsequent increases or decreases in the value of such Investment.</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Involuntary Disposition</w:t>
      </w:r>
      <w:r>
        <w:rPr>
          <w:rFonts w:ascii="Times New Roman" w:cs="Times New Roman" w:eastAsia="Times New Roman" w:hAnsi="Times New Roman"/>
          <w:sz w:val="20"/>
          <w:szCs w:val="20"/>
          <w:color w:val="auto"/>
        </w:rPr>
        <w:t>” means any loss of, damage to or destruction of, or any condemnation or other taking for public use of, any property of any Loan Party or any Subsidiary.</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6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b w:val="1"/>
          <w:bCs w:val="1"/>
          <w:i w:val="1"/>
          <w:iCs w:val="1"/>
          <w:color w:val="auto"/>
        </w:rPr>
        <w:t>Exhibit D</w:t>
      </w:r>
      <w:r>
        <w:rPr>
          <w:rFonts w:ascii="Times New Roman" w:cs="Times New Roman" w:eastAsia="Times New Roman" w:hAnsi="Times New Roman"/>
          <w:sz w:val="20"/>
          <w:szCs w:val="20"/>
          <w:color w:val="auto"/>
        </w:rPr>
        <w:t xml:space="preserve"> executed and delivered in accordance with the provisions of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11.22</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w:t>
      </w:r>
    </w:p>
    <w:p>
      <w:pPr>
        <w:jc w:val="both"/>
        <w:spacing w:after="0" w:line="204" w:lineRule="auto"/>
        <w:rPr>
          <w:sz w:val="20"/>
          <w:szCs w:val="20"/>
          <w:color w:val="auto"/>
        </w:rPr>
      </w:pPr>
      <w:r>
        <w:rPr>
          <w:rFonts w:ascii="Times New Roman" w:cs="Times New Roman" w:eastAsia="Times New Roman" w:hAnsi="Times New Roman"/>
          <w:sz w:val="20"/>
          <w:szCs w:val="20"/>
          <w:color w:val="auto"/>
        </w:rPr>
        <w:t>ordinances, codes and administrative or judicial precedents or authorities, including the interpretation or administration thereof by any Governmental Authority charged with the enforcement, interpretation or administration thereof, and all applicable administrative orders,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directed duties, requests, licenses, authorizations and permits of, and agreements with, any Governmental Authority, in each case whether or not having the force of law.</w:t>
      </w:r>
    </w:p>
    <w:p>
      <w:pPr>
        <w:spacing w:after="0" w:line="172"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Applicable Revolving Percentage.</w:t>
      </w:r>
    </w:p>
    <w:p>
      <w:pPr>
        <w:spacing w:after="0" w:line="178"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Borrowing.</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Commitment</w:t>
      </w:r>
      <w:r>
        <w:rPr>
          <w:rFonts w:ascii="Times New Roman" w:cs="Times New Roman" w:eastAsia="Times New Roman" w:hAnsi="Times New Roman"/>
          <w:sz w:val="20"/>
          <w:szCs w:val="20"/>
          <w:color w:val="auto"/>
        </w:rPr>
        <w:t>” means, with respect to the L/C Issuer, the commitment of the L/C Issuer to issue Letters of Credit hereunder.</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The initial amount of the L/C Issuer’s L/C Commitment is set forth on </w:t>
      </w:r>
      <w:r>
        <w:rPr>
          <w:rFonts w:ascii="Times New Roman" w:cs="Times New Roman" w:eastAsia="Times New Roman" w:hAnsi="Times New Roman"/>
          <w:sz w:val="20"/>
          <w:szCs w:val="20"/>
          <w:b w:val="1"/>
          <w:bCs w:val="1"/>
          <w:i w:val="1"/>
          <w:iCs w:val="1"/>
          <w:color w:val="auto"/>
        </w:rPr>
        <w:t>Schedule 2.03</w:t>
      </w:r>
      <w:r>
        <w:rPr>
          <w:rFonts w:ascii="Times New Roman" w:cs="Times New Roman" w:eastAsia="Times New Roman" w:hAnsi="Times New Roman"/>
          <w:sz w:val="20"/>
          <w:szCs w:val="20"/>
          <w:color w:val="auto"/>
        </w:rPr>
        <w:t>. The L/C Commitment of the L/C Issuer may be modified from time to time by agreement between the L/C Issuer and the Borrower, and notified to the Administrative Agent.</w:t>
      </w:r>
    </w:p>
    <w:p>
      <w:pPr>
        <w:spacing w:after="0" w:line="185"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Issuer</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means Bank of America in its capacity as issuer of Letters of Credit hereunder or any successor issuer thereof, and each</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other Lender as the Borrower may from time to time select (with the prior written consent of the Administrative Agent) as an L/C Issuer hereunder pursuant to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provided that such Lender has agreed to be an L/C Issuer, or any successor thereof.</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Obligations</w:t>
      </w:r>
      <w:r>
        <w:rPr>
          <w:rFonts w:ascii="Times New Roman" w:cs="Times New Roman" w:eastAsia="Times New Roman" w:hAnsi="Times New Roman"/>
          <w:sz w:val="20"/>
          <w:szCs w:val="20"/>
          <w:color w:val="auto"/>
        </w:rPr>
        <w:t>” means, as at any date of determination, the aggregate amount available to be drawn under all outstanding Letters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b w:val="1"/>
          <w:bCs w:val="1"/>
          <w:i w:val="1"/>
          <w:iCs w:val="1"/>
          <w:color w:val="auto"/>
        </w:rPr>
        <w:t>Section 1.06</w:t>
      </w:r>
      <w:r>
        <w:rPr>
          <w:rFonts w:ascii="Times New Roman" w:cs="Times New Roman" w:eastAsia="Times New Roman" w:hAnsi="Times New Roman"/>
          <w:sz w:val="20"/>
          <w:szCs w:val="20"/>
          <w:color w:val="auto"/>
        </w:rPr>
        <w:t>. For all</w:t>
      </w:r>
    </w:p>
    <w:p>
      <w:pPr>
        <w:spacing w:after="0" w:line="211" w:lineRule="auto"/>
        <w:rPr>
          <w:sz w:val="20"/>
          <w:szCs w:val="20"/>
          <w:color w:val="auto"/>
        </w:rPr>
      </w:pPr>
      <w:r>
        <w:rPr>
          <w:rFonts w:ascii="Times New Roman" w:cs="Times New Roman" w:eastAsia="Times New Roman" w:hAnsi="Times New Roman"/>
          <w:sz w:val="20"/>
          <w:szCs w:val="20"/>
          <w:color w:val="auto"/>
        </w:rPr>
        <w:t>purposes of this Agreement, if on any date of determination a Letter of Credit has expired by its terms but any amount may still be drawn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thereunder by reason of the operation of Rule 3.14 of the ISP, such Letter of Credit shall be deemed to be “outstanding” in the amount so remaining available to be drawn.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means each of the Persons identified as a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on the signature pages to the Third Amendment, each other Person that</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becomes a “</w:t>
      </w:r>
      <w:r>
        <w:rPr>
          <w:rFonts w:ascii="Times New Roman" w:cs="Times New Roman" w:eastAsia="Times New Roman" w:hAnsi="Times New Roman"/>
          <w:sz w:val="20"/>
          <w:szCs w:val="20"/>
          <w:i w:val="1"/>
          <w:iCs w:val="1"/>
          <w:color w:val="auto"/>
        </w:rPr>
        <w:t>Lender</w:t>
      </w:r>
      <w:r>
        <w:rPr>
          <w:rFonts w:ascii="Times New Roman" w:cs="Times New Roman" w:eastAsia="Times New Roman" w:hAnsi="Times New Roman"/>
          <w:sz w:val="20"/>
          <w:szCs w:val="20"/>
          <w:color w:val="auto"/>
        </w:rPr>
        <w:t>” in accordance with this Agreement and, their successors and assigns and, unless the context requires otherwise, includes the Swingline Lender.</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Lending Office</w:t>
      </w:r>
      <w:r>
        <w:rPr>
          <w:rFonts w:ascii="Times New Roman" w:cs="Times New Roman" w:eastAsia="Times New Roman" w:hAnsi="Times New Roman"/>
          <w:sz w:val="19"/>
          <w:szCs w:val="19"/>
          <w:color w:val="auto"/>
        </w:rPr>
        <w:t>” means, as to the Administrative Agent, the L/C Issuer or any Lender, the office or offices of such Person described</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as such in such Person’s Administrative Questionnaire, or such other office or offices as such Person may from time to time notify the Borrower and the Administrative Agent; which office may include any Affiliate of such Person or any domestic or foreign branch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or such Affiliate.</w:t>
      </w:r>
    </w:p>
    <w:p>
      <w:pPr>
        <w:spacing w:after="0" w:line="190"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w:t>
      </w:r>
      <w:r>
        <w:rPr>
          <w:rFonts w:ascii="Times New Roman" w:cs="Times New Roman" w:eastAsia="Times New Roman" w:hAnsi="Times New Roman"/>
          <w:sz w:val="20"/>
          <w:szCs w:val="20"/>
          <w:color w:val="auto"/>
        </w:rPr>
        <w:t>” means any letter of credit issued hereunder and shall include the Existing Letters of Credit. A Letter of Credit shall be a standby letter of credit. Letters of Credit may be issued in Dollars or in an Alternative Currency.</w:t>
      </w:r>
    </w:p>
    <w:p>
      <w:pPr>
        <w:spacing w:after="0" w:line="184"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Cash Collateralization Date</w:t>
      </w:r>
      <w:r>
        <w:rPr>
          <w:rFonts w:ascii="Times New Roman" w:cs="Times New Roman" w:eastAsia="Times New Roman" w:hAnsi="Times New Roman"/>
          <w:sz w:val="20"/>
          <w:szCs w:val="20"/>
          <w:color w:val="auto"/>
        </w:rPr>
        <w:t>” means the day that is the earlier of: (a) 60 days prior to the Maturity Date then in</w:t>
      </w:r>
    </w:p>
    <w:p>
      <w:pPr>
        <w:spacing w:after="0" w:line="221" w:lineRule="auto"/>
        <w:rPr>
          <w:sz w:val="20"/>
          <w:szCs w:val="20"/>
          <w:color w:val="auto"/>
        </w:rPr>
      </w:pPr>
      <w:r>
        <w:rPr>
          <w:rFonts w:ascii="Times New Roman" w:cs="Times New Roman" w:eastAsia="Times New Roman" w:hAnsi="Times New Roman"/>
          <w:sz w:val="20"/>
          <w:szCs w:val="20"/>
          <w:color w:val="auto"/>
        </w:rPr>
        <w:t>effect (or, if such day is not a Business Day, the next preceding Business Day); or (b) the date upon which Administrative Agent declares the Obligations due and payable after the occurrence of an Event of Default.</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Expiration Date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the day that is seven days prior to the Maturity Date (or, if such day is not a Business Day, the next preceding Business Day).</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2.03(l)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Sublimit</w:t>
      </w:r>
      <w:r>
        <w:rPr>
          <w:rFonts w:ascii="Times New Roman" w:cs="Times New Roman" w:eastAsia="Times New Roman" w:hAnsi="Times New Roman"/>
          <w:sz w:val="20"/>
          <w:szCs w:val="20"/>
          <w:color w:val="auto"/>
        </w:rPr>
        <w:t>” means, as of any date of determination, an amount equal to the Revolving Facility. The Letter of Credit Sublimit is part of, and not in addition to, the Revolving Facility.</w:t>
      </w:r>
    </w:p>
    <w:p>
      <w:pPr>
        <w:spacing w:after="0" w:line="16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otherwise), charge, or preference, priority or other security interest or preferential arrangement in the nature of a security interest of any kind or nature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Liquidity</w:t>
      </w:r>
      <w:r>
        <w:rPr>
          <w:rFonts w:ascii="Times New Roman" w:cs="Times New Roman" w:eastAsia="Times New Roman" w:hAnsi="Times New Roman"/>
          <w:sz w:val="20"/>
          <w:szCs w:val="20"/>
          <w:color w:val="auto"/>
        </w:rPr>
        <w:t xml:space="preserve">” means, when determined,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readily and immediately available cash and Cash Equivalents held in deposit</w:t>
      </w:r>
    </w:p>
    <w:p>
      <w:pPr>
        <w:jc w:val="both"/>
        <w:spacing w:after="0" w:line="204" w:lineRule="auto"/>
        <w:rPr>
          <w:sz w:val="20"/>
          <w:szCs w:val="20"/>
          <w:color w:val="auto"/>
        </w:rPr>
      </w:pPr>
      <w:r>
        <w:rPr>
          <w:rFonts w:ascii="Times New Roman" w:cs="Times New Roman" w:eastAsia="Times New Roman" w:hAnsi="Times New Roman"/>
          <w:sz w:val="20"/>
          <w:szCs w:val="20"/>
          <w:color w:val="auto"/>
        </w:rPr>
        <w:t>accounts of any Loan Party (other than Cash Collateral securing the L/C Obligations, including without limitation, Qualified Elective L/C Cash Collateral and other than Cash Collateral securing the Obligations that has been provided to, and maintained with, Administrative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Agent pursuant to </w:t>
      </w:r>
      <w:r>
        <w:rPr>
          <w:rFonts w:ascii="Times New Roman" w:cs="Times New Roman" w:eastAsia="Times New Roman" w:hAnsi="Times New Roman"/>
          <w:sz w:val="20"/>
          <w:szCs w:val="20"/>
          <w:b w:val="1"/>
          <w:bCs w:val="1"/>
          <w:i w:val="1"/>
          <w:iCs w:val="1"/>
          <w:color w:val="auto"/>
        </w:rPr>
        <w:t>Section 6.17</w:t>
      </w:r>
      <w:r>
        <w:rPr>
          <w:rFonts w:ascii="Times New Roman" w:cs="Times New Roman" w:eastAsia="Times New Roman" w:hAnsi="Times New Roman"/>
          <w:sz w:val="20"/>
          <w:szCs w:val="20"/>
          <w:color w:val="auto"/>
        </w:rPr>
        <w:t xml:space="preserve"> as a result of the occurrence of a Specified Cash Collateral Trigger Event);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such deposit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accounts and the funds therein shall be unencumbered and free and clear of all Liens and other third party rights other than a Lien in favor of the Administrative Agent pursuant to the Collateral Documents.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in the form of a Revolving Loan or a Swingline</w:t>
      </w:r>
    </w:p>
    <w:p>
      <w:pPr>
        <w:spacing w:after="0"/>
        <w:rPr>
          <w:sz w:val="20"/>
          <w:szCs w:val="20"/>
          <w:color w:val="auto"/>
        </w:rPr>
      </w:pPr>
      <w:r>
        <w:rPr>
          <w:rFonts w:ascii="Times New Roman" w:cs="Times New Roman" w:eastAsia="Times New Roman" w:hAnsi="Times New Roman"/>
          <w:sz w:val="20"/>
          <w:szCs w:val="20"/>
          <w:color w:val="auto"/>
        </w:rPr>
        <w:t>Loan.</w:t>
      </w:r>
    </w:p>
    <w:p>
      <w:pPr>
        <w:spacing w:after="0" w:line="17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Loan Documents</w:t>
      </w:r>
      <w:r>
        <w:rPr>
          <w:rFonts w:ascii="Times New Roman" w:cs="Times New Roman" w:eastAsia="Times New Roman" w:hAnsi="Times New Roman"/>
          <w:sz w:val="19"/>
          <w:szCs w:val="19"/>
          <w:color w:val="auto"/>
        </w:rPr>
        <w:t>” means, collectively, (a) this Agreement, (b) the Notes, (c) the Guaranty, (d) the Collateral Documents, (e) the Fee Letter, (f) each Issuer Document, (g) each Joinder Agreement, (h) any agreement creating or perfecting rights in Cash Collateral pursuant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to the provisions of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and (i) all other certificates, agreements, documents and instruments executed and delivered, in each case, by or on behalf of any Loan Party pursuant to the foregoing (but specifically excluding any Secured Hedge Agreement or any Secured Cash</w:t>
      </w:r>
    </w:p>
    <w:p>
      <w:pPr>
        <w:spacing w:after="0" w:line="223" w:lineRule="auto"/>
        <w:rPr>
          <w:sz w:val="20"/>
          <w:szCs w:val="20"/>
          <w:color w:val="auto"/>
        </w:rPr>
      </w:pPr>
      <w:r>
        <w:rPr>
          <w:rFonts w:ascii="Times New Roman" w:cs="Times New Roman" w:eastAsia="Times New Roman" w:hAnsi="Times New Roman"/>
          <w:sz w:val="19"/>
          <w:szCs w:val="19"/>
          <w:color w:val="auto"/>
        </w:rPr>
        <w:t>Management Agreement) and any amendments, modifications or supplements thereto or to any other Loan Document or waivers hereof or to</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any other Loan Document; provided, however, that for purposes of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Loan Documents</w:t>
      </w:r>
      <w:r>
        <w:rPr>
          <w:rFonts w:ascii="Times New Roman" w:cs="Times New Roman" w:eastAsia="Times New Roman" w:hAnsi="Times New Roman"/>
          <w:sz w:val="20"/>
          <w:szCs w:val="20"/>
          <w:color w:val="auto"/>
        </w:rPr>
        <w:t>” shall mean this Agreement, the Guaranty and the Collateral Documents.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Notice</w:t>
      </w:r>
      <w:r>
        <w:rPr>
          <w:rFonts w:ascii="Times New Roman" w:cs="Times New Roman" w:eastAsia="Times New Roman" w:hAnsi="Times New Roman"/>
          <w:sz w:val="20"/>
          <w:szCs w:val="20"/>
          <w:color w:val="auto"/>
        </w:rPr>
        <w:t>” means a notice of (a) a Borrowing, (b) a conversion of Loans from one Type to the other, or (c) a continuation of</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BSBY Rate Loans or Alternative Currency Term Rate Loans, pursuant to </w:t>
      </w:r>
      <w:r>
        <w:rPr>
          <w:rFonts w:ascii="Times New Roman" w:cs="Times New Roman" w:eastAsia="Times New Roman" w:hAnsi="Times New Roman"/>
          <w:sz w:val="19"/>
          <w:szCs w:val="19"/>
          <w:b w:val="1"/>
          <w:bCs w:val="1"/>
          <w:i w:val="1"/>
          <w:iCs w:val="1"/>
          <w:color w:val="auto"/>
        </w:rPr>
        <w:t>Section 2.02</w:t>
      </w:r>
      <w:r>
        <w:rPr>
          <w:rFonts w:ascii="Times New Roman" w:cs="Times New Roman" w:eastAsia="Times New Roman" w:hAnsi="Times New Roman"/>
          <w:sz w:val="19"/>
          <w:szCs w:val="19"/>
          <w:color w:val="auto"/>
        </w:rPr>
        <w:t xml:space="preserve">, which shall be substantially in the form of </w:t>
      </w:r>
      <w:r>
        <w:rPr>
          <w:rFonts w:ascii="Times New Roman" w:cs="Times New Roman" w:eastAsia="Times New Roman" w:hAnsi="Times New Roman"/>
          <w:sz w:val="19"/>
          <w:szCs w:val="19"/>
          <w:b w:val="1"/>
          <w:bCs w:val="1"/>
          <w:i w:val="1"/>
          <w:iCs w:val="1"/>
          <w:color w:val="auto"/>
        </w:rPr>
        <w:t>Exhibit E</w:t>
      </w:r>
      <w:r>
        <w:rPr>
          <w:rFonts w:ascii="Times New Roman" w:cs="Times New Roman" w:eastAsia="Times New Roman" w:hAnsi="Times New Roman"/>
          <w:sz w:val="19"/>
          <w:szCs w:val="19"/>
          <w:color w:val="auto"/>
        </w:rPr>
        <w:t xml:space="preserve"> or such other form as may be approved by the Administrative Agent (including any form on an electronic platform or electronic transmission</w:t>
      </w:r>
    </w:p>
    <w:p>
      <w:pPr>
        <w:spacing w:after="0"/>
        <w:rPr>
          <w:sz w:val="20"/>
          <w:szCs w:val="20"/>
          <w:color w:val="auto"/>
        </w:rPr>
      </w:pPr>
      <w:r>
        <w:rPr>
          <w:rFonts w:ascii="Times New Roman" w:cs="Times New Roman" w:eastAsia="Times New Roman" w:hAnsi="Times New Roman"/>
          <w:sz w:val="20"/>
          <w:szCs w:val="20"/>
          <w:color w:val="auto"/>
        </w:rPr>
        <w:t>system as shall be approved by the Administrative Agent), appropriately completed and signed by a Responsible Officer of the Borrower.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Parties</w:t>
      </w:r>
      <w:r>
        <w:rPr>
          <w:rFonts w:ascii="Times New Roman" w:cs="Times New Roman" w:eastAsia="Times New Roman" w:hAnsi="Times New Roman"/>
          <w:sz w:val="20"/>
          <w:szCs w:val="20"/>
          <w:color w:val="auto"/>
        </w:rPr>
        <w:t>” means, collectively, the Borrower and each Guarantor.</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Maintenance Capital Expenditures</w:t>
      </w:r>
      <w:r>
        <w:rPr>
          <w:rFonts w:ascii="Times New Roman" w:cs="Times New Roman" w:eastAsia="Times New Roman" w:hAnsi="Times New Roman"/>
          <w:sz w:val="20"/>
          <w:szCs w:val="20"/>
          <w:color w:val="auto"/>
        </w:rPr>
        <w:t>” means Capital Expenditures made by Borrower and its Subsidiaries that constitute normal replacements and maintenance which are properly charged to current operations of any such Person.</w:t>
      </w:r>
    </w:p>
    <w:p>
      <w:pPr>
        <w:spacing w:after="0" w:line="16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Mandatory Cost</w:t>
      </w:r>
      <w:r>
        <w:rPr>
          <w:rFonts w:ascii="Times New Roman" w:cs="Times New Roman" w:eastAsia="Times New Roman" w:hAnsi="Times New Roman"/>
          <w:sz w:val="20"/>
          <w:szCs w:val="20"/>
          <w:color w:val="auto"/>
        </w:rPr>
        <w:t>” means any amount incurred periodically by any Lender during the term of the Revolving Facility which constitutes fees, costs or charges imposed on lenders generally in the jurisdiction in which such Lender is domiciled, subject to regulation, or has its Lending Office by any Governmental Authority.</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Master Agreement</w:t>
      </w:r>
      <w:r>
        <w:rPr>
          <w:rFonts w:ascii="Times New Roman" w:cs="Times New Roman" w:eastAsia="Times New Roman" w:hAnsi="Times New Roman"/>
          <w:sz w:val="20"/>
          <w:szCs w:val="20"/>
          <w:color w:val="auto"/>
        </w:rPr>
        <w:t>” has the meaning set forth in the definition of “</w:t>
      </w:r>
      <w:r>
        <w:rPr>
          <w:rFonts w:ascii="Times New Roman" w:cs="Times New Roman" w:eastAsia="Times New Roman" w:hAnsi="Times New Roman"/>
          <w:sz w:val="20"/>
          <w:szCs w:val="20"/>
          <w:i w:val="1"/>
          <w:iCs w:val="1"/>
          <w:color w:val="auto"/>
        </w:rPr>
        <w:t>Swap Contract.</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w:t>
      </w:r>
    </w:p>
    <w:p>
      <w:pPr>
        <w:jc w:val="both"/>
        <w:spacing w:after="0" w:line="204" w:lineRule="auto"/>
        <w:rPr>
          <w:sz w:val="20"/>
          <w:szCs w:val="20"/>
          <w:color w:val="auto"/>
        </w:rPr>
      </w:pPr>
      <w:r>
        <w:rPr>
          <w:rFonts w:ascii="Times New Roman" w:cs="Times New Roman" w:eastAsia="Times New Roman" w:hAnsi="Times New Roman"/>
          <w:sz w:val="20"/>
          <w:szCs w:val="20"/>
          <w:color w:val="auto"/>
        </w:rPr>
        <w:t>properties, liabilities (actual or contingent), condition (financial or otherwise) or prospects of the Borrower or the Borrower and its Subsidiaries taken as a whole; or (b) a material adverse effect on (i) the ability of any Loan Party to perform its Obligations under any Loan</w:t>
      </w:r>
    </w:p>
    <w:p>
      <w:pPr>
        <w:spacing w:after="0" w:line="211" w:lineRule="auto"/>
        <w:rPr>
          <w:sz w:val="20"/>
          <w:szCs w:val="20"/>
          <w:color w:val="auto"/>
        </w:rPr>
      </w:pPr>
      <w:r>
        <w:rPr>
          <w:rFonts w:ascii="Times New Roman" w:cs="Times New Roman" w:eastAsia="Times New Roman" w:hAnsi="Times New Roman"/>
          <w:sz w:val="20"/>
          <w:szCs w:val="20"/>
          <w:color w:val="auto"/>
        </w:rPr>
        <w:t>Document to which it is a party, (ii) the legality, validity, binding effect or enforceability against any Loan Party of any Loan Document to</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which it is a party or (iii) the rights, remedies and benefits available to, or conferred upon, the Administrative Agent or any Lender under any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Maturity Date</w:t>
      </w:r>
      <w:r>
        <w:rPr>
          <w:rFonts w:ascii="Times New Roman" w:cs="Times New Roman" w:eastAsia="Times New Roman" w:hAnsi="Times New Roman"/>
          <w:sz w:val="20"/>
          <w:szCs w:val="20"/>
          <w:color w:val="auto"/>
        </w:rPr>
        <w:t xml:space="preserve">” means October 4, 2028;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each case, if such date is not a Business Day, the Maturity Date shall be the next preceding Business Day.</w:t>
      </w:r>
    </w:p>
    <w:p>
      <w:pPr>
        <w:spacing w:after="0" w:line="165"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Measurement Period</w:t>
      </w:r>
      <w:r>
        <w:rPr>
          <w:rFonts w:ascii="Times New Roman" w:cs="Times New Roman" w:eastAsia="Times New Roman" w:hAnsi="Times New Roman"/>
          <w:sz w:val="20"/>
          <w:szCs w:val="20"/>
          <w:color w:val="auto"/>
        </w:rPr>
        <w:t xml:space="preserve">” means, at any date of determination, the most recently completed four fiscal quarters of the Borrower (or, for purposes of determining Pro Forma Compliance, the most recently completed four fiscal quarters of the Borrower for which financial statements have been delivered pursuant to </w:t>
      </w:r>
      <w:r>
        <w:rPr>
          <w:rFonts w:ascii="Times New Roman" w:cs="Times New Roman" w:eastAsia="Times New Roman" w:hAnsi="Times New Roman"/>
          <w:sz w:val="20"/>
          <w:szCs w:val="20"/>
          <w:b w:val="1"/>
          <w:bCs w:val="1"/>
          <w:i w:val="1"/>
          <w:iCs w:val="1"/>
          <w:color w:val="auto"/>
        </w:rPr>
        <w:t>Section 6.01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105% of the Fronting Exposure of the L/C Issuer with respect to Letters of Credit issued and outstanding at such time and (b) otherwise, an amount determined by the Administrative Agent and the L/C Issuer in their sole discretion.</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Moody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t>
      </w:r>
      <w:r>
        <w:rPr>
          <w:rFonts w:ascii="Times New Roman" w:cs="Times New Roman" w:eastAsia="Times New Roman" w:hAnsi="Times New Roman"/>
          <w:sz w:val="20"/>
          <w:szCs w:val="20"/>
          <w:color w:val="auto"/>
        </w:rPr>
        <w:t>” means Moody’s Investors Service, Inc. and any successor thereto.</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Multiemployer Plan</w:t>
      </w:r>
      <w:r>
        <w:rPr>
          <w:rFonts w:ascii="Times New Roman" w:cs="Times New Roman" w:eastAsia="Times New Roman" w:hAnsi="Times New Roman"/>
          <w:sz w:val="20"/>
          <w:szCs w:val="20"/>
          <w:color w:val="auto"/>
        </w:rPr>
        <w:t xml:space="preserve">” means any employee benefit plan of the type described in </w:t>
      </w:r>
      <w:r>
        <w:rPr>
          <w:rFonts w:ascii="Times New Roman" w:cs="Times New Roman" w:eastAsia="Times New Roman" w:hAnsi="Times New Roman"/>
          <w:sz w:val="20"/>
          <w:szCs w:val="20"/>
          <w:i w:val="1"/>
          <w:iCs w:val="1"/>
          <w:color w:val="auto"/>
        </w:rPr>
        <w:t>Section 4001(a)(3)</w:t>
      </w:r>
      <w:r>
        <w:rPr>
          <w:rFonts w:ascii="Times New Roman" w:cs="Times New Roman" w:eastAsia="Times New Roman" w:hAnsi="Times New Roman"/>
          <w:sz w:val="20"/>
          <w:szCs w:val="20"/>
          <w:color w:val="auto"/>
        </w:rPr>
        <w:t xml:space="preserve"> of ERISA, to which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Borrower or any ERISA Affiliate makes or is obligated to make contributions, or during the preceding five plan years, has made or been obligated to make contributions.</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Multiple Employer Plan</w:t>
      </w:r>
      <w:r>
        <w:rPr>
          <w:rFonts w:ascii="Times New Roman" w:cs="Times New Roman" w:eastAsia="Times New Roman" w:hAnsi="Times New Roman"/>
          <w:sz w:val="20"/>
          <w:szCs w:val="20"/>
          <w:color w:val="auto"/>
        </w:rPr>
        <w:t xml:space="preserve">” means a Plan which has two or more contributing sponsors (including the Borrower or any ERISA Affiliate) at least two of whom are not under common control, as such a plan is described in </w:t>
      </w:r>
      <w:r>
        <w:rPr>
          <w:rFonts w:ascii="Times New Roman" w:cs="Times New Roman" w:eastAsia="Times New Roman" w:hAnsi="Times New Roman"/>
          <w:sz w:val="20"/>
          <w:szCs w:val="20"/>
          <w:i w:val="1"/>
          <w:iCs w:val="1"/>
          <w:color w:val="auto"/>
        </w:rPr>
        <w:t>Section 4064</w:t>
      </w:r>
      <w:r>
        <w:rPr>
          <w:rFonts w:ascii="Times New Roman" w:cs="Times New Roman" w:eastAsia="Times New Roman" w:hAnsi="Times New Roman"/>
          <w:sz w:val="20"/>
          <w:szCs w:val="20"/>
          <w:color w:val="auto"/>
        </w:rPr>
        <w:t xml:space="preserve"> of ERISA.</w:t>
      </w:r>
    </w:p>
    <w:p>
      <w:pPr>
        <w:spacing w:after="0" w:line="16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Net Cash Proceeds</w:t>
      </w:r>
      <w:r>
        <w:rPr>
          <w:rFonts w:ascii="Times New Roman" w:cs="Times New Roman" w:eastAsia="Times New Roman" w:hAnsi="Times New Roman"/>
          <w:sz w:val="20"/>
          <w:szCs w:val="20"/>
          <w:color w:val="auto"/>
        </w:rPr>
        <w:t>” means the aggregate cash or Cash Equivalents proceeds received by any Loan Party or any Subsidiary in respect of any Disposition or Involuntary Disposition, net of (a) direct costs incurred in connection therewith (including, without limitation,</w:t>
      </w:r>
    </w:p>
    <w:p>
      <w:pPr>
        <w:spacing w:after="0" w:line="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legal, accounting and investment banking fees and sales commissions), (b) taxes paid or payable as a result thereof and (c) in the case of any Disposition or any Involuntary Disposition, the amount necessary to retire any Indebtedness secured by a Permitted Lien (ranking senior to</w:t>
      </w:r>
    </w:p>
    <w:p>
      <w:pPr>
        <w:jc w:val="both"/>
        <w:spacing w:after="0" w:line="215" w:lineRule="auto"/>
        <w:rPr>
          <w:sz w:val="20"/>
          <w:szCs w:val="20"/>
          <w:color w:val="auto"/>
        </w:rPr>
      </w:pPr>
      <w:r>
        <w:rPr>
          <w:rFonts w:ascii="Times New Roman" w:cs="Times New Roman" w:eastAsia="Times New Roman" w:hAnsi="Times New Roman"/>
          <w:sz w:val="19"/>
          <w:szCs w:val="19"/>
          <w:color w:val="auto"/>
        </w:rPr>
        <w:t>any Lien of the Administrative Agent) on the related property; it being understood that “Net Cash Proceeds” shall include, without limitation, any cash or Cash Equivalents received upon the sale or other disposition of any non-cash consideration received by any Loan Party or any</w:t>
      </w:r>
    </w:p>
    <w:p>
      <w:pPr>
        <w:spacing w:after="0"/>
        <w:rPr>
          <w:sz w:val="20"/>
          <w:szCs w:val="20"/>
          <w:color w:val="auto"/>
        </w:rPr>
      </w:pPr>
      <w:r>
        <w:rPr>
          <w:rFonts w:ascii="Times New Roman" w:cs="Times New Roman" w:eastAsia="Times New Roman" w:hAnsi="Times New Roman"/>
          <w:sz w:val="20"/>
          <w:szCs w:val="20"/>
          <w:color w:val="auto"/>
        </w:rPr>
        <w:t>Subsidiary in any Disposition or Involuntary Disposition.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New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2.16(c)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Consenting Lender</w:t>
      </w:r>
      <w:r>
        <w:rPr>
          <w:rFonts w:ascii="Times New Roman" w:cs="Times New Roman" w:eastAsia="Times New Roman" w:hAnsi="Times New Roman"/>
          <w:sz w:val="19"/>
          <w:szCs w:val="19"/>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9"/>
          <w:szCs w:val="19"/>
          <w:b w:val="1"/>
          <w:bCs w:val="1"/>
          <w:i w:val="1"/>
          <w:iCs w:val="1"/>
          <w:color w:val="auto"/>
        </w:rPr>
        <w:t>Section 11.01</w:t>
      </w:r>
      <w:r>
        <w:rPr>
          <w:rFonts w:ascii="Times New Roman" w:cs="Times New Roman" w:eastAsia="Times New Roman" w:hAnsi="Times New Roman"/>
          <w:sz w:val="19"/>
          <w:szCs w:val="19"/>
          <w:color w:val="auto"/>
        </w:rPr>
        <w:t xml:space="preserve"> and (b) has been approved by the Required Lenders.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BSBY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means a Revolving Note.</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b w:val="1"/>
          <w:bCs w:val="1"/>
          <w:i w:val="1"/>
          <w:iCs w:val="1"/>
          <w:color w:val="auto"/>
        </w:rPr>
        <w:t xml:space="preserve">Exhibit R </w:t>
      </w:r>
      <w:r>
        <w:rPr>
          <w:rFonts w:ascii="Times New Roman" w:cs="Times New Roman" w:eastAsia="Times New Roman" w:hAnsi="Times New Roman"/>
          <w:sz w:val="20"/>
          <w:szCs w:val="20"/>
          <w:color w:val="auto"/>
        </w:rPr>
        <w:t>or such other form as may be approved by the Administrative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Agent (including any form on an electronic platform or electronic transmission system as shall be approved by the Administrative Agent), appropriately completed and signed by a Responsible Officer.</w:t>
      </w:r>
    </w:p>
    <w:p>
      <w:pPr>
        <w:spacing w:after="0" w:line="171"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means (a) all advances to, and debts, liabilities, obligations, covenants and duties of, any Loan Party arising under any Loan Document or otherwise with respect to any Loan, or Letter of Credit and (b) all costs and expenses incurred in connection with</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enforcement and collection of the foregoing, including the fees, charges and disbursements of counsel, in each case whether direct or indirect (including those acquired by assumption), absolute or contingent, due or to become due, now existing or hereafter arising and including</w:t>
      </w:r>
    </w:p>
    <w:p>
      <w:pPr>
        <w:spacing w:after="0" w:line="211" w:lineRule="auto"/>
        <w:rPr>
          <w:sz w:val="20"/>
          <w:szCs w:val="20"/>
          <w:color w:val="auto"/>
        </w:rPr>
      </w:pPr>
      <w:r>
        <w:rPr>
          <w:rFonts w:ascii="Times New Roman" w:cs="Times New Roman" w:eastAsia="Times New Roman" w:hAnsi="Times New Roman"/>
          <w:sz w:val="20"/>
          <w:szCs w:val="20"/>
          <w:color w:val="auto"/>
        </w:rPr>
        <w:t>interest, expenses and fees that accrue after the commencement by or against any Loan Party or any Affiliate thereof pursuant to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without limiting the foregoing, the Obligations of a Guarantor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exclude any Excluded Swap Obligations with respect to such Guarantor.</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Officer’s Certificate</w:t>
      </w:r>
      <w:r>
        <w:rPr>
          <w:rFonts w:ascii="Times New Roman" w:cs="Times New Roman" w:eastAsia="Times New Roman" w:hAnsi="Times New Roman"/>
          <w:sz w:val="20"/>
          <w:szCs w:val="20"/>
          <w:color w:val="auto"/>
        </w:rPr>
        <w:t xml:space="preserve">” means a certificate substantially the form of </w:t>
      </w:r>
      <w:r>
        <w:rPr>
          <w:rFonts w:ascii="Times New Roman" w:cs="Times New Roman" w:eastAsia="Times New Roman" w:hAnsi="Times New Roman"/>
          <w:sz w:val="20"/>
          <w:szCs w:val="20"/>
          <w:b w:val="1"/>
          <w:bCs w:val="1"/>
          <w:i w:val="1"/>
          <w:iCs w:val="1"/>
          <w:color w:val="auto"/>
        </w:rPr>
        <w:t>Exhibit L</w:t>
      </w:r>
      <w:r>
        <w:rPr>
          <w:rFonts w:ascii="Times New Roman" w:cs="Times New Roman" w:eastAsia="Times New Roman" w:hAnsi="Times New Roman"/>
          <w:sz w:val="20"/>
          <w:szCs w:val="20"/>
          <w:color w:val="auto"/>
        </w:rPr>
        <w:t xml:space="preserve"> or any other form approved by the Administrative</w:t>
      </w: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w:t>
      </w:r>
    </w:p>
    <w:p>
      <w:pPr>
        <w:spacing w:after="0" w:line="224" w:lineRule="auto"/>
        <w:rPr>
          <w:sz w:val="20"/>
          <w:szCs w:val="20"/>
          <w:color w:val="auto"/>
        </w:rPr>
      </w:pPr>
      <w:r>
        <w:rPr>
          <w:rFonts w:ascii="Times New Roman" w:cs="Times New Roman" w:eastAsia="Times New Roman" w:hAnsi="Times New Roman"/>
          <w:sz w:val="19"/>
          <w:szCs w:val="19"/>
          <w:color w:val="auto"/>
        </w:rPr>
        <w:t>liability company, the certificate or articles of formation or organization and operating agreement or limited liability company agreement (or</w:t>
      </w:r>
    </w:p>
    <w:p>
      <w:pPr>
        <w:jc w:val="both"/>
        <w:spacing w:after="0" w:line="204" w:lineRule="auto"/>
        <w:rPr>
          <w:sz w:val="20"/>
          <w:szCs w:val="20"/>
          <w:color w:val="auto"/>
        </w:rPr>
      </w:pPr>
      <w:r>
        <w:rPr>
          <w:rFonts w:ascii="Times New Roman" w:cs="Times New Roman" w:eastAsia="Times New Roman" w:hAnsi="Times New Roman"/>
          <w:sz w:val="20"/>
          <w:szCs w:val="20"/>
          <w:color w:val="auto"/>
        </w:rPr>
        <w:t>equivalent or comparable documents with respect to any non-U.S. jurisdiction); (c) with respect to any partnership, joint venture, trust or other form of business entity, the partnership, joint venture or other applicable agreement of formation or organization (or equivalent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comparable documents with respect to any non-U.S. jurisdiction) and (d) with respect to all entities, any agreement, instrument, filing or notice with respect thereto filed in connection with its formation or organization with the applicable Governmental Authority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jurisdiction of its formation or organization (or equivalent or comparable documents with respect to any non-U.S. jurisdiction).</w:t>
      </w:r>
    </w:p>
    <w:p>
      <w:pPr>
        <w:spacing w:after="0" w:line="19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w:t>
      </w:r>
    </w:p>
    <w:p>
      <w:pPr>
        <w:spacing w:after="0" w:line="213" w:lineRule="auto"/>
        <w:rPr>
          <w:sz w:val="20"/>
          <w:szCs w:val="20"/>
          <w:color w:val="auto"/>
        </w:rPr>
      </w:pPr>
      <w:r>
        <w:rPr>
          <w:rFonts w:ascii="Times New Roman" w:cs="Times New Roman" w:eastAsia="Times New Roman" w:hAnsi="Times New Roman"/>
          <w:sz w:val="20"/>
          <w:szCs w:val="20"/>
          <w:color w:val="auto"/>
        </w:rPr>
        <w:t>delivered, become a party to, performed its obligations under, received payments under, received or perfected a security interest under,</w:t>
      </w:r>
    </w:p>
    <w:p>
      <w:pPr>
        <w:jc w:val="both"/>
        <w:spacing w:after="0" w:line="221" w:lineRule="auto"/>
        <w:rPr>
          <w:sz w:val="20"/>
          <w:szCs w:val="20"/>
          <w:color w:val="auto"/>
        </w:rPr>
      </w:pPr>
      <w:r>
        <w:rPr>
          <w:rFonts w:ascii="Times New Roman" w:cs="Times New Roman" w:eastAsia="Times New Roman" w:hAnsi="Times New Roman"/>
          <w:sz w:val="20"/>
          <w:szCs w:val="20"/>
          <w:color w:val="auto"/>
        </w:rPr>
        <w:t>engaged in any other transaction pursuant to or enforced any Loan Document, or sold or assigned an interest in any Loan or Loan Document).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Taxes</w:t>
      </w:r>
      <w:r>
        <w:rPr>
          <w:rFonts w:ascii="Times New Roman" w:cs="Times New Roman" w:eastAsia="Times New Roman" w:hAnsi="Times New Roman"/>
          <w:sz w:val="19"/>
          <w:szCs w:val="19"/>
          <w:color w:val="auto"/>
        </w:rPr>
        <w:t>” means all present or future stamp, court or documentary, intangible, recording, filing or similar Taxes that arise from</w:t>
      </w:r>
    </w:p>
    <w:p>
      <w:pPr>
        <w:spacing w:after="0" w:line="10"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any payment made under, from the execution, delivery, performance, enforcement or registration of, from the receipt or perfection of a security interest under, or otherwise with respect to, any Loan Document, except any such Taxes that are Other Connection Taxes imposed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with respect to an assignment (other than an assignment made pursuant to </w:t>
      </w:r>
      <w:r>
        <w:rPr>
          <w:rFonts w:ascii="Times New Roman" w:cs="Times New Roman" w:eastAsia="Times New Roman" w:hAnsi="Times New Roman"/>
          <w:sz w:val="20"/>
          <w:szCs w:val="20"/>
          <w:b w:val="1"/>
          <w:bCs w:val="1"/>
          <w:i w:val="1"/>
          <w:iCs w:val="1"/>
          <w:color w:val="auto"/>
        </w:rPr>
        <w:t>Section 3.06</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Outstanding Amount</w:t>
      </w:r>
      <w:r>
        <w:rPr>
          <w:rFonts w:ascii="Times New Roman" w:cs="Times New Roman" w:eastAsia="Times New Roman" w:hAnsi="Times New Roman"/>
          <w:sz w:val="19"/>
          <w:szCs w:val="19"/>
          <w:color w:val="auto"/>
        </w:rPr>
        <w:t>” means (a) with respect to Revolving Loans and Swingline Loans on any date, the Dollar Equivalent amount of the aggregate outstanding principal amount thereof after giving effect to any Borrowings and prepayments or repayments of Revolving</w:t>
      </w:r>
    </w:p>
    <w:p>
      <w:pPr>
        <w:spacing w:after="0" w:line="211" w:lineRule="auto"/>
        <w:rPr>
          <w:sz w:val="20"/>
          <w:szCs w:val="20"/>
          <w:color w:val="auto"/>
        </w:rPr>
      </w:pPr>
      <w:r>
        <w:rPr>
          <w:rFonts w:ascii="Times New Roman" w:cs="Times New Roman" w:eastAsia="Times New Roman" w:hAnsi="Times New Roman"/>
          <w:sz w:val="20"/>
          <w:szCs w:val="20"/>
          <w:color w:val="auto"/>
        </w:rPr>
        <w:t>Loans and Swingline Loans, as the case may be, occurring on such date; and (b) with respect to any L/C Obligations on any date, the Dollar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Equivalent amount of the aggregate outstanding amount of such L/C Obligations on such date after giving effect to any L/C Credit Extension occurring on such date and any other changes in the aggregate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of the L/C Obligations as of such date, including as a result of any reimbursements by the Borrower of Unreimbursed Amounts.</w:t>
      </w:r>
    </w:p>
    <w:p>
      <w:pPr>
        <w:spacing w:after="0" w:line="21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Overnight Rate</w:t>
      </w:r>
      <w:r>
        <w:rPr>
          <w:rFonts w:ascii="Times New Roman" w:cs="Times New Roman" w:eastAsia="Times New Roman" w:hAnsi="Times New Roman"/>
          <w:sz w:val="20"/>
          <w:szCs w:val="20"/>
          <w:color w:val="auto"/>
        </w:rPr>
        <w:t xml:space="preserve">” means, for any day, (a) with respect to any amount denominated in Dollars, the </w:t>
      </w:r>
      <w:r>
        <w:rPr>
          <w:rFonts w:ascii="Times New Roman" w:cs="Times New Roman" w:eastAsia="Times New Roman" w:hAnsi="Times New Roman"/>
          <w:sz w:val="20"/>
          <w:szCs w:val="20"/>
          <w:i w:val="1"/>
          <w:iCs w:val="1"/>
          <w:color w:val="auto"/>
        </w:rPr>
        <w:t>greater of</w:t>
      </w:r>
      <w:r>
        <w:rPr>
          <w:rFonts w:ascii="Times New Roman" w:cs="Times New Roman" w:eastAsia="Times New Roman" w:hAnsi="Times New Roman"/>
          <w:sz w:val="20"/>
          <w:szCs w:val="20"/>
          <w:color w:val="auto"/>
        </w:rPr>
        <w:t xml:space="preserve"> (i) the Federal Funds Rate and (ii) an overnight rate determined by the Administrative Agent, the L/C Issuer, or the Swingline Lender, as the case may be, in</w:t>
      </w:r>
    </w:p>
    <w:p>
      <w:pPr>
        <w:spacing w:after="0" w:line="213" w:lineRule="auto"/>
        <w:rPr>
          <w:sz w:val="20"/>
          <w:szCs w:val="20"/>
          <w:color w:val="auto"/>
        </w:rPr>
      </w:pPr>
      <w:r>
        <w:rPr>
          <w:rFonts w:ascii="Times New Roman" w:cs="Times New Roman" w:eastAsia="Times New Roman" w:hAnsi="Times New Roman"/>
          <w:sz w:val="20"/>
          <w:szCs w:val="20"/>
          <w:color w:val="auto"/>
        </w:rPr>
        <w:t>accordance with banking industry rules on interbank compensation, and (b) with respect to any amount denominated in an Alternative</w:t>
      </w:r>
    </w:p>
    <w:p>
      <w:pPr>
        <w:jc w:val="both"/>
        <w:spacing w:after="0" w:line="221" w:lineRule="auto"/>
        <w:rPr>
          <w:sz w:val="20"/>
          <w:szCs w:val="20"/>
          <w:color w:val="auto"/>
        </w:rPr>
      </w:pPr>
      <w:r>
        <w:rPr>
          <w:rFonts w:ascii="Times New Roman" w:cs="Times New Roman" w:eastAsia="Times New Roman" w:hAnsi="Times New Roman"/>
          <w:sz w:val="20"/>
          <w:szCs w:val="20"/>
          <w:color w:val="auto"/>
        </w:rPr>
        <w:t>Currency, an overnight rate determined by the Administrative Agent or the L/C Issuer, as the case may be, in accordance with banking industry rules on interbank compensation.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11.06(d)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11.19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Funding Rules</w:t>
      </w:r>
      <w:r>
        <w:rPr>
          <w:rFonts w:ascii="Times New Roman" w:cs="Times New Roman" w:eastAsia="Times New Roman" w:hAnsi="Times New Roman"/>
          <w:sz w:val="20"/>
          <w:szCs w:val="20"/>
          <w:color w:val="auto"/>
        </w:rPr>
        <w:t xml:space="preserve">” means the rules of the Code and ERISA regarding minimum funding standards with respect to Pension Plans and set forth in </w:t>
      </w:r>
      <w:r>
        <w:rPr>
          <w:rFonts w:ascii="Times New Roman" w:cs="Times New Roman" w:eastAsia="Times New Roman" w:hAnsi="Times New Roman"/>
          <w:sz w:val="20"/>
          <w:szCs w:val="20"/>
          <w:i w:val="1"/>
          <w:iCs w:val="1"/>
          <w:color w:val="auto"/>
        </w:rPr>
        <w:t>Sections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430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436</w:t>
      </w:r>
      <w:r>
        <w:rPr>
          <w:rFonts w:ascii="Times New Roman" w:cs="Times New Roman" w:eastAsia="Times New Roman" w:hAnsi="Times New Roman"/>
          <w:sz w:val="20"/>
          <w:szCs w:val="20"/>
          <w:color w:val="auto"/>
        </w:rPr>
        <w:t xml:space="preserve"> of the Code and </w:t>
      </w:r>
      <w:r>
        <w:rPr>
          <w:rFonts w:ascii="Times New Roman" w:cs="Times New Roman" w:eastAsia="Times New Roman" w:hAnsi="Times New Roman"/>
          <w:sz w:val="20"/>
          <w:szCs w:val="20"/>
          <w:i w:val="1"/>
          <w:iCs w:val="1"/>
          <w:color w:val="auto"/>
        </w:rPr>
        <w:t>Sections 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303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305</w:t>
      </w:r>
      <w:r>
        <w:rPr>
          <w:rFonts w:ascii="Times New Roman" w:cs="Times New Roman" w:eastAsia="Times New Roman" w:hAnsi="Times New Roman"/>
          <w:sz w:val="20"/>
          <w:szCs w:val="20"/>
          <w:color w:val="auto"/>
        </w:rPr>
        <w:t xml:space="preserve"> of ERISA.</w:t>
      </w:r>
    </w:p>
    <w:p>
      <w:pPr>
        <w:spacing w:after="0" w:line="16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Plan</w:t>
      </w:r>
      <w:r>
        <w:rPr>
          <w:rFonts w:ascii="Times New Roman" w:cs="Times New Roman" w:eastAsia="Times New Roman" w:hAnsi="Times New Roman"/>
          <w:sz w:val="20"/>
          <w:szCs w:val="20"/>
          <w:color w:val="auto"/>
        </w:rPr>
        <w:t xml:space="preserve">”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w:t>
      </w:r>
      <w:r>
        <w:rPr>
          <w:rFonts w:ascii="Times New Roman" w:cs="Times New Roman" w:eastAsia="Times New Roman" w:hAnsi="Times New Roman"/>
          <w:sz w:val="20"/>
          <w:szCs w:val="20"/>
          <w:i w:val="1"/>
          <w:iCs w:val="1"/>
          <w:color w:val="auto"/>
        </w:rPr>
        <w:t>Title IV</w:t>
      </w:r>
      <w:r>
        <w:rPr>
          <w:rFonts w:ascii="Times New Roman" w:cs="Times New Roman" w:eastAsia="Times New Roman" w:hAnsi="Times New Roman"/>
          <w:sz w:val="20"/>
          <w:szCs w:val="20"/>
          <w:color w:val="auto"/>
        </w:rPr>
        <w:t xml:space="preserve"> of ERISA or is subject to the minimum funding standards under </w:t>
      </w:r>
      <w:r>
        <w:rPr>
          <w:rFonts w:ascii="Times New Roman" w:cs="Times New Roman" w:eastAsia="Times New Roman" w:hAnsi="Times New Roman"/>
          <w:sz w:val="20"/>
          <w:szCs w:val="20"/>
          <w:i w:val="1"/>
          <w:iCs w:val="1"/>
          <w:color w:val="auto"/>
        </w:rPr>
        <w:t>Section 412</w:t>
      </w:r>
      <w:r>
        <w:rPr>
          <w:rFonts w:ascii="Times New Roman" w:cs="Times New Roman" w:eastAsia="Times New Roman" w:hAnsi="Times New Roman"/>
          <w:sz w:val="20"/>
          <w:szCs w:val="20"/>
          <w:color w:val="auto"/>
        </w:rPr>
        <w:t xml:space="preserve"> of the Code.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means an Acquisition by a Loan Party (the Person or division, line of business or other business unit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Person to be acquired in such Acquisition shall be referred to herein as the “</w:t>
      </w:r>
      <w:r>
        <w:rPr>
          <w:rFonts w:ascii="Times New Roman" w:cs="Times New Roman" w:eastAsia="Times New Roman" w:hAnsi="Times New Roman"/>
          <w:sz w:val="19"/>
          <w:szCs w:val="19"/>
          <w:b w:val="1"/>
          <w:bCs w:val="1"/>
          <w:i w:val="1"/>
          <w:iCs w:val="1"/>
          <w:color w:val="auto"/>
        </w:rPr>
        <w:t>Target</w:t>
      </w:r>
      <w:r>
        <w:rPr>
          <w:rFonts w:ascii="Times New Roman" w:cs="Times New Roman" w:eastAsia="Times New Roman" w:hAnsi="Times New Roman"/>
          <w:sz w:val="19"/>
          <w:szCs w:val="19"/>
          <w:color w:val="auto"/>
        </w:rPr>
        <w:t>”), in each case that is a type of business (or assets used in a type of business) permitted to be engaged in by the Borrower and its Subsidiaries pursuant to the terms of this Agreement, in each case so</w:t>
      </w:r>
    </w:p>
    <w:p>
      <w:pPr>
        <w:spacing w:after="0" w:line="211" w:lineRule="auto"/>
        <w:rPr>
          <w:sz w:val="20"/>
          <w:szCs w:val="20"/>
          <w:color w:val="auto"/>
        </w:rPr>
      </w:pPr>
      <w:r>
        <w:rPr>
          <w:rFonts w:ascii="Times New Roman" w:cs="Times New Roman" w:eastAsia="Times New Roman" w:hAnsi="Times New Roman"/>
          <w:sz w:val="20"/>
          <w:szCs w:val="20"/>
          <w:color w:val="auto"/>
        </w:rPr>
        <w:t>long as:</w:t>
      </w:r>
    </w:p>
    <w:p>
      <w:pPr>
        <w:ind w:left="1920" w:hanging="636"/>
        <w:spacing w:after="0"/>
        <w:tabs>
          <w:tab w:leader="none" w:pos="19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then exist or would exist after giving effect thereto;</w:t>
      </w:r>
    </w:p>
    <w:p>
      <w:pPr>
        <w:spacing w:after="0" w:line="193" w:lineRule="exact"/>
        <w:rPr>
          <w:rFonts w:ascii="Times New Roman" w:cs="Times New Roman" w:eastAsia="Times New Roman" w:hAnsi="Times New Roman"/>
          <w:sz w:val="20"/>
          <w:szCs w:val="20"/>
          <w:color w:val="auto"/>
        </w:rPr>
      </w:pPr>
    </w:p>
    <w:p>
      <w:pPr>
        <w:jc w:val="both"/>
        <w:ind w:left="640" w:firstLine="644"/>
        <w:spacing w:after="0" w:line="226" w:lineRule="auto"/>
        <w:tabs>
          <w:tab w:leader="none" w:pos="192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shall demonstrate to the reasonable satisfaction of the Administrative Agent that, after giving effect to the Acquisition on a Pro Forma Basis, (i) the Loan Parties are in Pro Forma Compliance (including, without limitation, Pro Forma Compliance with </w:t>
      </w:r>
      <w:r>
        <w:rPr>
          <w:rFonts w:ascii="Times New Roman" w:cs="Times New Roman" w:eastAsia="Times New Roman" w:hAnsi="Times New Roman"/>
          <w:sz w:val="20"/>
          <w:szCs w:val="20"/>
          <w:b w:val="1"/>
          <w:bCs w:val="1"/>
          <w:i w:val="1"/>
          <w:iCs w:val="1"/>
          <w:color w:val="auto"/>
        </w:rPr>
        <w:t>Section 7.11(c)</w:t>
      </w:r>
      <w:r>
        <w:rPr>
          <w:rFonts w:ascii="Times New Roman" w:cs="Times New Roman" w:eastAsia="Times New Roman" w:hAnsi="Times New Roman"/>
          <w:sz w:val="20"/>
          <w:szCs w:val="20"/>
          <w:color w:val="auto"/>
        </w:rPr>
        <w:t xml:space="preserve">), and (ii) the Consolidated Leverage Ratio shall not be </w:t>
      </w:r>
      <w:r>
        <w:rPr>
          <w:rFonts w:ascii="Times New Roman" w:cs="Times New Roman" w:eastAsia="Times New Roman" w:hAnsi="Times New Roman"/>
          <w:sz w:val="20"/>
          <w:szCs w:val="20"/>
          <w:i w:val="1"/>
          <w:iCs w:val="1"/>
          <w:color w:val="auto"/>
        </w:rPr>
        <w:t>greater</w:t>
      </w:r>
      <w:r>
        <w:rPr>
          <w:rFonts w:ascii="Times New Roman" w:cs="Times New Roman" w:eastAsia="Times New Roman" w:hAnsi="Times New Roman"/>
          <w:sz w:val="20"/>
          <w:szCs w:val="20"/>
          <w:color w:val="auto"/>
        </w:rPr>
        <w:t xml:space="preserve"> than 2.50 to 1.00;</w:t>
      </w:r>
    </w:p>
    <w:p>
      <w:pPr>
        <w:spacing w:after="0" w:line="160" w:lineRule="exact"/>
        <w:rPr>
          <w:rFonts w:ascii="Times New Roman" w:cs="Times New Roman" w:eastAsia="Times New Roman" w:hAnsi="Times New Roman"/>
          <w:sz w:val="20"/>
          <w:szCs w:val="20"/>
          <w:color w:val="auto"/>
        </w:rPr>
      </w:pPr>
    </w:p>
    <w:p>
      <w:pPr>
        <w:jc w:val="both"/>
        <w:ind w:left="640" w:firstLine="644"/>
        <w:spacing w:after="0" w:line="222" w:lineRule="auto"/>
        <w:tabs>
          <w:tab w:leader="none" w:pos="192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on behalf of the Secured Parties, shall have received (or shall receive in connection with the closing of such Acquisition) a first priority perfected security interest in all Equity Interests of the Target that constitutes a Domestic Subsidiary of Borrower in accordance with the terms of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 xml:space="preserve"> and the Target, if a Domestic Subsidiary of Borrower, shall have executed a Joinder Agreement in accordance with the terms of </w:t>
      </w:r>
      <w:r>
        <w:rPr>
          <w:rFonts w:ascii="Times New Roman" w:cs="Times New Roman" w:eastAsia="Times New Roman" w:hAnsi="Times New Roman"/>
          <w:sz w:val="20"/>
          <w:szCs w:val="20"/>
          <w:b w:val="1"/>
          <w:bCs w:val="1"/>
          <w:i w:val="1"/>
          <w:iCs w:val="1"/>
          <w:color w:val="auto"/>
        </w:rPr>
        <w:t>Section 6.13</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firstLine="644"/>
        <w:spacing w:after="0" w:line="215" w:lineRule="auto"/>
        <w:tabs>
          <w:tab w:leader="none" w:pos="192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have received not less than 30 days prior to the consummation of any such Acquisition (i) a description of the material terms of such Acquisition, (ii) audited financial statements (or, if unavailable, management-prepared financial statements) of the Target for its two most recent fiscal years and for any fiscal quarters ended within the fiscal year to date, (iii) Consolidated projected income statements of the Borrower and its Subsidiaries (giving effect to such Acquisition), and (iv) not less than five Business Days prior to the consummation of any Permitted Acquisition, a Permitted Acquisition Certificate, executed by a Responsible Officer of the Borrower certifying that such Permitted Acquisition complies with the requirements of this Agreement;</w:t>
      </w:r>
    </w:p>
    <w:p>
      <w:pPr>
        <w:spacing w:after="0" w:line="160"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640" w:firstLine="644"/>
        <w:spacing w:after="0"/>
        <w:tabs>
          <w:tab w:leader="none" w:pos="193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a “hostile” Acquisition and shall have been approved by the board of directors (or equivalent) and/or shareholders (or equivalent) of the applicable Loan Party and the Target; and</w:t>
      </w:r>
    </w:p>
    <w:p>
      <w:pPr>
        <w:spacing w:after="0" w:line="161" w:lineRule="exact"/>
        <w:rPr>
          <w:rFonts w:ascii="Times New Roman" w:cs="Times New Roman" w:eastAsia="Times New Roman" w:hAnsi="Times New Roman"/>
          <w:sz w:val="20"/>
          <w:szCs w:val="20"/>
          <w:color w:val="auto"/>
        </w:rPr>
      </w:pPr>
    </w:p>
    <w:p>
      <w:pPr>
        <w:jc w:val="both"/>
        <w:ind w:left="640" w:firstLine="644"/>
        <w:spacing w:after="0" w:line="222" w:lineRule="auto"/>
        <w:tabs>
          <w:tab w:leader="none" w:pos="192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Cost of Acquisition paid by the Loan Parties and their Subsidiaries for all Acquisitions made during the term of this Agreement shall not exceed $75,000,000;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earnouts or similar deferred or contingent obligations of the Borrower in connection with such Acquisition shall be subordinated to the Obligations in a manner and to the extent reasonably satisfactory to the Administrative Agent.</w:t>
      </w:r>
    </w:p>
    <w:p>
      <w:pPr>
        <w:spacing w:after="0" w:line="38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 Certificate</w:t>
      </w:r>
      <w:r>
        <w:rPr>
          <w:rFonts w:ascii="Times New Roman" w:cs="Times New Roman" w:eastAsia="Times New Roman" w:hAnsi="Times New Roman"/>
          <w:sz w:val="20"/>
          <w:szCs w:val="20"/>
          <w:color w:val="auto"/>
        </w:rPr>
        <w:t xml:space="preserve">” means a certificate substantially the form of </w:t>
      </w:r>
      <w:r>
        <w:rPr>
          <w:rFonts w:ascii="Times New Roman" w:cs="Times New Roman" w:eastAsia="Times New Roman" w:hAnsi="Times New Roman"/>
          <w:sz w:val="20"/>
          <w:szCs w:val="20"/>
          <w:b w:val="1"/>
          <w:bCs w:val="1"/>
          <w:i w:val="1"/>
          <w:iCs w:val="1"/>
          <w:color w:val="auto"/>
        </w:rPr>
        <w:t>Exhibit F</w:t>
      </w:r>
      <w:r>
        <w:rPr>
          <w:rFonts w:ascii="Times New Roman" w:cs="Times New Roman" w:eastAsia="Times New Roman" w:hAnsi="Times New Roman"/>
          <w:sz w:val="20"/>
          <w:szCs w:val="20"/>
          <w:color w:val="auto"/>
        </w:rPr>
        <w:t xml:space="preserve"> or any other form approved by the Administrative Agent.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Liens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i w:val="1"/>
          <w:iCs w:val="1"/>
          <w:color w:val="auto"/>
        </w:rPr>
        <w:t>Section 7.01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Tax Distributions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36" w:lineRule="exact"/>
        <w:rPr>
          <w:sz w:val="20"/>
          <w:szCs w:val="20"/>
          <w:color w:val="auto"/>
        </w:rPr>
      </w:pPr>
    </w:p>
    <w:p>
      <w:pPr>
        <w:jc w:val="both"/>
        <w:ind w:left="640" w:firstLine="644"/>
        <w:spacing w:after="0" w:line="215" w:lineRule="auto"/>
        <w:tabs>
          <w:tab w:leader="none" w:pos="171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taxable period in which the Borrower and/or any of its Subsidiaries is a member of a consolidated, combined or similar income tax group of which a direct or indirect parent of the Borrower is the common parent (a “</w:t>
      </w:r>
      <w:r>
        <w:rPr>
          <w:rFonts w:ascii="Times New Roman" w:cs="Times New Roman" w:eastAsia="Times New Roman" w:hAnsi="Times New Roman"/>
          <w:sz w:val="20"/>
          <w:szCs w:val="20"/>
          <w:b w:val="1"/>
          <w:bCs w:val="1"/>
          <w:i w:val="1"/>
          <w:iCs w:val="1"/>
          <w:color w:val="auto"/>
        </w:rPr>
        <w:t>Tax Group</w:t>
      </w:r>
      <w:r>
        <w:rPr>
          <w:rFonts w:ascii="Times New Roman" w:cs="Times New Roman" w:eastAsia="Times New Roman" w:hAnsi="Times New Roman"/>
          <w:sz w:val="20"/>
          <w:szCs w:val="20"/>
          <w:color w:val="auto"/>
        </w:rPr>
        <w:t xml:space="preserve">”), distributions by Borrower to such direct or indirect parent of Borrower to pay federal, foreign, state and local income Taxes of such Tax Group that are attributable to the taxable income of the Borrower and/or its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each taxable period, the amount of such payments made in respect of such taxable period in the aggregate shall not exceed the amount that the Borrower and the Subsidiaries would have been required to pay as a stand-alone Tax Group, reduced by any portion of such income Taxes directly paid by the Borrower or any of its Subsidiaries; or</w:t>
      </w:r>
    </w:p>
    <w:p>
      <w:pPr>
        <w:spacing w:after="0" w:line="191" w:lineRule="exact"/>
        <w:rPr>
          <w:rFonts w:ascii="Times New Roman" w:cs="Times New Roman" w:eastAsia="Times New Roman" w:hAnsi="Times New Roman"/>
          <w:sz w:val="20"/>
          <w:szCs w:val="20"/>
          <w:color w:val="auto"/>
        </w:rPr>
      </w:pPr>
    </w:p>
    <w:p>
      <w:pPr>
        <w:jc w:val="both"/>
        <w:ind w:left="640" w:firstLine="644"/>
        <w:spacing w:after="0" w:line="213" w:lineRule="auto"/>
        <w:tabs>
          <w:tab w:leader="none" w:pos="173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taxable year (or portion thereof) with respect to which the Borrower is a partnership or disregarded entity for U.S. federal, state and/or local income tax purposes, distributions to the Borrower’s direct owner(s) in an aggregate amount equal to the product of (i) the net taxable income of the Borrower for such taxable year (or portion thereof), reduced by any cumulative net taxable loss with respect to all prior taxable years (or portions thereof) beginning after the date hereof (determined as if all such periods were one period) to the extent such cumulative net taxable loss is of a character (ordinary or capital) that would permit such loss to be deducted against the income of the taxable year in question (or portion thereof) and (ii) the highest combined marginal federal and applicable state and/or local income tax rate (taking into account, to the extent applicable, the deductibility of state and local income taxes for U.S. federal income tax purposes, the deduction for qualified business income under </w:t>
      </w:r>
      <w:r>
        <w:rPr>
          <w:rFonts w:ascii="Times New Roman" w:cs="Times New Roman" w:eastAsia="Times New Roman" w:hAnsi="Times New Roman"/>
          <w:sz w:val="20"/>
          <w:szCs w:val="20"/>
          <w:i w:val="1"/>
          <w:iCs w:val="1"/>
          <w:color w:val="auto"/>
        </w:rPr>
        <w:t>Section 199A</w:t>
      </w:r>
      <w:r>
        <w:rPr>
          <w:rFonts w:ascii="Times New Roman" w:cs="Times New Roman" w:eastAsia="Times New Roman" w:hAnsi="Times New Roman"/>
          <w:sz w:val="20"/>
          <w:szCs w:val="20"/>
          <w:color w:val="auto"/>
        </w:rPr>
        <w:t xml:space="preserve"> of the Code, and the character of the taxable income in question (i.e.,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6" w:firstLine="6"/>
        <w:spacing w:after="0"/>
        <w:rPr>
          <w:sz w:val="20"/>
          <w:szCs w:val="20"/>
          <w:color w:val="auto"/>
        </w:rPr>
      </w:pPr>
      <w:r>
        <w:rPr>
          <w:rFonts w:ascii="Times New Roman" w:cs="Times New Roman" w:eastAsia="Times New Roman" w:hAnsi="Times New Roman"/>
          <w:sz w:val="20"/>
          <w:szCs w:val="20"/>
          <w:color w:val="auto"/>
        </w:rPr>
        <w:t>capital gain, qualified dividend income, etc.)) applicable to any direct owner (or, if a direct owner is a pass-through entity, indirect owner) of the Borrower for the taxable year in question (or portion thereof).</w:t>
      </w:r>
    </w:p>
    <w:p>
      <w:pPr>
        <w:spacing w:after="0" w:line="144" w:lineRule="exact"/>
        <w:rPr>
          <w:sz w:val="20"/>
          <w:szCs w:val="20"/>
          <w:color w:val="auto"/>
        </w:rPr>
      </w:pPr>
    </w:p>
    <w:p>
      <w:pPr>
        <w:jc w:val="both"/>
        <w:ind w:left="6" w:righ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Transfers</w:t>
      </w:r>
      <w:r>
        <w:rPr>
          <w:rFonts w:ascii="Times New Roman" w:cs="Times New Roman" w:eastAsia="Times New Roman" w:hAnsi="Times New Roman"/>
          <w:sz w:val="19"/>
          <w:szCs w:val="19"/>
          <w:color w:val="auto"/>
        </w:rPr>
        <w:t xml:space="preserve">” means (a) Dispositions of inventory in the ordinary course of business; (b) Dispositions of property to the Borrower or any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the transferor of such property is a Loan Party then the transferee thereof must be a Loan Party;</w:t>
      </w:r>
    </w:p>
    <w:p>
      <w:pPr>
        <w:spacing w:after="0" w:line="1" w:lineRule="exact"/>
        <w:rPr>
          <w:sz w:val="20"/>
          <w:szCs w:val="20"/>
          <w:color w:val="auto"/>
        </w:rPr>
      </w:pPr>
    </w:p>
    <w:p>
      <w:pPr>
        <w:jc w:val="both"/>
        <w:ind w:left="6" w:hanging="6"/>
        <w:spacing w:after="0" w:line="218" w:lineRule="auto"/>
        <w:tabs>
          <w:tab w:leader="none" w:pos="27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collection or compromise thereof; (d) licenses, sublicenses, leases or subleases granted to others not interfering in any material respect with the business of the Borrower and its Subsidiaries; and (e) the sale or disposition of Cash Equivalents for fair market value.</w:t>
      </w:r>
    </w:p>
    <w:p>
      <w:pPr>
        <w:spacing w:after="0" w:line="184" w:lineRule="exact"/>
        <w:rPr>
          <w:sz w:val="20"/>
          <w:szCs w:val="20"/>
          <w:color w:val="auto"/>
        </w:rPr>
      </w:pPr>
    </w:p>
    <w:p>
      <w:pPr>
        <w:ind w:left="6"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83"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means any employee benefit plan within the meaning of </w:t>
      </w:r>
      <w:r>
        <w:rPr>
          <w:rFonts w:ascii="Times New Roman" w:cs="Times New Roman" w:eastAsia="Times New Roman" w:hAnsi="Times New Roman"/>
          <w:sz w:val="20"/>
          <w:szCs w:val="20"/>
          <w:i w:val="1"/>
          <w:iCs w:val="1"/>
          <w:color w:val="auto"/>
        </w:rPr>
        <w:t>Section 3(3)</w:t>
      </w:r>
      <w:r>
        <w:rPr>
          <w:rFonts w:ascii="Times New Roman" w:cs="Times New Roman" w:eastAsia="Times New Roman" w:hAnsi="Times New Roman"/>
          <w:sz w:val="20"/>
          <w:szCs w:val="20"/>
          <w:color w:val="auto"/>
        </w:rPr>
        <w:t xml:space="preserve"> of ERISA (including a Pension Plan), maintained for</w:t>
      </w:r>
    </w:p>
    <w:p>
      <w:pPr>
        <w:ind w:left="6"/>
        <w:spacing w:after="0" w:line="221" w:lineRule="auto"/>
        <w:rPr>
          <w:sz w:val="20"/>
          <w:szCs w:val="20"/>
          <w:color w:val="auto"/>
        </w:rPr>
      </w:pPr>
      <w:r>
        <w:rPr>
          <w:rFonts w:ascii="Times New Roman" w:cs="Times New Roman" w:eastAsia="Times New Roman" w:hAnsi="Times New Roman"/>
          <w:sz w:val="20"/>
          <w:szCs w:val="20"/>
          <w:color w:val="auto"/>
        </w:rPr>
        <w:t>employees of the Borrower or any ERISA Affiliate or any such Plan to which the Borrower or any ERISA Affiliate is required to contribute on behalf of any of its employees.</w:t>
      </w:r>
    </w:p>
    <w:p>
      <w:pPr>
        <w:spacing w:after="0" w:line="18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6.02(n)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Pledged Equity</w:t>
      </w:r>
      <w:r>
        <w:rPr>
          <w:rFonts w:ascii="Times New Roman" w:cs="Times New Roman" w:eastAsia="Times New Roman" w:hAnsi="Times New Roman"/>
          <w:sz w:val="20"/>
          <w:szCs w:val="20"/>
          <w:color w:val="auto"/>
        </w:rPr>
        <w:t>” has the meaning specified in the Security Agreement.</w:t>
      </w:r>
    </w:p>
    <w:p>
      <w:pPr>
        <w:spacing w:after="0" w:line="202" w:lineRule="exact"/>
        <w:rPr>
          <w:sz w:val="20"/>
          <w:szCs w:val="20"/>
          <w:color w:val="auto"/>
        </w:rPr>
      </w:pPr>
    </w:p>
    <w:p>
      <w:pPr>
        <w:jc w:val="both"/>
        <w:ind w:left="6"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Pro Forma Effect</w:t>
      </w:r>
      <w:r>
        <w:rPr>
          <w:rFonts w:ascii="Times New Roman" w:cs="Times New Roman" w:eastAsia="Times New Roman" w:hAnsi="Times New Roman"/>
          <w:sz w:val="20"/>
          <w:szCs w:val="20"/>
          <w:color w:val="auto"/>
        </w:rPr>
        <w:t xml:space="preserve">” means, for any Disposition of all or substantially all of a division or a line of business or for any Acquisition, whether actual or proposed, for purposes of determining compliance with the financial covenants set forth in </w:t>
      </w:r>
      <w:r>
        <w:rPr>
          <w:rFonts w:ascii="Times New Roman" w:cs="Times New Roman" w:eastAsia="Times New Roman" w:hAnsi="Times New Roman"/>
          <w:sz w:val="20"/>
          <w:szCs w:val="20"/>
          <w:b w:val="1"/>
          <w:bCs w:val="1"/>
          <w:i w:val="1"/>
          <w:iCs w:val="1"/>
          <w:color w:val="auto"/>
        </w:rPr>
        <w:t>Section 7.11</w:t>
      </w:r>
      <w:r>
        <w:rPr>
          <w:rFonts w:ascii="Times New Roman" w:cs="Times New Roman" w:eastAsia="Times New Roman" w:hAnsi="Times New Roman"/>
          <w:sz w:val="20"/>
          <w:szCs w:val="20"/>
          <w:color w:val="auto"/>
        </w:rPr>
        <w:t>, each such transaction or proposed transaction shall be deemed to have occurred on and as of the first day of the relevant</w:t>
      </w:r>
    </w:p>
    <w:p>
      <w:pPr>
        <w:spacing w:after="0" w:line="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Measurement Period, and the following pro forma adjustments shall be made:</w:t>
      </w:r>
    </w:p>
    <w:p>
      <w:pPr>
        <w:spacing w:after="0" w:line="194" w:lineRule="exact"/>
        <w:rPr>
          <w:sz w:val="20"/>
          <w:szCs w:val="20"/>
          <w:color w:val="auto"/>
        </w:rPr>
      </w:pPr>
    </w:p>
    <w:p>
      <w:pPr>
        <w:jc w:val="both"/>
        <w:ind w:left="646" w:firstLine="644"/>
        <w:spacing w:after="0" w:line="226" w:lineRule="auto"/>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spacing w:after="0" w:line="160" w:lineRule="exact"/>
        <w:rPr>
          <w:rFonts w:ascii="Times New Roman" w:cs="Times New Roman" w:eastAsia="Times New Roman" w:hAnsi="Times New Roman"/>
          <w:sz w:val="20"/>
          <w:szCs w:val="20"/>
          <w:color w:val="auto"/>
        </w:rPr>
      </w:pPr>
    </w:p>
    <w:p>
      <w:pPr>
        <w:jc w:val="both"/>
        <w:ind w:left="646" w:firstLine="644"/>
        <w:spacing w:after="0" w:line="226" w:lineRule="auto"/>
        <w:tabs>
          <w:tab w:leader="none" w:pos="192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pacing w:after="0" w:line="160" w:lineRule="exact"/>
        <w:rPr>
          <w:rFonts w:ascii="Times New Roman" w:cs="Times New Roman" w:eastAsia="Times New Roman" w:hAnsi="Times New Roman"/>
          <w:sz w:val="20"/>
          <w:szCs w:val="20"/>
          <w:color w:val="auto"/>
        </w:rPr>
      </w:pPr>
    </w:p>
    <w:p>
      <w:pPr>
        <w:ind w:left="646" w:firstLine="644"/>
        <w:spacing w:after="0" w:line="233" w:lineRule="auto"/>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Restricted Payment, all cash to be paid to consummate such Restricted Payment shall be included in the results of the Borrower and its Subsidiaries for such Measurement Period;</w:t>
      </w:r>
    </w:p>
    <w:p>
      <w:pPr>
        <w:spacing w:after="0" w:line="160" w:lineRule="exact"/>
        <w:rPr>
          <w:rFonts w:ascii="Times New Roman" w:cs="Times New Roman" w:eastAsia="Times New Roman" w:hAnsi="Times New Roman"/>
          <w:sz w:val="20"/>
          <w:szCs w:val="20"/>
          <w:color w:val="auto"/>
        </w:rPr>
      </w:pPr>
    </w:p>
    <w:p>
      <w:pPr>
        <w:jc w:val="both"/>
        <w:ind w:left="646" w:firstLine="644"/>
        <w:spacing w:after="0" w:line="226" w:lineRule="auto"/>
        <w:tabs>
          <w:tab w:leader="none" w:pos="192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accrued during the relevant Measurement Period on, and the principal of, any Indebtedness repaid or to be repaid or refinanced in such transaction shall be excluded from the results of the Borrower and its Subsidiaries for such Measurement Period; and</w:t>
      </w:r>
    </w:p>
    <w:p>
      <w:pPr>
        <w:spacing w:after="0" w:line="160" w:lineRule="exact"/>
        <w:rPr>
          <w:rFonts w:ascii="Times New Roman" w:cs="Times New Roman" w:eastAsia="Times New Roman" w:hAnsi="Times New Roman"/>
          <w:sz w:val="20"/>
          <w:szCs w:val="20"/>
          <w:color w:val="auto"/>
        </w:rPr>
      </w:pPr>
    </w:p>
    <w:p>
      <w:pPr>
        <w:jc w:val="both"/>
        <w:ind w:left="646" w:firstLine="644"/>
        <w:spacing w:after="0" w:line="226" w:lineRule="auto"/>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firstLine="6"/>
        <w:spacing w:after="0"/>
        <w:rPr>
          <w:sz w:val="20"/>
          <w:szCs w:val="20"/>
          <w:color w:val="auto"/>
        </w:rPr>
      </w:pPr>
      <w:r>
        <w:rPr>
          <w:rFonts w:ascii="Times New Roman" w:cs="Times New Roman" w:eastAsia="Times New Roman" w:hAnsi="Times New Roman"/>
          <w:sz w:val="20"/>
          <w:szCs w:val="20"/>
          <w:color w:val="auto"/>
        </w:rPr>
        <w:t>would accrue at a formula or floating rate, at the rate in effect at the time of determination) and shall be included in the results of the Borrower and its Subsidiaries for such Measurement Period.</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Compliance</w:t>
      </w:r>
      <w:r>
        <w:rPr>
          <w:rFonts w:ascii="Times New Roman" w:cs="Times New Roman" w:eastAsia="Times New Roman" w:hAnsi="Times New Roman"/>
          <w:sz w:val="20"/>
          <w:szCs w:val="20"/>
          <w:color w:val="auto"/>
        </w:rPr>
        <w:t>” means, with respect to any transaction, that such transaction does not cause, create or result in a Default after giving Pro Forma Effect, based upon the results of operations for the most recently completed Measurement Period to (a) such</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transaction and (b) all other transactions which are contemplated or required to be given Pro Forma Effect hereunder that have occurred on or after the first day of the relevant Measurement Period.</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6.02(n)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11.21</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ECP Guarantor</w:t>
      </w:r>
      <w:r>
        <w:rPr>
          <w:rFonts w:ascii="Times New Roman" w:cs="Times New Roman" w:eastAsia="Times New Roman" w:hAnsi="Times New Roman"/>
          <w:sz w:val="20"/>
          <w:szCs w:val="20"/>
          <w:color w:val="auto"/>
        </w:rPr>
        <w:t>” means, at any time, each Loan Party with total assets exceeding $10,000,000 or that qualifies at such</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time as an “eligible contract participant” under the Commodity Exchange Act and can cause another Person to qualify as an “eligible contract participant” at such time under </w:t>
      </w:r>
      <w:r>
        <w:rPr>
          <w:rFonts w:ascii="Times New Roman" w:cs="Times New Roman" w:eastAsia="Times New Roman" w:hAnsi="Times New Roman"/>
          <w:sz w:val="20"/>
          <w:szCs w:val="20"/>
          <w:i w:val="1"/>
          <w:iCs w:val="1"/>
          <w:color w:val="auto"/>
        </w:rPr>
        <w:t>Section 1a(18)(A)(v)(II)</w:t>
      </w:r>
      <w:r>
        <w:rPr>
          <w:rFonts w:ascii="Times New Roman" w:cs="Times New Roman" w:eastAsia="Times New Roman" w:hAnsi="Times New Roman"/>
          <w:sz w:val="20"/>
          <w:szCs w:val="20"/>
          <w:color w:val="auto"/>
        </w:rPr>
        <w:t xml:space="preserve"> of the Commodity Exchange Act.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Qualifying Control Agreement</w:t>
      </w:r>
      <w:r>
        <w:rPr>
          <w:rFonts w:ascii="Times New Roman" w:cs="Times New Roman" w:eastAsia="Times New Roman" w:hAnsi="Times New Roman"/>
          <w:sz w:val="20"/>
          <w:szCs w:val="20"/>
          <w:color w:val="auto"/>
        </w:rPr>
        <w:t>” means an agreement, among a Loan Party, a depository institution or securities intermediary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Administrative Agent, which agreement is in form and substance acceptable to the Administrative Agent and which provides the Administrative Agent with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xml:space="preserve">” (as such term is used in </w:t>
      </w:r>
      <w:r>
        <w:rPr>
          <w:rFonts w:ascii="Times New Roman" w:cs="Times New Roman" w:eastAsia="Times New Roman" w:hAnsi="Times New Roman"/>
          <w:sz w:val="20"/>
          <w:szCs w:val="20"/>
          <w:i w:val="1"/>
          <w:iCs w:val="1"/>
          <w:color w:val="auto"/>
        </w:rPr>
        <w:t>Article 9</w:t>
      </w:r>
      <w:r>
        <w:rPr>
          <w:rFonts w:ascii="Times New Roman" w:cs="Times New Roman" w:eastAsia="Times New Roman" w:hAnsi="Times New Roman"/>
          <w:sz w:val="20"/>
          <w:szCs w:val="20"/>
          <w:color w:val="auto"/>
        </w:rPr>
        <w:t xml:space="preserve"> of the UCC) over the deposit account(s) or securities account(s)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described therein.</w:t>
      </w:r>
    </w:p>
    <w:p>
      <w:pPr>
        <w:spacing w:after="0" w:line="17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Elective 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 Cash Collateral</w:t>
      </w:r>
      <w:r>
        <w:rPr>
          <w:rFonts w:ascii="Times New Roman" w:cs="Times New Roman" w:eastAsia="Times New Roman" w:hAnsi="Times New Roman"/>
          <w:sz w:val="20"/>
          <w:szCs w:val="20"/>
          <w:color w:val="auto"/>
        </w:rPr>
        <w:t>” means, Cash Collateral that has been provided by the Borrower, at its election, to Cash Collateralize all or a portion of the L/C Obligations subject at all times to the following requirements in each case for each applicable Letter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of Credit: (a) such Cash Collateral shall Cash Collateralize such applicable L/C Obligations for a period of the </w:t>
      </w:r>
      <w:r>
        <w:rPr>
          <w:rFonts w:ascii="Times New Roman" w:cs="Times New Roman" w:eastAsia="Times New Roman" w:hAnsi="Times New Roman"/>
          <w:sz w:val="19"/>
          <w:szCs w:val="19"/>
          <w:i w:val="1"/>
          <w:iCs w:val="1"/>
          <w:color w:val="auto"/>
        </w:rPr>
        <w:t>lesser</w:t>
      </w:r>
      <w:r>
        <w:rPr>
          <w:rFonts w:ascii="Times New Roman" w:cs="Times New Roman" w:eastAsia="Times New Roman" w:hAnsi="Times New Roman"/>
          <w:sz w:val="19"/>
          <w:szCs w:val="19"/>
          <w:color w:val="auto"/>
        </w:rPr>
        <w:t xml:space="preserve"> of (i) one (1) year from the date of such Cash Collateralization and (ii) the applicable L/C expiry date, subject to release at the Borrower’s election upon satisfaction</w:t>
      </w:r>
    </w:p>
    <w:p>
      <w:pPr>
        <w:spacing w:after="0" w:line="222" w:lineRule="auto"/>
        <w:rPr>
          <w:sz w:val="20"/>
          <w:szCs w:val="20"/>
          <w:color w:val="auto"/>
        </w:rPr>
      </w:pPr>
      <w:r>
        <w:rPr>
          <w:rFonts w:ascii="Times New Roman" w:cs="Times New Roman" w:eastAsia="Times New Roman" w:hAnsi="Times New Roman"/>
          <w:sz w:val="19"/>
          <w:szCs w:val="19"/>
          <w:color w:val="auto"/>
        </w:rPr>
        <w:t>of the Qualified Elective L/C Cash Collateral Release Requirements; and (b) such Cash Collateral shall be pledged to the L/C Issuer and held</w:t>
      </w:r>
    </w:p>
    <w:p>
      <w:pPr>
        <w:jc w:val="both"/>
        <w:spacing w:after="0" w:line="215" w:lineRule="auto"/>
        <w:rPr>
          <w:sz w:val="20"/>
          <w:szCs w:val="20"/>
          <w:color w:val="auto"/>
        </w:rPr>
      </w:pPr>
      <w:r>
        <w:rPr>
          <w:rFonts w:ascii="Times New Roman" w:cs="Times New Roman" w:eastAsia="Times New Roman" w:hAnsi="Times New Roman"/>
          <w:sz w:val="19"/>
          <w:szCs w:val="19"/>
          <w:color w:val="auto"/>
        </w:rPr>
        <w:t>by such L/C Issuer in a non-interest bearing blocked account with L/C Issuer subject to a Qualifying Control Agreement in a minimum amount equal to (A) for Letters of Credit issued in Dollars, 102% of the amount of the L/C Obligations associated with such Letter of Credit,</w:t>
      </w:r>
    </w:p>
    <w:p>
      <w:pPr>
        <w:spacing w:after="0" w:line="211" w:lineRule="auto"/>
        <w:rPr>
          <w:sz w:val="20"/>
          <w:szCs w:val="20"/>
          <w:color w:val="auto"/>
        </w:rPr>
      </w:pPr>
      <w:r>
        <w:rPr>
          <w:rFonts w:ascii="Times New Roman" w:cs="Times New Roman" w:eastAsia="Times New Roman" w:hAnsi="Times New Roman"/>
          <w:sz w:val="20"/>
          <w:szCs w:val="20"/>
          <w:color w:val="auto"/>
        </w:rPr>
        <w:t>and (B) for Letters of Credit issued in Alternative Currency, 120% of the amount of the L/C Obligations associated with such Letter of</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Credit;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notwithstanding anything to the contrary herein, no amount of Qualified Elective L/C Cash Collateral shall constitute Liquidity.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Elective 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 Cash Collateral Release Requirements</w:t>
      </w:r>
      <w:r>
        <w:rPr>
          <w:rFonts w:ascii="Times New Roman" w:cs="Times New Roman" w:eastAsia="Times New Roman" w:hAnsi="Times New Roman"/>
          <w:sz w:val="20"/>
          <w:szCs w:val="20"/>
          <w:color w:val="auto"/>
        </w:rPr>
        <w:t>” means, provided that no Event of Default then exists or would</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arise as a result, compliance by the Borrower of the financial covenants under </w:t>
      </w:r>
      <w:r>
        <w:rPr>
          <w:rFonts w:ascii="Times New Roman" w:cs="Times New Roman" w:eastAsia="Times New Roman" w:hAnsi="Times New Roman"/>
          <w:sz w:val="20"/>
          <w:szCs w:val="20"/>
          <w:b w:val="1"/>
          <w:bCs w:val="1"/>
          <w:i w:val="1"/>
          <w:iCs w:val="1"/>
          <w:color w:val="auto"/>
        </w:rPr>
        <w:t>Section 7.11</w:t>
      </w:r>
      <w:r>
        <w:rPr>
          <w:rFonts w:ascii="Times New Roman" w:cs="Times New Roman" w:eastAsia="Times New Roman" w:hAnsi="Times New Roman"/>
          <w:sz w:val="20"/>
          <w:szCs w:val="20"/>
          <w:color w:val="auto"/>
        </w:rPr>
        <w:t xml:space="preserve"> below for the fiscal quarter period last ended as demonstrated in a Compliance Certificate delivered by the Borrower to Administrative Agent.</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Rate Determination Date</w:t>
      </w:r>
      <w:r>
        <w:rPr>
          <w:rFonts w:ascii="Times New Roman" w:cs="Times New Roman" w:eastAsia="Times New Roman" w:hAnsi="Times New Roman"/>
          <w:sz w:val="20"/>
          <w:szCs w:val="20"/>
          <w:color w:val="auto"/>
        </w:rPr>
        <w:t>” means two Business Days prior to the commencement of such Interest Period (or such other day as is generally treated as the rate fixing day by market practice in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applicable interbank market, as determined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such market practice is not</w:t>
      </w:r>
    </w:p>
    <w:p>
      <w:pPr>
        <w:jc w:val="both"/>
        <w:spacing w:after="0" w:line="221" w:lineRule="auto"/>
        <w:rPr>
          <w:sz w:val="20"/>
          <w:szCs w:val="20"/>
          <w:color w:val="auto"/>
        </w:rPr>
      </w:pPr>
      <w:r>
        <w:rPr>
          <w:rFonts w:ascii="Times New Roman" w:cs="Times New Roman" w:eastAsia="Times New Roman" w:hAnsi="Times New Roman"/>
          <w:sz w:val="20"/>
          <w:szCs w:val="20"/>
          <w:color w:val="auto"/>
        </w:rPr>
        <w:t>administratively feasible for the Administrative Agent, then “</w:t>
      </w:r>
      <w:r>
        <w:rPr>
          <w:rFonts w:ascii="Times New Roman" w:cs="Times New Roman" w:eastAsia="Times New Roman" w:hAnsi="Times New Roman"/>
          <w:sz w:val="20"/>
          <w:szCs w:val="20"/>
          <w:b w:val="1"/>
          <w:bCs w:val="1"/>
          <w:i w:val="1"/>
          <w:iCs w:val="1"/>
          <w:color w:val="auto"/>
        </w:rPr>
        <w:t>Rate Determination Date</w:t>
      </w:r>
      <w:r>
        <w:rPr>
          <w:rFonts w:ascii="Times New Roman" w:cs="Times New Roman" w:eastAsia="Times New Roman" w:hAnsi="Times New Roman"/>
          <w:sz w:val="20"/>
          <w:szCs w:val="20"/>
          <w:color w:val="auto"/>
        </w:rPr>
        <w:t>” means such other day as otherwise reasonably determined by the Administrative Agent).</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6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Related Parties</w:t>
      </w:r>
      <w:r>
        <w:rPr>
          <w:rFonts w:ascii="Times New Roman" w:cs="Times New Roman" w:eastAsia="Times New Roman" w:hAnsi="Times New Roman"/>
          <w:sz w:val="19"/>
          <w:szCs w:val="19"/>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5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means any release, spill, emission, discharge, deposit, disposal, leaking, pumping, pouring, dumping, emptying, injection or leaching into the Environment, or into, from or through any building, structure or facility.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Governmental Body</w:t>
      </w:r>
      <w:r>
        <w:rPr>
          <w:rFonts w:ascii="Times New Roman" w:cs="Times New Roman" w:eastAsia="Times New Roman" w:hAnsi="Times New Roman"/>
          <w:sz w:val="20"/>
          <w:szCs w:val="20"/>
          <w:color w:val="auto"/>
        </w:rPr>
        <w:t>” means the Board of Governors of the Federal Reserve System or the Federal Reserve Bank of New</w:t>
      </w:r>
    </w:p>
    <w:p>
      <w:pPr>
        <w:jc w:val="both"/>
        <w:spacing w:after="0" w:line="221" w:lineRule="auto"/>
        <w:rPr>
          <w:sz w:val="20"/>
          <w:szCs w:val="20"/>
          <w:color w:val="auto"/>
        </w:rPr>
      </w:pPr>
      <w:r>
        <w:rPr>
          <w:rFonts w:ascii="Times New Roman" w:cs="Times New Roman" w:eastAsia="Times New Roman" w:hAnsi="Times New Roman"/>
          <w:sz w:val="20"/>
          <w:szCs w:val="20"/>
          <w:color w:val="auto"/>
        </w:rPr>
        <w:t>York, or a committee officially endorsed or convened by the Board of Governors of the Federal Reserve System or the Federal Reserve Bank of New York, or any successor thereto.</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Rate</w:t>
      </w:r>
      <w:r>
        <w:rPr>
          <w:rFonts w:ascii="Times New Roman" w:cs="Times New Roman" w:eastAsia="Times New Roman" w:hAnsi="Times New Roman"/>
          <w:sz w:val="20"/>
          <w:szCs w:val="20"/>
          <w:color w:val="auto"/>
        </w:rPr>
        <w:t>” means, with respect to any Credit Extension denominated in (a) Dollars, the BSBY Screen Rate, (b) Sterling, SONIA, (c) Euros, EURIBOR, and (e) Canadian Dollars, the CDOR Rate, as applicable.</w:t>
      </w:r>
    </w:p>
    <w:p>
      <w:pPr>
        <w:spacing w:after="0" w:line="16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Reportable Event</w:t>
      </w:r>
      <w:r>
        <w:rPr>
          <w:rFonts w:ascii="Times New Roman" w:cs="Times New Roman" w:eastAsia="Times New Roman" w:hAnsi="Times New Roman"/>
          <w:sz w:val="20"/>
          <w:szCs w:val="20"/>
          <w:color w:val="auto"/>
        </w:rPr>
        <w:t xml:space="preserve">” means any of the events set forth in </w:t>
      </w:r>
      <w:r>
        <w:rPr>
          <w:rFonts w:ascii="Times New Roman" w:cs="Times New Roman" w:eastAsia="Times New Roman" w:hAnsi="Times New Roman"/>
          <w:sz w:val="20"/>
          <w:szCs w:val="20"/>
          <w:i w:val="1"/>
          <w:iCs w:val="1"/>
          <w:color w:val="auto"/>
        </w:rPr>
        <w:t>Section 4043(c)</w:t>
      </w:r>
      <w:r>
        <w:rPr>
          <w:rFonts w:ascii="Times New Roman" w:cs="Times New Roman" w:eastAsia="Times New Roman" w:hAnsi="Times New Roman"/>
          <w:sz w:val="20"/>
          <w:szCs w:val="20"/>
          <w:color w:val="auto"/>
        </w:rPr>
        <w:t xml:space="preserve"> of ERISA, other than events for which the 30 day notice period has been waived.</w:t>
      </w:r>
    </w:p>
    <w:p>
      <w:pPr>
        <w:spacing w:after="0" w:line="16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Request for Credit Extension</w:t>
      </w:r>
      <w:r>
        <w:rPr>
          <w:rFonts w:ascii="Times New Roman" w:cs="Times New Roman" w:eastAsia="Times New Roman" w:hAnsi="Times New Roman"/>
          <w:sz w:val="20"/>
          <w:szCs w:val="20"/>
          <w:color w:val="auto"/>
        </w:rPr>
        <w:t>” means (a) with respect to a Borrowing, conversion or continuation of Revolving Loans, a Loan Notice, (b) with respect to an L/C Credit Extension, a Letter of Credit Application, and (c) with respect to a Swingline Loan, a Swingline Loan Notice.</w:t>
      </w:r>
    </w:p>
    <w:p>
      <w:pPr>
        <w:spacing w:after="0" w:line="17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means, at any time, Lenders having Total Credit Exposures representing more than 66⅔% of the Total Credit Exposures of all Lenders. The Total Credit Exposure of any Defaulting Lender shall be disregarded in determining Required Lenders at any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or the L/C Issuer, as the case may be, in making such determination.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Rescindable Amount</w:t>
      </w:r>
      <w:r>
        <w:rPr>
          <w:rFonts w:ascii="Times New Roman" w:cs="Times New Roman" w:eastAsia="Times New Roman" w:hAnsi="Times New Roman"/>
          <w:sz w:val="20"/>
          <w:szCs w:val="20"/>
          <w:color w:val="auto"/>
        </w:rPr>
        <w:t>” has the meaning as defined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Section 2.12(b)(ii)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b w:val="1"/>
          <w:bCs w:val="1"/>
          <w:i w:val="1"/>
          <w:iCs w:val="1"/>
          <w:color w:val="auto"/>
        </w:rPr>
        <w:t>Section 9.06(a)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Responsible Officer</w:t>
      </w:r>
      <w:r>
        <w:rPr>
          <w:rFonts w:ascii="Times New Roman" w:cs="Times New Roman" w:eastAsia="Times New Roman" w:hAnsi="Times New Roman"/>
          <w:sz w:val="20"/>
          <w:szCs w:val="20"/>
          <w:color w:val="auto"/>
        </w:rPr>
        <w:t>” means the chief executive officer, president, chief financial officer, treasurer, assistant treasurer or controller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of a Loan Party,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purposes of the delivery of incumbency certificates pursuant to </w:t>
      </w:r>
      <w:r>
        <w:rPr>
          <w:rFonts w:ascii="Times New Roman" w:cs="Times New Roman" w:eastAsia="Times New Roman" w:hAnsi="Times New Roman"/>
          <w:sz w:val="20"/>
          <w:szCs w:val="20"/>
          <w:b w:val="1"/>
          <w:bCs w:val="1"/>
          <w:i w:val="1"/>
          <w:iCs w:val="1"/>
          <w:color w:val="auto"/>
        </w:rPr>
        <w:t>Section 4.01(b)</w:t>
      </w:r>
      <w:r>
        <w:rPr>
          <w:rFonts w:ascii="Times New Roman" w:cs="Times New Roman" w:eastAsia="Times New Roman" w:hAnsi="Times New Roman"/>
          <w:sz w:val="20"/>
          <w:szCs w:val="20"/>
          <w:color w:val="auto"/>
        </w:rPr>
        <w:t xml:space="preserve">, the secretary or any assistant secretary of a Loan Party and, solely for purposes of notices given pursuant to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any other officer or employee of the applicable</w:t>
      </w:r>
    </w:p>
    <w:p>
      <w:pPr>
        <w:spacing w:after="0" w:line="211" w:lineRule="auto"/>
        <w:rPr>
          <w:sz w:val="20"/>
          <w:szCs w:val="20"/>
          <w:color w:val="auto"/>
        </w:rPr>
      </w:pPr>
      <w:r>
        <w:rPr>
          <w:rFonts w:ascii="Times New Roman" w:cs="Times New Roman" w:eastAsia="Times New Roman" w:hAnsi="Times New Roman"/>
          <w:sz w:val="20"/>
          <w:szCs w:val="20"/>
          <w:color w:val="auto"/>
        </w:rPr>
        <w:t>Loan Party so designated by any of the foregoing officers in a notice to the Administrative Agent or any other officer or employee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applicable Loan Party designated in or pursuant to an agreement between the applicable Loan Party and the Administrative Agent. Any document delivered hereunder that is signed by a Responsible Officer of a Loan Party shall be conclusively presumed to have been</w:t>
      </w:r>
    </w:p>
    <w:p>
      <w:pPr>
        <w:spacing w:after="0" w:line="211" w:lineRule="auto"/>
        <w:rPr>
          <w:sz w:val="20"/>
          <w:szCs w:val="20"/>
          <w:color w:val="auto"/>
        </w:rPr>
      </w:pPr>
      <w:r>
        <w:rPr>
          <w:rFonts w:ascii="Times New Roman" w:cs="Times New Roman" w:eastAsia="Times New Roman" w:hAnsi="Times New Roman"/>
          <w:sz w:val="20"/>
          <w:szCs w:val="20"/>
          <w:color w:val="auto"/>
        </w:rPr>
        <w:t>authorized by all necessary corporate, partnership and/or other action on the part of such Loan Party and such Responsible Officer shall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conclusively presumed to have acted on behalf of such Loan Party. To the extent requested by the Administrative Agent, each Responsible Officer will provide an incumbency certificate and to the extent requested by the Administrative Agent, appropriate authorization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documentation, in form and substance satisfactory to the Administrative Agent.</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Payment</w:t>
      </w:r>
      <w:r>
        <w:rPr>
          <w:rFonts w:ascii="Times New Roman" w:cs="Times New Roman" w:eastAsia="Times New Roman" w:hAnsi="Times New Roman"/>
          <w:sz w:val="20"/>
          <w:szCs w:val="20"/>
          <w:color w:val="auto"/>
        </w:rPr>
        <w:t>” means (a) any dividend or other distribution (including, without limitation, Permitted Tax Distributions), direct or indirect, on account of any shares (or equivalent) of any class of Equity Interests of the Borrower or any of its Subsidiaries, now or</w:t>
      </w:r>
    </w:p>
    <w:p>
      <w:pPr>
        <w:spacing w:after="0" w:line="213" w:lineRule="auto"/>
        <w:rPr>
          <w:sz w:val="20"/>
          <w:szCs w:val="20"/>
          <w:color w:val="auto"/>
        </w:rPr>
      </w:pPr>
      <w:r>
        <w:rPr>
          <w:rFonts w:ascii="Times New Roman" w:cs="Times New Roman" w:eastAsia="Times New Roman" w:hAnsi="Times New Roman"/>
          <w:sz w:val="20"/>
          <w:szCs w:val="20"/>
          <w:color w:val="auto"/>
        </w:rPr>
        <w:t>hereafter outstanding, (b) any redemption, retirement, sinking fund or similar payment, purchase or other acquisition for value, direct or</w:t>
      </w:r>
    </w:p>
    <w:p>
      <w:pPr>
        <w:spacing w:after="0" w:line="215" w:lineRule="auto"/>
        <w:rPr>
          <w:sz w:val="20"/>
          <w:szCs w:val="20"/>
          <w:color w:val="auto"/>
        </w:rPr>
      </w:pPr>
      <w:r>
        <w:rPr>
          <w:rFonts w:ascii="Times New Roman" w:cs="Times New Roman" w:eastAsia="Times New Roman" w:hAnsi="Times New Roman"/>
          <w:sz w:val="19"/>
          <w:szCs w:val="19"/>
          <w:color w:val="auto"/>
        </w:rPr>
        <w:t>indirect, of any shares (or equivalent) of any class of Equity Interests of the Borrower or any of its Subsidiaries, now or hereafter outstanding, and (c) any payment made to retire, or to obtain the surrender of, any outstanding warrants, options or other rights to acquire shares of any</w:t>
      </w:r>
    </w:p>
    <w:p>
      <w:pPr>
        <w:spacing w:after="0"/>
        <w:rPr>
          <w:sz w:val="20"/>
          <w:szCs w:val="20"/>
          <w:color w:val="auto"/>
        </w:rPr>
      </w:pPr>
      <w:r>
        <w:rPr>
          <w:rFonts w:ascii="Times New Roman" w:cs="Times New Roman" w:eastAsia="Times New Roman" w:hAnsi="Times New Roman"/>
          <w:sz w:val="20"/>
          <w:szCs w:val="20"/>
          <w:color w:val="auto"/>
        </w:rPr>
        <w:t>class of Equity Interests of any Loan Party or any of its Subsidiaries, now or hereafter outstanding.</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Revaluation Date</w:t>
      </w:r>
      <w:r>
        <w:rPr>
          <w:rFonts w:ascii="Times New Roman" w:cs="Times New Roman" w:eastAsia="Times New Roman" w:hAnsi="Times New Roman"/>
          <w:sz w:val="20"/>
          <w:szCs w:val="20"/>
          <w:color w:val="auto"/>
        </w:rPr>
        <w:t>” means (a) with respect to any Loan, each of the following: (i) each date of a Borrowing of an Alternative Currency Term Rate Loan, (ii) with respect to an Alternative Currency Daily Rate Loan, each Interest Payment Date, (iii) each date of a</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continuation of an Alternative Currency Term Rate Loan pursuant to </w:t>
      </w:r>
      <w:r>
        <w:rPr>
          <w:rFonts w:ascii="Times New Roman" w:cs="Times New Roman" w:eastAsia="Times New Roman" w:hAnsi="Times New Roman"/>
          <w:sz w:val="19"/>
          <w:szCs w:val="19"/>
          <w:b w:val="1"/>
          <w:bCs w:val="1"/>
          <w:i w:val="1"/>
          <w:iCs w:val="1"/>
          <w:color w:val="auto"/>
        </w:rPr>
        <w:t>Section 2.02</w:t>
      </w:r>
      <w:r>
        <w:rPr>
          <w:rFonts w:ascii="Times New Roman" w:cs="Times New Roman" w:eastAsia="Times New Roman" w:hAnsi="Times New Roman"/>
          <w:sz w:val="19"/>
          <w:szCs w:val="19"/>
          <w:color w:val="auto"/>
        </w:rPr>
        <w:t>, and (iv) such additional dates as the Administrative Agent shall determine or the Required Lenders shall require; and (b) with respect to any Letter of Credit, each of the following: (i) each date of</w:t>
      </w:r>
    </w:p>
    <w:p>
      <w:pPr>
        <w:spacing w:after="0" w:line="222" w:lineRule="auto"/>
        <w:rPr>
          <w:sz w:val="20"/>
          <w:szCs w:val="20"/>
          <w:color w:val="auto"/>
        </w:rPr>
      </w:pPr>
      <w:r>
        <w:rPr>
          <w:rFonts w:ascii="Times New Roman" w:cs="Times New Roman" w:eastAsia="Times New Roman" w:hAnsi="Times New Roman"/>
          <w:sz w:val="19"/>
          <w:szCs w:val="19"/>
          <w:color w:val="auto"/>
        </w:rPr>
        <w:t>issuance, amendment and/or extension of a Letter of Credit denominated in an Alternative Currency, (ii) each date of any payment by the L/C</w:t>
      </w:r>
    </w:p>
    <w:p>
      <w:pPr>
        <w:spacing w:after="0" w:line="204" w:lineRule="auto"/>
        <w:rPr>
          <w:sz w:val="20"/>
          <w:szCs w:val="20"/>
          <w:color w:val="auto"/>
        </w:rPr>
      </w:pPr>
      <w:r>
        <w:rPr>
          <w:rFonts w:ascii="Times New Roman" w:cs="Times New Roman" w:eastAsia="Times New Roman" w:hAnsi="Times New Roman"/>
          <w:sz w:val="20"/>
          <w:szCs w:val="20"/>
          <w:color w:val="auto"/>
        </w:rPr>
        <w:t>Issuer under any Letter of Credit denominated in an Alternative Currency, (iii) in the case of all Existing Letters of Credit denominated in Alternative Currencies, the Closing Date, and (iv) such additional dates as the Administrative Agent or the L/C Issuer shall determine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Lenders shall require.</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Borrowing</w:t>
      </w:r>
      <w:r>
        <w:rPr>
          <w:rFonts w:ascii="Times New Roman" w:cs="Times New Roman" w:eastAsia="Times New Roman" w:hAnsi="Times New Roman"/>
          <w:sz w:val="20"/>
          <w:szCs w:val="20"/>
          <w:color w:val="auto"/>
        </w:rPr>
        <w:t>” means a borrowing consisting of simultaneous Revolving Loans of the same Type and, in the case of BSBY Rate Loans and Alternative Currency Term Rate Loans, having the same Interest Period made by each of the Lenders pursuant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2.01</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w:t>
      </w:r>
      <w:r>
        <w:rPr>
          <w:rFonts w:ascii="Times New Roman" w:cs="Times New Roman" w:eastAsia="Times New Roman" w:hAnsi="Times New Roman"/>
          <w:sz w:val="20"/>
          <w:szCs w:val="20"/>
          <w:color w:val="auto"/>
        </w:rPr>
        <w:t xml:space="preserve">” means, as to each Lender, its obligation to (a) make Revolving Loans to the Borrower pursuant to </w:t>
      </w:r>
      <w:r>
        <w:rPr>
          <w:rFonts w:ascii="Times New Roman" w:cs="Times New Roman" w:eastAsia="Times New Roman" w:hAnsi="Times New Roman"/>
          <w:sz w:val="20"/>
          <w:szCs w:val="20"/>
          <w:b w:val="1"/>
          <w:bCs w:val="1"/>
          <w:i w:val="1"/>
          <w:iCs w:val="1"/>
          <w:color w:val="auto"/>
        </w:rPr>
        <w:t>Section 2.01</w:t>
      </w:r>
      <w:r>
        <w:rPr>
          <w:rFonts w:ascii="Times New Roman" w:cs="Times New Roman" w:eastAsia="Times New Roman" w:hAnsi="Times New Roman"/>
          <w:sz w:val="20"/>
          <w:szCs w:val="20"/>
          <w:color w:val="auto"/>
        </w:rPr>
        <w:t>, (b) purchase participations in L/C Obligations, and (c) purchase participations in Swingline Loans, in an aggregate principal</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amount at any one time outstanding </w:t>
      </w:r>
      <w:r>
        <w:rPr>
          <w:rFonts w:ascii="Times New Roman" w:cs="Times New Roman" w:eastAsia="Times New Roman" w:hAnsi="Times New Roman"/>
          <w:sz w:val="20"/>
          <w:szCs w:val="20"/>
          <w:i w:val="1"/>
          <w:iCs w:val="1"/>
          <w:color w:val="auto"/>
        </w:rPr>
        <w:t>not to exceed</w:t>
      </w:r>
      <w:r>
        <w:rPr>
          <w:rFonts w:ascii="Times New Roman" w:cs="Times New Roman" w:eastAsia="Times New Roman" w:hAnsi="Times New Roman"/>
          <w:sz w:val="20"/>
          <w:szCs w:val="20"/>
          <w:color w:val="auto"/>
        </w:rPr>
        <w:t xml:space="preserve"> the amount set forth opposite such Lender’s name on </w:t>
      </w:r>
      <w:r>
        <w:rPr>
          <w:rFonts w:ascii="Times New Roman" w:cs="Times New Roman" w:eastAsia="Times New Roman" w:hAnsi="Times New Roman"/>
          <w:sz w:val="20"/>
          <w:szCs w:val="20"/>
          <w:b w:val="1"/>
          <w:bCs w:val="1"/>
          <w:i w:val="1"/>
          <w:iCs w:val="1"/>
          <w:color w:val="auto"/>
        </w:rPr>
        <w:t>Schedule 1.01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under the caption</w:t>
      </w:r>
    </w:p>
    <w:p>
      <w:pPr>
        <w:spacing w:after="0" w:line="204" w:lineRule="auto"/>
        <w:rPr>
          <w:sz w:val="20"/>
          <w:szCs w:val="20"/>
          <w:color w:val="auto"/>
        </w:rPr>
      </w:pPr>
      <w:r>
        <w:rPr>
          <w:rFonts w:ascii="Times New Roman" w:cs="Times New Roman" w:eastAsia="Times New Roman" w:hAnsi="Times New Roman"/>
          <w:sz w:val="20"/>
          <w:szCs w:val="20"/>
          <w:color w:val="auto"/>
        </w:rPr>
        <w:t>“Commitment” or opposite such caption in the Assignment and Assumption pursuant to which such Lender becomes a party hereto, as applicable, as such amount may be adjusted from time to time in accordance with this Agreement. The aggregate amount of the Revolving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Commitments of all of the Lenders on the Third Amendment Effective Date is $150,000,000.</w:t>
      </w:r>
    </w:p>
    <w:p>
      <w:pPr>
        <w:spacing w:after="0" w:line="19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Exposure</w:t>
      </w:r>
      <w:r>
        <w:rPr>
          <w:rFonts w:ascii="Times New Roman" w:cs="Times New Roman" w:eastAsia="Times New Roman" w:hAnsi="Times New Roman"/>
          <w:sz w:val="20"/>
          <w:szCs w:val="20"/>
          <w:color w:val="auto"/>
        </w:rPr>
        <w:t>” means, as to any Lender at any time, the aggregate principal amount at such time of its outstanding Revolving Loans and such Lender’s participation in L/C Obligations and Swingline Loans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Facility</w:t>
      </w:r>
      <w:r>
        <w:rPr>
          <w:rFonts w:ascii="Times New Roman" w:cs="Times New Roman" w:eastAsia="Times New Roman" w:hAnsi="Times New Roman"/>
          <w:sz w:val="20"/>
          <w:szCs w:val="20"/>
          <w:color w:val="auto"/>
        </w:rPr>
        <w:t>” means, at any time, the aggregate amount of the Lenders’ Revolving Commitments at such time.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Note</w:t>
      </w:r>
      <w:r>
        <w:rPr>
          <w:rFonts w:ascii="Times New Roman" w:cs="Times New Roman" w:eastAsia="Times New Roman" w:hAnsi="Times New Roman"/>
          <w:sz w:val="20"/>
          <w:szCs w:val="20"/>
          <w:color w:val="auto"/>
        </w:rPr>
        <w:t xml:space="preserve">” means a promissory note made by the Borrower in favor of a Lender evidencing Revolving Loans or Swingline Loans, as the case may be, made by such Lender, substantially in the form of </w:t>
      </w:r>
      <w:r>
        <w:rPr>
          <w:rFonts w:ascii="Times New Roman" w:cs="Times New Roman" w:eastAsia="Times New Roman" w:hAnsi="Times New Roman"/>
          <w:sz w:val="20"/>
          <w:szCs w:val="20"/>
          <w:b w:val="1"/>
          <w:bCs w:val="1"/>
          <w:i w:val="1"/>
          <w:iCs w:val="1"/>
          <w:color w:val="auto"/>
        </w:rPr>
        <w:t>Exhibit G</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Sale and Leaseback Transaction</w:t>
      </w:r>
      <w:r>
        <w:rPr>
          <w:rFonts w:ascii="Times New Roman" w:cs="Times New Roman" w:eastAsia="Times New Roman" w:hAnsi="Times New Roman"/>
          <w:sz w:val="19"/>
          <w:szCs w:val="19"/>
          <w:color w:val="auto"/>
        </w:rPr>
        <w:t>” means, with respect to any Loan Party or any Subsidiary, any arrangement, directly or indirectly, with any Person whereby such Loan Party or such Subsidiary shall sell or transfer any property used or useful in its business, whether now</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owned or hereafter acquired, and thereafter rent or lease such property or other property that it intends to use for substantially the same purpose or purposes as the property being sold or transferred.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respect to disbursements and payments in an Alternative Currency, same day or other funds as may be determined by the Administrative Agent or the L/C Issuer, as the case may be, to be customary in the place of disbursement or payment for the settlement of international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banking transactions in the relevant Alternative Currency.</w:t>
      </w:r>
    </w:p>
    <w:p>
      <w:pPr>
        <w:spacing w:after="0" w:line="19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20"/>
          <w:szCs w:val="20"/>
          <w:b w:val="1"/>
          <w:bCs w:val="1"/>
          <w:i w:val="1"/>
          <w:iCs w:val="1"/>
          <w:color w:val="auto"/>
        </w:rPr>
        <w:t>HMT</w:t>
      </w:r>
      <w:r>
        <w:rPr>
          <w:rFonts w:ascii="Times New Roman" w:cs="Times New Roman" w:eastAsia="Times New Roman" w:hAnsi="Times New Roman"/>
          <w:sz w:val="20"/>
          <w:szCs w:val="20"/>
          <w:color w:val="auto"/>
        </w:rPr>
        <w:t>”) or other relevant sanctions authority.</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 functions.</w:t>
      </w:r>
    </w:p>
    <w:p>
      <w:pPr>
        <w:spacing w:after="0" w:line="214"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Second Amendment</w:t>
      </w:r>
      <w:r>
        <w:rPr>
          <w:rFonts w:ascii="Times New Roman" w:cs="Times New Roman" w:eastAsia="Times New Roman" w:hAnsi="Times New Roman"/>
          <w:sz w:val="20"/>
          <w:szCs w:val="20"/>
          <w:color w:val="auto"/>
        </w:rPr>
        <w:t>” means that certain Second Amendment to Credit Agreement, dated as of the Second Amendment Effective Date, by and among the Borrower, the Guarantors, the Lenders, the L/C Issuer and the Administrative Agent.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Second Amendment Effective Date</w:t>
      </w:r>
      <w:r>
        <w:rPr>
          <w:rFonts w:ascii="Times New Roman" w:cs="Times New Roman" w:eastAsia="Times New Roman" w:hAnsi="Times New Roman"/>
          <w:sz w:val="20"/>
          <w:szCs w:val="20"/>
          <w:color w:val="auto"/>
        </w:rPr>
        <w:t>” means March 31, 2023.</w:t>
      </w:r>
    </w:p>
    <w:p>
      <w:pPr>
        <w:spacing w:after="0" w:line="216"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Cash Management Agreement</w:t>
      </w:r>
      <w:r>
        <w:rPr>
          <w:rFonts w:ascii="Times New Roman" w:cs="Times New Roman" w:eastAsia="Times New Roman" w:hAnsi="Times New Roman"/>
          <w:sz w:val="20"/>
          <w:szCs w:val="20"/>
          <w:color w:val="auto"/>
        </w:rPr>
        <w:t>” means any Cash Management Agreement between the any Loan Party and any of its Subsidiaries and any Cash Management Bank.</w:t>
      </w:r>
    </w:p>
    <w:p>
      <w:pPr>
        <w:spacing w:after="0" w:line="16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Hedge Agreement</w:t>
      </w:r>
      <w:r>
        <w:rPr>
          <w:rFonts w:ascii="Times New Roman" w:cs="Times New Roman" w:eastAsia="Times New Roman" w:hAnsi="Times New Roman"/>
          <w:sz w:val="20"/>
          <w:szCs w:val="20"/>
          <w:color w:val="auto"/>
        </w:rPr>
        <w:t xml:space="preserve">” means any interest rate, currency, foreign exchange, or commodity Swap Contract required by or not prohibited under </w:t>
      </w:r>
      <w:r>
        <w:rPr>
          <w:rFonts w:ascii="Times New Roman" w:cs="Times New Roman" w:eastAsia="Times New Roman" w:hAnsi="Times New Roman"/>
          <w:sz w:val="20"/>
          <w:szCs w:val="20"/>
          <w:b w:val="1"/>
          <w:bCs w:val="1"/>
          <w:i w:val="1"/>
          <w:iCs w:val="1"/>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VII</w:t>
      </w:r>
      <w:r>
        <w:rPr>
          <w:rFonts w:ascii="Times New Roman" w:cs="Times New Roman" w:eastAsia="Times New Roman" w:hAnsi="Times New Roman"/>
          <w:sz w:val="20"/>
          <w:szCs w:val="20"/>
          <w:color w:val="auto"/>
        </w:rPr>
        <w:t xml:space="preserve"> between any Loan Party and any of its Subsidiaries and any Hedge Bank.</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Obligations</w:t>
      </w:r>
      <w:r>
        <w:rPr>
          <w:rFonts w:ascii="Times New Roman" w:cs="Times New Roman" w:eastAsia="Times New Roman" w:hAnsi="Times New Roman"/>
          <w:sz w:val="20"/>
          <w:szCs w:val="20"/>
          <w:color w:val="auto"/>
        </w:rPr>
        <w:t>” means all Obligations and all Additional Secured Obligations.</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 w:cs="Times New Roman" w:eastAsia="Times New Roman" w:hAnsi="Times New Roman"/>
          <w:sz w:val="20"/>
          <w:szCs w:val="20"/>
          <w:b w:val="1"/>
          <w:bCs w:val="1"/>
          <w:i w:val="1"/>
          <w:iCs w:val="1"/>
          <w:color w:val="auto"/>
        </w:rPr>
        <w:t>Section 9.05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Party Designation Notice</w:t>
      </w:r>
      <w:r>
        <w:rPr>
          <w:rFonts w:ascii="Times New Roman" w:cs="Times New Roman" w:eastAsia="Times New Roman" w:hAnsi="Times New Roman"/>
          <w:sz w:val="20"/>
          <w:szCs w:val="20"/>
          <w:color w:val="auto"/>
        </w:rPr>
        <w:t xml:space="preserve">” means a notice from any Lender or an Affiliate of a Lender substantially in the form of </w:t>
      </w:r>
      <w:r>
        <w:rPr>
          <w:rFonts w:ascii="Times New Roman" w:cs="Times New Roman" w:eastAsia="Times New Roman" w:hAnsi="Times New Roman"/>
          <w:sz w:val="20"/>
          <w:szCs w:val="20"/>
          <w:b w:val="1"/>
          <w:bCs w:val="1"/>
          <w:i w:val="1"/>
          <w:iCs w:val="1"/>
          <w:color w:val="auto"/>
        </w:rPr>
        <w:t>Exhibit H</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including all amendments thereto and regulations promulgated thereunder.</w:t>
      </w:r>
    </w:p>
    <w:p>
      <w:pPr>
        <w:spacing w:after="0" w:line="216" w:lineRule="exact"/>
        <w:rPr>
          <w:sz w:val="20"/>
          <w:szCs w:val="20"/>
          <w:color w:val="auto"/>
        </w:rPr>
      </w:pPr>
    </w:p>
    <w:p>
      <w:pPr>
        <w:ind w:left="6"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Agreement</w:t>
      </w:r>
      <w:r>
        <w:rPr>
          <w:rFonts w:ascii="Times New Roman" w:cs="Times New Roman" w:eastAsia="Times New Roman" w:hAnsi="Times New Roman"/>
          <w:sz w:val="20"/>
          <w:szCs w:val="20"/>
          <w:color w:val="auto"/>
        </w:rPr>
        <w:t>” means the security and pledge agreement, dated as of the Closing Date, executed in favor of the Administrative Agent by each of the Loan Parties.</w:t>
      </w:r>
    </w:p>
    <w:p>
      <w:pPr>
        <w:spacing w:after="0" w:line="165" w:lineRule="exact"/>
        <w:rPr>
          <w:sz w:val="20"/>
          <w:szCs w:val="20"/>
          <w:color w:val="auto"/>
        </w:rPr>
      </w:pPr>
    </w:p>
    <w:p>
      <w:pPr>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Shareholders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Equity</w:t>
      </w:r>
      <w:r>
        <w:rPr>
          <w:rFonts w:ascii="Times New Roman" w:cs="Times New Roman" w:eastAsia="Times New Roman" w:hAnsi="Times New Roman"/>
          <w:sz w:val="20"/>
          <w:szCs w:val="20"/>
          <w:color w:val="auto"/>
        </w:rPr>
        <w:t>” means, as of any date of determination, consolidated shareholders’ equity of the Borrower and its Subsidiaries as of such date, determined in accordance with GAAP.</w:t>
      </w:r>
    </w:p>
    <w:p>
      <w:pPr>
        <w:spacing w:after="0" w:line="178"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w:t>
      </w:r>
      <w:r>
        <w:rPr>
          <w:rFonts w:ascii="Times New Roman" w:cs="Times New Roman" w:eastAsia="Times New Roman" w:hAnsi="Times New Roman"/>
          <w:sz w:val="20"/>
          <w:szCs w:val="20"/>
          <w:color w:val="auto"/>
        </w:rPr>
        <w:t>” means the secured overnight financing rate.</w:t>
      </w:r>
    </w:p>
    <w:p>
      <w:pPr>
        <w:spacing w:after="0" w:line="202" w:lineRule="exact"/>
        <w:rPr>
          <w:sz w:val="20"/>
          <w:szCs w:val="20"/>
          <w:color w:val="auto"/>
        </w:rPr>
      </w:pPr>
    </w:p>
    <w:p>
      <w:pPr>
        <w:ind w:left="6"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Adjustment</w:t>
      </w:r>
      <w:r>
        <w:rPr>
          <w:rFonts w:ascii="Times New Roman" w:cs="Times New Roman" w:eastAsia="Times New Roman" w:hAnsi="Times New Roman"/>
          <w:sz w:val="19"/>
          <w:szCs w:val="19"/>
          <w:color w:val="auto"/>
        </w:rPr>
        <w:t>” means: (a) with respect to Daily Simple SOFR, (i) 0.10% (10 basis points) for any applicable monthly payment period, and (ii) 0.10% (10 basis points) for any applicable quarterly payment period; and (b) with respect to Term SOFR, (i) 0.10% (10 basis</w:t>
      </w:r>
    </w:p>
    <w:p>
      <w:pPr>
        <w:spacing w:after="0" w:line="1" w:lineRule="exact"/>
        <w:rPr>
          <w:sz w:val="20"/>
          <w:szCs w:val="20"/>
          <w:color w:val="auto"/>
        </w:rPr>
      </w:pPr>
    </w:p>
    <w:p>
      <w:pPr>
        <w:ind w:left="6"/>
        <w:spacing w:after="0" w:line="221" w:lineRule="auto"/>
        <w:rPr>
          <w:sz w:val="20"/>
          <w:szCs w:val="20"/>
          <w:color w:val="auto"/>
        </w:rPr>
      </w:pPr>
      <w:r>
        <w:rPr>
          <w:rFonts w:ascii="Times New Roman" w:cs="Times New Roman" w:eastAsia="Times New Roman" w:hAnsi="Times New Roman"/>
          <w:sz w:val="20"/>
          <w:szCs w:val="20"/>
          <w:color w:val="auto"/>
        </w:rPr>
        <w:t>points) for an interest period of one-month’s duration, (ii) 0.10% (10 basis points) for an interest period of three-month’s duration, and (iii) 0.10% (10 basis points) for an interest period of six-months’ duration.</w:t>
      </w:r>
    </w:p>
    <w:p>
      <w:pPr>
        <w:spacing w:after="0" w:line="18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Solvency Certificate</w:t>
      </w:r>
      <w:r>
        <w:rPr>
          <w:rFonts w:ascii="Times New Roman" w:cs="Times New Roman" w:eastAsia="Times New Roman" w:hAnsi="Times New Roman"/>
          <w:sz w:val="20"/>
          <w:szCs w:val="20"/>
          <w:color w:val="auto"/>
        </w:rPr>
        <w:t xml:space="preserve">” means a solvency certificate in substantially in the form of </w:t>
      </w:r>
      <w:r>
        <w:rPr>
          <w:rFonts w:ascii="Times New Roman" w:cs="Times New Roman" w:eastAsia="Times New Roman" w:hAnsi="Times New Roman"/>
          <w:sz w:val="20"/>
          <w:szCs w:val="20"/>
          <w:b w:val="1"/>
          <w:bCs w:val="1"/>
          <w:i w:val="1"/>
          <w:iCs w:val="1"/>
          <w:color w:val="auto"/>
        </w:rPr>
        <w:t>Exhibit 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property of such Person is greater than the total amount of liabilities, including contingent liabilities, of such Person, (b) the present fair</w:t>
      </w:r>
    </w:p>
    <w:p>
      <w:pPr>
        <w:ind w:left="6"/>
        <w:spacing w:after="0" w:line="213" w:lineRule="auto"/>
        <w:rPr>
          <w:sz w:val="20"/>
          <w:szCs w:val="20"/>
          <w:color w:val="auto"/>
        </w:rPr>
      </w:pPr>
      <w:r>
        <w:rPr>
          <w:rFonts w:ascii="Times New Roman" w:cs="Times New Roman" w:eastAsia="Times New Roman" w:hAnsi="Times New Roman"/>
          <w:sz w:val="20"/>
          <w:szCs w:val="20"/>
          <w:color w:val="auto"/>
        </w:rPr>
        <w:t>saleable value of the assets of such Person is not less than the amount that will be required to pay the probable liability of such Person on its</w:t>
      </w:r>
    </w:p>
    <w:p>
      <w:pPr>
        <w:ind w:left="6"/>
        <w:spacing w:after="0" w:line="215" w:lineRule="auto"/>
        <w:rPr>
          <w:sz w:val="20"/>
          <w:szCs w:val="20"/>
          <w:color w:val="auto"/>
        </w:rPr>
      </w:pPr>
      <w:r>
        <w:rPr>
          <w:rFonts w:ascii="Times New Roman" w:cs="Times New Roman" w:eastAsia="Times New Roman" w:hAnsi="Times New Roman"/>
          <w:sz w:val="19"/>
          <w:szCs w:val="19"/>
          <w:color w:val="auto"/>
        </w:rPr>
        <w:t>debts as they become absolute and matured, (c) such Person does not intend to, and does not believe that it will, incur debts or liabilities beyond such Person’s ability to pay such debts and liabilities as they mature, (d) such Person is not engaged in business or a transaction, and</w:t>
      </w:r>
    </w:p>
    <w:p>
      <w:pPr>
        <w:ind w:left="6"/>
        <w:spacing w:after="0" w:line="197" w:lineRule="auto"/>
        <w:rPr>
          <w:sz w:val="20"/>
          <w:szCs w:val="20"/>
          <w:color w:val="auto"/>
        </w:rPr>
      </w:pPr>
      <w:r>
        <w:rPr>
          <w:rFonts w:ascii="Times New Roman" w:cs="Times New Roman" w:eastAsia="Times New Roman" w:hAnsi="Times New Roman"/>
          <w:sz w:val="20"/>
          <w:szCs w:val="20"/>
          <w:color w:val="auto"/>
        </w:rPr>
        <w:t>is not about to engage in business or a transaction, for which such Person’s property would constitute an unreasonably small capital, and</w:t>
      </w:r>
    </w:p>
    <w:p>
      <w:pPr>
        <w:jc w:val="both"/>
        <w:ind w:left="6" w:hanging="6"/>
        <w:spacing w:after="0" w:line="223" w:lineRule="auto"/>
        <w:tabs>
          <w:tab w:leader="none" w:pos="27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0" w:lineRule="exact"/>
        <w:rPr>
          <w:sz w:val="20"/>
          <w:szCs w:val="20"/>
          <w:color w:val="auto"/>
        </w:rPr>
      </w:pPr>
    </w:p>
    <w:p>
      <w:pPr>
        <w:ind w:left="6" w:firstLine="648"/>
        <w:spacing w:after="0" w:line="20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SONIA</w:t>
      </w:r>
      <w:r>
        <w:rPr>
          <w:rFonts w:ascii="Times New Roman" w:cs="Times New Roman" w:eastAsia="Times New Roman" w:hAnsi="Times New Roman"/>
          <w:sz w:val="19"/>
          <w:szCs w:val="19"/>
          <w:color w:val="auto"/>
        </w:rPr>
        <w:t>” means, with respect to any applicable determination date, the Sterling Overnight Index Average Reference Rate published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Business Day preceding such date on the applicable Reuters screen page (or such other commercially available source</w:t>
      </w:r>
    </w:p>
    <w:p>
      <w:pPr>
        <w:ind w:left="6"/>
        <w:spacing w:after="0" w:line="235" w:lineRule="auto"/>
        <w:rPr>
          <w:sz w:val="20"/>
          <w:szCs w:val="20"/>
          <w:color w:val="auto"/>
        </w:rPr>
      </w:pPr>
      <w:r>
        <w:rPr>
          <w:rFonts w:ascii="Times New Roman" w:cs="Times New Roman" w:eastAsia="Times New Roman" w:hAnsi="Times New Roman"/>
          <w:sz w:val="20"/>
          <w:szCs w:val="20"/>
          <w:color w:val="auto"/>
        </w:rPr>
        <w:t xml:space="preserve">providing such quotations as may be designated by the Administrative Agent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such determination date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a Business Day, SONIA means such rate that applied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Business Day immediately prior thereto.</w:t>
      </w:r>
    </w:p>
    <w:p>
      <w:pPr>
        <w:spacing w:after="0" w:line="102"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SONIA Adjustment</w:t>
      </w:r>
      <w:r>
        <w:rPr>
          <w:rFonts w:ascii="Times New Roman" w:cs="Times New Roman" w:eastAsia="Times New Roman" w:hAnsi="Times New Roman"/>
          <w:sz w:val="20"/>
          <w:szCs w:val="20"/>
          <w:color w:val="auto"/>
        </w:rPr>
        <w:t>” means, with respect to SONIA, 0.0326% (3.26 basis points) per annum.</w:t>
      </w:r>
    </w:p>
    <w:p>
      <w:pPr>
        <w:spacing w:after="0" w:line="216" w:lineRule="exact"/>
        <w:rPr>
          <w:sz w:val="20"/>
          <w:szCs w:val="20"/>
          <w:color w:val="auto"/>
        </w:rPr>
      </w:pPr>
    </w:p>
    <w:p>
      <w:pPr>
        <w:ind w:left="6"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84" w:lineRule="exact"/>
        <w:rPr>
          <w:sz w:val="20"/>
          <w:szCs w:val="20"/>
          <w:color w:val="auto"/>
        </w:rPr>
      </w:pPr>
    </w:p>
    <w:p>
      <w:pPr>
        <w:ind w:left="6"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Cash Collateral Threshold Amount</w:t>
      </w:r>
      <w:r>
        <w:rPr>
          <w:rFonts w:ascii="Times New Roman" w:cs="Times New Roman" w:eastAsia="Times New Roman" w:hAnsi="Times New Roman"/>
          <w:sz w:val="20"/>
          <w:szCs w:val="20"/>
          <w:color w:val="auto"/>
        </w:rPr>
        <w:t>” means, as to a Specified Cash Collateral Trigger Event based on written notice of a customer’s dispute and the filing of a claim for indemnity, performance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 w:firstLine="6"/>
        <w:spacing w:after="0"/>
        <w:rPr>
          <w:sz w:val="20"/>
          <w:szCs w:val="20"/>
          <w:color w:val="auto"/>
        </w:rPr>
      </w:pPr>
      <w:r>
        <w:rPr>
          <w:rFonts w:ascii="Times New Roman" w:cs="Times New Roman" w:eastAsia="Times New Roman" w:hAnsi="Times New Roman"/>
          <w:sz w:val="20"/>
          <w:szCs w:val="20"/>
          <w:color w:val="auto"/>
        </w:rPr>
        <w:t>or payment under an applicable Surety Bond as a result of the Borrower or the Borrower’s Subsidiary’s breach under the underlying contract, $40,000,000 for such claim.</w:t>
      </w:r>
    </w:p>
    <w:p>
      <w:pPr>
        <w:spacing w:after="0" w:line="171" w:lineRule="exact"/>
        <w:rPr>
          <w:sz w:val="20"/>
          <w:szCs w:val="20"/>
          <w:color w:val="auto"/>
        </w:rPr>
      </w:pPr>
    </w:p>
    <w:p>
      <w:pPr>
        <w:jc w:val="both"/>
        <w:ind w:left="6"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Cash Collateral Trigger Event</w:t>
      </w:r>
      <w:r>
        <w:rPr>
          <w:rFonts w:ascii="Times New Roman" w:cs="Times New Roman" w:eastAsia="Times New Roman" w:hAnsi="Times New Roman"/>
          <w:sz w:val="20"/>
          <w:szCs w:val="20"/>
          <w:color w:val="auto"/>
        </w:rPr>
        <w:t>” means the Borrower receiving written notice from one or more issuers of Surety Bonds in an amount individually equal to or greater than the Specified Cash Collateral Threshold Amount and the Borrower’s or the Borrower’s</w:t>
      </w:r>
    </w:p>
    <w:p>
      <w:pPr>
        <w:spacing w:after="0" w:line="2" w:lineRule="exact"/>
        <w:rPr>
          <w:sz w:val="20"/>
          <w:szCs w:val="20"/>
          <w:color w:val="auto"/>
        </w:rPr>
      </w:pP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Subsidiary’s customer on a contract that is supported by a Surety Bond has asserted in writing such customer’s dispute and has filed a claim in respect of such applicable Surety Bond that one or more defaults or events of default (or similar or analogous designations) has or have</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occurred under such applicable contract.</w:t>
      </w:r>
    </w:p>
    <w:p>
      <w:pPr>
        <w:spacing w:after="0" w:line="190" w:lineRule="exact"/>
        <w:rPr>
          <w:sz w:val="20"/>
          <w:szCs w:val="20"/>
          <w:color w:val="auto"/>
        </w:rPr>
      </w:pPr>
    </w:p>
    <w:p>
      <w:pPr>
        <w:jc w:val="both"/>
        <w:ind w:left="6"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Specified Cash Collateral Trigger Event Standstill Period</w:t>
      </w:r>
      <w:r>
        <w:rPr>
          <w:rFonts w:ascii="Times New Roman" w:cs="Times New Roman" w:eastAsia="Times New Roman" w:hAnsi="Times New Roman"/>
          <w:sz w:val="19"/>
          <w:szCs w:val="19"/>
          <w:color w:val="auto"/>
        </w:rPr>
        <w:t xml:space="preserve">” means a period commencing on the occurrence a Specified Cash Collateral Trigger Event and ending on the </w:t>
      </w:r>
      <w:r>
        <w:rPr>
          <w:rFonts w:ascii="Times New Roman" w:cs="Times New Roman" w:eastAsia="Times New Roman" w:hAnsi="Times New Roman"/>
          <w:sz w:val="19"/>
          <w:szCs w:val="19"/>
          <w:i w:val="1"/>
          <w:iCs w:val="1"/>
          <w:color w:val="auto"/>
        </w:rPr>
        <w:t>earlier</w:t>
      </w:r>
      <w:r>
        <w:rPr>
          <w:rFonts w:ascii="Times New Roman" w:cs="Times New Roman" w:eastAsia="Times New Roman" w:hAnsi="Times New Roman"/>
          <w:sz w:val="19"/>
          <w:szCs w:val="19"/>
          <w:color w:val="auto"/>
        </w:rPr>
        <w:t xml:space="preserve"> to occur of (a) the date that the Borrower reasonably and in good faith has determined that</w:t>
      </w:r>
    </w:p>
    <w:p>
      <w:pPr>
        <w:ind w:left="6"/>
        <w:spacing w:after="0" w:line="223" w:lineRule="auto"/>
        <w:rPr>
          <w:sz w:val="20"/>
          <w:szCs w:val="20"/>
          <w:color w:val="auto"/>
        </w:rPr>
      </w:pPr>
      <w:r>
        <w:rPr>
          <w:rFonts w:ascii="Times New Roman" w:cs="Times New Roman" w:eastAsia="Times New Roman" w:hAnsi="Times New Roman"/>
          <w:sz w:val="19"/>
          <w:szCs w:val="19"/>
          <w:color w:val="auto"/>
        </w:rPr>
        <w:t>the underlying disputes or claims asserted which gave rise to such Specified Cash Collateral Trigger Event have been settled or resolved and</w:t>
      </w: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the Borrower has commenced corrective actions according to such settlement or resolution, in either case as certified in writing by a Responsible Officer of the Borrower to the Administrative Agent accompanied by documentation or other support therefor reasonably</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acceptable to the Administrative Agent, and (b) ninety (90) days from the occurrence of such Specified Cash Collateral Trigger Event.</w:t>
      </w:r>
    </w:p>
    <w:p>
      <w:pPr>
        <w:spacing w:after="0" w:line="190" w:lineRule="exact"/>
        <w:rPr>
          <w:sz w:val="20"/>
          <w:szCs w:val="20"/>
          <w:color w:val="auto"/>
        </w:rPr>
      </w:pPr>
    </w:p>
    <w:p>
      <w:pPr>
        <w:jc w:val="both"/>
        <w:ind w:left="6"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Loan Party</w:t>
      </w:r>
      <w:r>
        <w:rPr>
          <w:rFonts w:ascii="Times New Roman" w:cs="Times New Roman" w:eastAsia="Times New Roman" w:hAnsi="Times New Roman"/>
          <w:sz w:val="20"/>
          <w:szCs w:val="20"/>
          <w:color w:val="auto"/>
        </w:rPr>
        <w:t xml:space="preserve">” means any Loan Party that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then an “eligible contract participant” under the Commodity Exchange Act (determined prior to giving effect to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mean the lawful currency of the United Kingdom.</w:t>
      </w:r>
    </w:p>
    <w:p>
      <w:pPr>
        <w:spacing w:after="0" w:line="216" w:lineRule="exact"/>
        <w:rPr>
          <w:sz w:val="20"/>
          <w:szCs w:val="20"/>
          <w:color w:val="auto"/>
        </w:rPr>
      </w:pPr>
    </w:p>
    <w:p>
      <w:pPr>
        <w:jc w:val="both"/>
        <w:ind w:left="6"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w:t>
      </w:r>
    </w:p>
    <w:p>
      <w:pPr>
        <w:spacing w:after="0" w:line="1" w:lineRule="exact"/>
        <w:rPr>
          <w:sz w:val="20"/>
          <w:szCs w:val="20"/>
          <w:color w:val="auto"/>
        </w:rPr>
      </w:pPr>
    </w:p>
    <w:p>
      <w:pPr>
        <w:jc w:val="both"/>
        <w:ind w:left="6" w:right="20"/>
        <w:spacing w:after="0" w:line="221" w:lineRule="auto"/>
        <w:rPr>
          <w:sz w:val="20"/>
          <w:szCs w:val="20"/>
          <w:color w:val="auto"/>
        </w:rPr>
      </w:pPr>
      <w:r>
        <w:rPr>
          <w:rFonts w:ascii="Times New Roman" w:cs="Times New Roman" w:eastAsia="Times New Roman" w:hAnsi="Times New Roman"/>
          <w:sz w:val="20"/>
          <w:szCs w:val="20"/>
          <w:color w:val="auto"/>
        </w:rPr>
        <w:t>indirectly through one or more intermediaries, or both, by such Person. Unless otherwise specified, all references herein to a “Subsidiary” or to “Subsidiaries” shall refer to a Subsidiary or Subsidiaries of the Borrower.</w:t>
      </w:r>
    </w:p>
    <w:p>
      <w:pPr>
        <w:spacing w:after="0" w:line="185"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Surety Bond</w:t>
      </w:r>
      <w:r>
        <w:rPr>
          <w:rFonts w:ascii="Times New Roman" w:cs="Times New Roman" w:eastAsia="Times New Roman" w:hAnsi="Times New Roman"/>
          <w:sz w:val="20"/>
          <w:szCs w:val="20"/>
          <w:color w:val="auto"/>
        </w:rPr>
        <w:t>” means indemnity or performance bonds a Loan Party causes to be issued in the ordinary course of its business.</w:t>
      </w:r>
    </w:p>
    <w:p>
      <w:pPr>
        <w:spacing w:after="0" w:line="21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w:t>
      </w: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commodity swaps, commodity options, forward commodity contracts, equity or equity index swaps or options, bond or bond price or bond index swaps or options or forward bond or forward bond price or forward bond index transactions, interest rate options, forward foreign</w:t>
      </w:r>
    </w:p>
    <w:p>
      <w:pPr>
        <w:ind w:left="6"/>
        <w:spacing w:after="0" w:line="211" w:lineRule="auto"/>
        <w:rPr>
          <w:sz w:val="20"/>
          <w:szCs w:val="20"/>
          <w:color w:val="auto"/>
        </w:rPr>
      </w:pPr>
      <w:r>
        <w:rPr>
          <w:rFonts w:ascii="Times New Roman" w:cs="Times New Roman" w:eastAsia="Times New Roman" w:hAnsi="Times New Roman"/>
          <w:sz w:val="20"/>
          <w:szCs w:val="20"/>
          <w:color w:val="auto"/>
        </w:rPr>
        <w:t>exchange transactions, cap transactions, floor transactions, collar transactions, currency swap transactions, cross-currency rate swap</w:t>
      </w:r>
    </w:p>
    <w:p>
      <w:pPr>
        <w:spacing w:after="0" w:line="1" w:lineRule="exact"/>
        <w:rPr>
          <w:sz w:val="20"/>
          <w:szCs w:val="20"/>
          <w:color w:val="auto"/>
        </w:rPr>
      </w:pPr>
    </w:p>
    <w:p>
      <w:pPr>
        <w:jc w:val="both"/>
        <w:ind w:left="6"/>
        <w:spacing w:after="0" w:line="204" w:lineRule="auto"/>
        <w:rPr>
          <w:sz w:val="20"/>
          <w:szCs w:val="20"/>
          <w:color w:val="auto"/>
        </w:rPr>
      </w:pPr>
      <w:r>
        <w:rPr>
          <w:rFonts w:ascii="Times New Roman" w:cs="Times New Roman" w:eastAsia="Times New Roman" w:hAnsi="Times New Roman"/>
          <w:sz w:val="20"/>
          <w:szCs w:val="20"/>
          <w:color w:val="auto"/>
        </w:rPr>
        <w:t>transactions, currency options, spot contracts, or any other similar transactions or any combination of any of the foregoing (including any options to enter into any of the foregoing), whether or not any such transaction is governed by or subject to any master agreement, and</w:t>
      </w:r>
    </w:p>
    <w:p>
      <w:pPr>
        <w:spacing w:after="0" w:line="1" w:lineRule="exact"/>
        <w:rPr>
          <w:sz w:val="20"/>
          <w:szCs w:val="20"/>
          <w:color w:val="auto"/>
        </w:rPr>
      </w:pPr>
    </w:p>
    <w:p>
      <w:pPr>
        <w:jc w:val="both"/>
        <w:ind w:left="6" w:hanging="6"/>
        <w:spacing w:after="0" w:line="216" w:lineRule="auto"/>
        <w:tabs>
          <w:tab w:leader="none" w:pos="29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b w:val="1"/>
          <w:bCs w:val="1"/>
          <w:i w:val="1"/>
          <w:iCs w:val="1"/>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w:t>
      </w:r>
      <w:r>
        <w:rPr>
          <w:rFonts w:ascii="Times New Roman" w:cs="Times New Roman" w:eastAsia="Times New Roman" w:hAnsi="Times New Roman"/>
          <w:sz w:val="20"/>
          <w:szCs w:val="20"/>
          <w:i w:val="1"/>
          <w:iCs w:val="1"/>
          <w:color w:val="auto"/>
        </w:rPr>
        <w:t>swap</w:t>
      </w:r>
      <w:r>
        <w:rPr>
          <w:rFonts w:ascii="Times New Roman" w:cs="Times New Roman" w:eastAsia="Times New Roman" w:hAnsi="Times New Roman"/>
          <w:sz w:val="20"/>
          <w:szCs w:val="20"/>
          <w:color w:val="auto"/>
        </w:rPr>
        <w:t xml:space="preserve">” within the meaning of </w:t>
      </w:r>
      <w:r>
        <w:rPr>
          <w:rFonts w:ascii="Times New Roman" w:cs="Times New Roman" w:eastAsia="Times New Roman" w:hAnsi="Times New Roman"/>
          <w:sz w:val="20"/>
          <w:szCs w:val="20"/>
          <w:i w:val="1"/>
          <w:iCs w:val="1"/>
          <w:color w:val="auto"/>
        </w:rPr>
        <w:t>Section 1a(47)</w:t>
      </w:r>
      <w:r>
        <w:rPr>
          <w:rFonts w:ascii="Times New Roman" w:cs="Times New Roman" w:eastAsia="Times New Roman" w:hAnsi="Times New Roman"/>
          <w:sz w:val="20"/>
          <w:szCs w:val="20"/>
          <w:color w:val="auto"/>
        </w:rPr>
        <w:t xml:space="preserve"> of the Commodity Exchange Act.</w:t>
      </w:r>
    </w:p>
    <w:p>
      <w:pPr>
        <w:spacing w:after="0" w:line="165" w:lineRule="exact"/>
        <w:rPr>
          <w:sz w:val="20"/>
          <w:szCs w:val="20"/>
          <w:color w:val="auto"/>
        </w:rPr>
      </w:pPr>
    </w:p>
    <w:p>
      <w:pPr>
        <w:jc w:val="both"/>
        <w:ind w:left="6"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w:t>
      </w:r>
    </w:p>
    <w:p>
      <w:pPr>
        <w:spacing w:after="0" w:line="2" w:lineRule="exact"/>
        <w:rPr>
          <w:sz w:val="20"/>
          <w:szCs w:val="20"/>
          <w:color w:val="auto"/>
        </w:rPr>
      </w:pPr>
    </w:p>
    <w:p>
      <w:pPr>
        <w:jc w:val="both"/>
        <w:ind w:left="6"/>
        <w:spacing w:after="0" w:line="215" w:lineRule="auto"/>
        <w:rPr>
          <w:sz w:val="20"/>
          <w:szCs w:val="20"/>
          <w:color w:val="auto"/>
        </w:rPr>
      </w:pPr>
      <w:r>
        <w:rPr>
          <w:rFonts w:ascii="Times New Roman" w:cs="Times New Roman" w:eastAsia="Times New Roman" w:hAnsi="Times New Roman"/>
          <w:sz w:val="19"/>
          <w:szCs w:val="19"/>
          <w:color w:val="auto"/>
        </w:rPr>
        <w:t xml:space="preserve">out and termination value(s) determined in accordance therewith, such termination value(s), and (b) for any date prior to the date referenced in </w:t>
      </w:r>
      <w:r>
        <w:rPr>
          <w:rFonts w:ascii="Times New Roman" w:cs="Times New Roman" w:eastAsia="Times New Roman" w:hAnsi="Times New Roman"/>
          <w:sz w:val="19"/>
          <w:szCs w:val="19"/>
          <w:b w:val="1"/>
          <w:bCs w:val="1"/>
          <w:i w:val="1"/>
          <w:iCs w:val="1"/>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w:t>
      </w:r>
      <w:r>
        <w:rPr>
          <w:rFonts w:ascii="Times New Roman" w:cs="Times New Roman" w:eastAsia="Times New Roman" w:hAnsi="Times New Roman"/>
          <w:sz w:val="19"/>
          <w:szCs w:val="19"/>
          <w:color w:val="auto"/>
        </w:rPr>
        <w:t>), the amount(s) determined as the mark-to-market value(s) for such Swap Contracts, as determined based upon one or more mid-</w:t>
      </w:r>
    </w:p>
    <w:p>
      <w:pPr>
        <w:jc w:val="both"/>
        <w:ind w:left="6"/>
        <w:spacing w:after="0" w:line="228" w:lineRule="auto"/>
        <w:rPr>
          <w:sz w:val="20"/>
          <w:szCs w:val="20"/>
          <w:color w:val="auto"/>
        </w:rPr>
      </w:pPr>
      <w:r>
        <w:rPr>
          <w:rFonts w:ascii="Times New Roman" w:cs="Times New Roman" w:eastAsia="Times New Roman" w:hAnsi="Times New Roman"/>
          <w:sz w:val="20"/>
          <w:szCs w:val="20"/>
          <w:color w:val="auto"/>
        </w:rPr>
        <w:t>market or other readily available quotations provided by any recognized dealer in such Swap Contracts (which may include a Lender or any Affiliate of a Lender).</w:t>
      </w:r>
    </w:p>
    <w:p>
      <w:pPr>
        <w:spacing w:after="0" w:line="172"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Borrowing</w:t>
      </w:r>
      <w:r>
        <w:rPr>
          <w:rFonts w:ascii="Times New Roman" w:cs="Times New Roman" w:eastAsia="Times New Roman" w:hAnsi="Times New Roman"/>
          <w:sz w:val="20"/>
          <w:szCs w:val="20"/>
          <w:color w:val="auto"/>
        </w:rPr>
        <w:t xml:space="preserve">” means a borrowing of a Swingline Loan pursuant to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Swingline Commitment</w:t>
      </w:r>
      <w:r>
        <w:rPr>
          <w:rFonts w:ascii="Times New Roman" w:cs="Times New Roman" w:eastAsia="Times New Roman" w:hAnsi="Times New Roman"/>
          <w:sz w:val="19"/>
          <w:szCs w:val="19"/>
          <w:color w:val="auto"/>
        </w:rPr>
        <w:t xml:space="preserve">” means, as to any Lender (a) the amount set forth opposite such Lender’s name on </w:t>
      </w:r>
      <w:r>
        <w:rPr>
          <w:rFonts w:ascii="Times New Roman" w:cs="Times New Roman" w:eastAsia="Times New Roman" w:hAnsi="Times New Roman"/>
          <w:sz w:val="19"/>
          <w:szCs w:val="19"/>
          <w:b w:val="1"/>
          <w:bCs w:val="1"/>
          <w:i w:val="1"/>
          <w:iCs w:val="1"/>
          <w:color w:val="auto"/>
        </w:rPr>
        <w:t>Schedule 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01</w:t>
      </w:r>
      <w:r>
        <w:rPr>
          <w:rFonts w:ascii="Times New Roman" w:cs="Times New Roman" w:eastAsia="Times New Roman" w:hAnsi="Times New Roman"/>
          <w:sz w:val="19"/>
          <w:szCs w:val="19"/>
          <w:color w:val="auto"/>
        </w:rPr>
        <w:t xml:space="preserve"> hereof or</w:t>
      </w:r>
    </w:p>
    <w:p>
      <w:pPr>
        <w:spacing w:after="0" w:line="10" w:lineRule="exact"/>
        <w:rPr>
          <w:sz w:val="20"/>
          <w:szCs w:val="20"/>
          <w:color w:val="auto"/>
        </w:rPr>
      </w:pPr>
    </w:p>
    <w:p>
      <w:pPr>
        <w:jc w:val="both"/>
        <w:ind w:left="6" w:hanging="6"/>
        <w:spacing w:after="0" w:line="218" w:lineRule="auto"/>
        <w:tabs>
          <w:tab w:leader="none" w:pos="30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6"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Lender</w:t>
      </w:r>
      <w:r>
        <w:rPr>
          <w:rFonts w:ascii="Times New Roman" w:cs="Times New Roman" w:eastAsia="Times New Roman" w:hAnsi="Times New Roman"/>
          <w:sz w:val="20"/>
          <w:szCs w:val="20"/>
          <w:color w:val="auto"/>
        </w:rPr>
        <w:t>” means Bank of America, in its capacity as provider of Swingline Loans, or any successor swingline lender hereunder.</w:t>
      </w:r>
    </w:p>
    <w:p>
      <w:pPr>
        <w:spacing w:after="0" w:line="184"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 Notice</w:t>
      </w:r>
      <w:r>
        <w:rPr>
          <w:rFonts w:ascii="Times New Roman" w:cs="Times New Roman" w:eastAsia="Times New Roman" w:hAnsi="Times New Roman"/>
          <w:sz w:val="20"/>
          <w:szCs w:val="20"/>
          <w:color w:val="auto"/>
        </w:rPr>
        <w:t xml:space="preserve">” means a notice of a Swingline Borrowing pursuant to </w:t>
      </w:r>
      <w:r>
        <w:rPr>
          <w:rFonts w:ascii="Times New Roman" w:cs="Times New Roman" w:eastAsia="Times New Roman" w:hAnsi="Times New Roman"/>
          <w:sz w:val="20"/>
          <w:szCs w:val="20"/>
          <w:b w:val="1"/>
          <w:bCs w:val="1"/>
          <w:i w:val="1"/>
          <w:iCs w:val="1"/>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b w:val="1"/>
          <w:bCs w:val="1"/>
          <w:i w:val="1"/>
          <w:iCs w:val="1"/>
          <w:color w:val="auto"/>
        </w:rPr>
        <w:t>Exhibit J</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w:t>
      </w:r>
    </w:p>
    <w:p>
      <w:pPr>
        <w:spacing w:after="0" w:line="2" w:lineRule="exact"/>
        <w:rPr>
          <w:sz w:val="20"/>
          <w:szCs w:val="20"/>
          <w:color w:val="auto"/>
        </w:rPr>
      </w:pPr>
    </w:p>
    <w:p>
      <w:pPr>
        <w:ind w:left="6"/>
        <w:spacing w:after="0" w:line="221" w:lineRule="auto"/>
        <w:rPr>
          <w:sz w:val="20"/>
          <w:szCs w:val="20"/>
          <w:color w:val="auto"/>
        </w:rPr>
      </w:pPr>
      <w:r>
        <w:rPr>
          <w:rFonts w:ascii="Times New Roman" w:cs="Times New Roman" w:eastAsia="Times New Roman" w:hAnsi="Times New Roman"/>
          <w:sz w:val="20"/>
          <w:szCs w:val="20"/>
          <w:color w:val="auto"/>
        </w:rPr>
        <w:t>transmission system as shall be approved by the Administrative Agent), appropriately completed and signed by a Responsible Officer of the Borrower.</w:t>
      </w:r>
    </w:p>
    <w:p>
      <w:pPr>
        <w:spacing w:after="0" w:line="185" w:lineRule="exact"/>
        <w:rPr>
          <w:sz w:val="20"/>
          <w:szCs w:val="20"/>
          <w:color w:val="auto"/>
        </w:rPr>
      </w:pPr>
    </w:p>
    <w:p>
      <w:pPr>
        <w:ind w:left="6"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Sublimit</w:t>
      </w:r>
      <w:r>
        <w:rPr>
          <w:rFonts w:ascii="Times New Roman" w:cs="Times New Roman" w:eastAsia="Times New Roman" w:hAnsi="Times New Roman"/>
          <w:sz w:val="20"/>
          <w:szCs w:val="20"/>
          <w:color w:val="auto"/>
        </w:rPr>
        <w:t xml:space="preserve">” means an amount equal to the </w:t>
      </w:r>
      <w:r>
        <w:rPr>
          <w:rFonts w:ascii="Times New Roman" w:cs="Times New Roman" w:eastAsia="Times New Roman" w:hAnsi="Times New Roman"/>
          <w:sz w:val="20"/>
          <w:szCs w:val="20"/>
          <w:i w:val="1"/>
          <w:iCs w:val="1"/>
          <w:color w:val="auto"/>
        </w:rPr>
        <w:t>lesser of</w:t>
      </w:r>
      <w:r>
        <w:rPr>
          <w:rFonts w:ascii="Times New Roman" w:cs="Times New Roman" w:eastAsia="Times New Roman" w:hAnsi="Times New Roman"/>
          <w:sz w:val="20"/>
          <w:szCs w:val="20"/>
          <w:color w:val="auto"/>
        </w:rPr>
        <w:t xml:space="preserve"> (a) $3,000,000 and (b) the Revolving Facility. The Swingline Sublimit is part of, and not in addition to, the Revolving Facility.</w:t>
      </w:r>
    </w:p>
    <w:p>
      <w:pPr>
        <w:spacing w:after="0" w:line="165" w:lineRule="exact"/>
        <w:rPr>
          <w:sz w:val="20"/>
          <w:szCs w:val="20"/>
          <w:color w:val="auto"/>
        </w:rPr>
      </w:pPr>
    </w:p>
    <w:p>
      <w:pPr>
        <w:ind w:left="6"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Synthetic Debt</w:t>
      </w:r>
      <w:r>
        <w:rPr>
          <w:rFonts w:ascii="Times New Roman" w:cs="Times New Roman" w:eastAsia="Times New Roman" w:hAnsi="Times New Roman"/>
          <w:sz w:val="19"/>
          <w:szCs w:val="19"/>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w:t>
      </w:r>
    </w:p>
    <w:p>
      <w:pPr>
        <w:spacing w:after="0" w:line="1" w:lineRule="exact"/>
        <w:rPr>
          <w:sz w:val="20"/>
          <w:szCs w:val="20"/>
          <w:color w:val="auto"/>
        </w:rPr>
      </w:pPr>
    </w:p>
    <w:p>
      <w:pPr>
        <w:ind w:left="6"/>
        <w:spacing w:after="0" w:line="221" w:lineRule="auto"/>
        <w:rPr>
          <w:sz w:val="20"/>
          <w:szCs w:val="20"/>
          <w:color w:val="auto"/>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 or as a liability on the Consolidated balance sheet of such Person and its Subsidiaries in accordance with GAAP.</w:t>
      </w:r>
    </w:p>
    <w:p>
      <w:pPr>
        <w:spacing w:after="0" w:line="183"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w:t>
      </w:r>
    </w:p>
    <w:p>
      <w:pPr>
        <w:jc w:val="both"/>
        <w:ind w:left="6"/>
        <w:spacing w:after="0" w:line="215" w:lineRule="auto"/>
        <w:rPr>
          <w:sz w:val="20"/>
          <w:szCs w:val="20"/>
          <w:color w:val="auto"/>
        </w:rPr>
      </w:pPr>
      <w:r>
        <w:rPr>
          <w:rFonts w:ascii="Times New Roman" w:cs="Times New Roman" w:eastAsia="Times New Roman" w:hAnsi="Times New Roman"/>
          <w:sz w:val="19"/>
          <w:szCs w:val="19"/>
          <w:color w:val="auto"/>
        </w:rPr>
        <w:t>retention lease, or (b) an agreement for the use or possession of property (including Sale and Leaseback Transactions), in each case, creating obligations that do not appear on the balance sheet of such Person but which, upon the application of any Debtor Relief Laws to such Person,</w:t>
      </w:r>
    </w:p>
    <w:p>
      <w:pPr>
        <w:ind w:left="6"/>
        <w:spacing w:after="0"/>
        <w:rPr>
          <w:sz w:val="20"/>
          <w:szCs w:val="20"/>
          <w:color w:val="auto"/>
        </w:rPr>
      </w:pPr>
      <w:r>
        <w:rPr>
          <w:rFonts w:ascii="Times New Roman" w:cs="Times New Roman" w:eastAsia="Times New Roman" w:hAnsi="Times New Roman"/>
          <w:sz w:val="20"/>
          <w:szCs w:val="20"/>
          <w:color w:val="auto"/>
        </w:rPr>
        <w:t>would be characterized as the indebtedness of such Person (without regard to accounting treatment).</w:t>
      </w:r>
    </w:p>
    <w:p>
      <w:pPr>
        <w:spacing w:after="0" w:line="190"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6"/>
          </w:cols>
          <w:pgMar w:left="334" w:top="9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Target</w:t>
      </w:r>
      <w:r>
        <w:rPr>
          <w:rFonts w:ascii="Times New Roman" w:cs="Times New Roman" w:eastAsia="Times New Roman" w:hAnsi="Times New Roman"/>
          <w:sz w:val="20"/>
          <w:szCs w:val="20"/>
          <w:color w:val="auto"/>
        </w:rPr>
        <w:t>” has the meaning set forth in the definition of “</w:t>
      </w:r>
      <w:r>
        <w:rPr>
          <w:rFonts w:ascii="Times New Roman" w:cs="Times New Roman" w:eastAsia="Times New Roman" w:hAnsi="Times New Roman"/>
          <w:sz w:val="20"/>
          <w:szCs w:val="20"/>
          <w:i w:val="1"/>
          <w:iCs w:val="1"/>
          <w:color w:val="auto"/>
        </w:rPr>
        <w:t>Permitted Acquisition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TARGET Day</w:t>
      </w:r>
      <w:r>
        <w:rPr>
          <w:rFonts w:ascii="Times New Roman" w:cs="Times New Roman" w:eastAsia="Times New Roman" w:hAnsi="Times New Roman"/>
          <w:sz w:val="20"/>
          <w:szCs w:val="20"/>
          <w:color w:val="auto"/>
        </w:rPr>
        <w:t>” means any day on which T2 is open for the settlement of payments in Euro.</w:t>
      </w:r>
    </w:p>
    <w:p>
      <w:pPr>
        <w:spacing w:after="0" w:line="202"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w:t>
      </w:r>
      <w:r>
        <w:rPr>
          <w:rFonts w:ascii="Times New Roman" w:cs="Times New Roman" w:eastAsia="Times New Roman" w:hAnsi="Times New Roman"/>
          <w:sz w:val="20"/>
          <w:szCs w:val="20"/>
          <w:color w:val="auto"/>
        </w:rPr>
        <w:t xml:space="preserve">” means, for the applicable corresponding Interest Period of BSBY (or, if any Interest Period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correspond to an interest period applicable to SOFR, the closest corresponding interest period of SOFR, and, if such interest period of SOFR corresponds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equally to two (2) Interest Periods of BSBY, the corresponding interest period of the shorter duration shall be applied), the forward-looking term rate based on SOFR that has been selected or recommended by the Relevant Governmental Body.</w:t>
      </w:r>
    </w:p>
    <w:p>
      <w:pPr>
        <w:spacing w:after="0" w:line="185"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Amendment</w:t>
      </w:r>
      <w:r>
        <w:rPr>
          <w:rFonts w:ascii="Times New Roman" w:cs="Times New Roman" w:eastAsia="Times New Roman" w:hAnsi="Times New Roman"/>
          <w:sz w:val="20"/>
          <w:szCs w:val="20"/>
          <w:color w:val="auto"/>
        </w:rPr>
        <w:t>” means that certain Third Amendment to Credit Agreement, dated as of the Third Amendment Effective Date, by and among the Borrower, the Guarantors, the Lenders, the L/C Issuer and the Administrative Agent.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Amendment Effective Date</w:t>
      </w:r>
      <w:r>
        <w:rPr>
          <w:rFonts w:ascii="Times New Roman" w:cs="Times New Roman" w:eastAsia="Times New Roman" w:hAnsi="Times New Roman"/>
          <w:sz w:val="20"/>
          <w:szCs w:val="20"/>
          <w:color w:val="auto"/>
        </w:rPr>
        <w:t>” means October 4, 2023.</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Threshold Amount</w:t>
      </w:r>
      <w:r>
        <w:rPr>
          <w:rFonts w:ascii="Times New Roman" w:cs="Times New Roman" w:eastAsia="Times New Roman" w:hAnsi="Times New Roman"/>
          <w:sz w:val="20"/>
          <w:szCs w:val="20"/>
          <w:color w:val="auto"/>
        </w:rPr>
        <w:t>” means $1,000,000.</w:t>
      </w:r>
    </w:p>
    <w:p>
      <w:pPr>
        <w:spacing w:after="0" w:line="21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Credit Exposure</w:t>
      </w:r>
      <w:r>
        <w:rPr>
          <w:rFonts w:ascii="Times New Roman" w:cs="Times New Roman" w:eastAsia="Times New Roman" w:hAnsi="Times New Roman"/>
          <w:sz w:val="20"/>
          <w:szCs w:val="20"/>
          <w:color w:val="auto"/>
        </w:rPr>
        <w:t>” means, as to any Lender at any time, the unused Commitments and Revolving Exposure of such Lender at such time.</w:t>
      </w:r>
    </w:p>
    <w:p>
      <w:pPr>
        <w:spacing w:after="0" w:line="18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Exposure</w:t>
      </w:r>
      <w:r>
        <w:rPr>
          <w:rFonts w:ascii="Times New Roman" w:cs="Times New Roman" w:eastAsia="Times New Roman" w:hAnsi="Times New Roman"/>
          <w:sz w:val="20"/>
          <w:szCs w:val="20"/>
          <w:color w:val="auto"/>
        </w:rPr>
        <w:t>” means, as to any Lender at any time, the unused Commitments and Revolving Exposure of such Lender at such time.</w:t>
      </w:r>
    </w:p>
    <w:p>
      <w:pPr>
        <w:spacing w:after="0" w:line="16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Outstandings</w:t>
      </w:r>
      <w:r>
        <w:rPr>
          <w:rFonts w:ascii="Times New Roman" w:cs="Times New Roman" w:eastAsia="Times New Roman" w:hAnsi="Times New Roman"/>
          <w:sz w:val="20"/>
          <w:szCs w:val="20"/>
          <w:color w:val="auto"/>
        </w:rPr>
        <w:t>” means the aggregate Outstanding Amount of all Revolving Loans, Swingline Loans and L/C Obligations.</w:t>
      </w:r>
    </w:p>
    <w:p>
      <w:pPr>
        <w:spacing w:after="0" w:line="16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Type</w:t>
      </w:r>
      <w:r>
        <w:rPr>
          <w:rFonts w:ascii="Times New Roman" w:cs="Times New Roman" w:eastAsia="Times New Roman" w:hAnsi="Times New Roman"/>
          <w:sz w:val="20"/>
          <w:szCs w:val="20"/>
          <w:color w:val="auto"/>
        </w:rPr>
        <w:t>” means, with respect to a Loan, its character as a Base Rate Loan, an Alternative Currency Daily Rate Loan, an Alternative Currency Term Rate Loan or a BSBY Rate Loan.</w:t>
      </w:r>
    </w:p>
    <w:p>
      <w:pPr>
        <w:spacing w:after="0" w:line="17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UCC</w:t>
      </w:r>
      <w:r>
        <w:rPr>
          <w:rFonts w:ascii="Times New Roman" w:cs="Times New Roman" w:eastAsia="Times New Roman" w:hAnsi="Times New Roman"/>
          <w:sz w:val="19"/>
          <w:szCs w:val="19"/>
          <w:color w:val="auto"/>
        </w:rPr>
        <w:t xml:space="preserve">” means the Uniform Commercial Code as in effect in the State of Texas;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perfection or the effect of perfection or non-perfection or the priority of any security interest in any Collateral is governed by the Uniform Commercial Code as in effect in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jurisdiction other than the State of Texas,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UCP</w:t>
      </w:r>
      <w:r>
        <w:rPr>
          <w:rFonts w:ascii="Times New Roman" w:cs="Times New Roman" w:eastAsia="Times New Roman" w:hAnsi="Times New Roman"/>
          <w:sz w:val="20"/>
          <w:szCs w:val="20"/>
          <w:color w:val="auto"/>
        </w:rPr>
        <w:t>” means the Uniform Customs and Practice for Documentary Credits, International Chamber of Commerce Publication No. 600 (or such later version thereof as may be in effect at the applicable time).</w:t>
      </w:r>
    </w:p>
    <w:p>
      <w:pPr>
        <w:spacing w:after="0" w:line="17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Financial Institution</w:t>
      </w:r>
      <w:r>
        <w:rPr>
          <w:rFonts w:ascii="Times New Roman" w:cs="Times New Roman" w:eastAsia="Times New Roman" w:hAnsi="Times New Roman"/>
          <w:sz w:val="20"/>
          <w:szCs w:val="20"/>
          <w:color w:val="auto"/>
        </w:rPr>
        <w:t xml:space="preserve">” means any BRRD Undertaking (as such term is defined under the PRA Rulebook (as amended form time to time) promulgated by the United Kingdom Prudential Regulation Authority) or any person subject to </w:t>
      </w:r>
      <w:r>
        <w:rPr>
          <w:rFonts w:ascii="Times New Roman" w:cs="Times New Roman" w:eastAsia="Times New Roman" w:hAnsi="Times New Roman"/>
          <w:sz w:val="20"/>
          <w:szCs w:val="20"/>
          <w:i w:val="1"/>
          <w:iCs w:val="1"/>
          <w:color w:val="auto"/>
        </w:rPr>
        <w:t>IFPRU 11.6</w:t>
      </w:r>
      <w:r>
        <w:rPr>
          <w:rFonts w:ascii="Times New Roman" w:cs="Times New Roman" w:eastAsia="Times New Roman" w:hAnsi="Times New Roman"/>
          <w:sz w:val="20"/>
          <w:szCs w:val="20"/>
          <w:color w:val="auto"/>
        </w:rPr>
        <w:t xml:space="preserve"> of the FCA</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2.03(f).</w:t>
      </w:r>
    </w:p>
    <w:p>
      <w:pPr>
        <w:spacing w:after="0" w:line="216" w:lineRule="exact"/>
        <w:rPr>
          <w:sz w:val="20"/>
          <w:szCs w:val="20"/>
          <w:color w:val="auto"/>
        </w:rPr>
      </w:pPr>
    </w:p>
    <w:p>
      <w:pPr>
        <w:jc w:val="both"/>
        <w:ind w:lef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Government Securities Business Day</w:t>
      </w:r>
      <w:r>
        <w:rPr>
          <w:rFonts w:ascii="Times New Roman" w:cs="Times New Roman" w:eastAsia="Times New Roman" w:hAnsi="Times New Roman"/>
          <w:sz w:val="20"/>
          <w:szCs w:val="20"/>
          <w:color w:val="auto"/>
        </w:rPr>
        <w:t>” means any Business Day, except any Business Day on which any of the Securities Industry and Financial Markets Association, the New York Stock Exchange or the Federal Reserve Bank of New York is not open for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business because such day is a legal holiday under the federal laws of the United States or the laws of the State of New York, as applicable.</w:t>
      </w:r>
    </w:p>
    <w:p>
      <w:pPr>
        <w:spacing w:after="0" w:line="190" w:lineRule="exact"/>
        <w:rPr>
          <w:sz w:val="20"/>
          <w:szCs w:val="20"/>
          <w:color w:val="auto"/>
        </w:rPr>
      </w:pPr>
    </w:p>
    <w:p>
      <w:pPr>
        <w:jc w:val="both"/>
        <w:ind w:lef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Loan Party</w:t>
      </w:r>
      <w:r>
        <w:rPr>
          <w:rFonts w:ascii="Times New Roman" w:cs="Times New Roman" w:eastAsia="Times New Roman" w:hAnsi="Times New Roman"/>
          <w:sz w:val="20"/>
          <w:szCs w:val="20"/>
          <w:color w:val="auto"/>
        </w:rPr>
        <w:t>” means any Loan Party that is organized under the laws of the United States, any state thereof for the District of Columbia.</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means any Person that is a “</w:t>
      </w:r>
      <w:r>
        <w:rPr>
          <w:rFonts w:ascii="Times New Roman" w:cs="Times New Roman" w:eastAsia="Times New Roman" w:hAnsi="Times New Roman"/>
          <w:sz w:val="20"/>
          <w:szCs w:val="20"/>
          <w:i w:val="1"/>
          <w:iCs w:val="1"/>
          <w:color w:val="auto"/>
        </w:rPr>
        <w:t>United States Person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i w:val="1"/>
          <w:iCs w:val="1"/>
          <w:color w:val="auto"/>
        </w:rPr>
        <w:t>Section 7701(a)(30)</w:t>
      </w:r>
      <w:r>
        <w:rPr>
          <w:rFonts w:ascii="Times New Roman" w:cs="Times New Roman" w:eastAsia="Times New Roman" w:hAnsi="Times New Roman"/>
          <w:sz w:val="20"/>
          <w:szCs w:val="20"/>
          <w:color w:val="auto"/>
        </w:rPr>
        <w:t xml:space="preserve"> of the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11.21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b w:val="1"/>
          <w:bCs w:val="1"/>
          <w:i w:val="1"/>
          <w:iCs w:val="1"/>
          <w:color w:val="auto"/>
        </w:rPr>
        <w:t>Section 3.01(f)(ii)(B)(3)</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Voting Stock</w:t>
      </w:r>
      <w:r>
        <w:rPr>
          <w:rFonts w:ascii="Times New Roman" w:cs="Times New Roman" w:eastAsia="Times New Roman" w:hAnsi="Times New Roman"/>
          <w:sz w:val="20"/>
          <w:szCs w:val="20"/>
          <w:color w:val="auto"/>
        </w:rPr>
        <w:t>” means, with respect to any Person, Equity Interests issued by such Person the holders of which are ordinarily, in the</w:t>
      </w:r>
    </w:p>
    <w:p>
      <w:pPr>
        <w:ind w:left="20"/>
        <w:spacing w:after="0" w:line="221" w:lineRule="auto"/>
        <w:rPr>
          <w:sz w:val="20"/>
          <w:szCs w:val="20"/>
          <w:color w:val="auto"/>
        </w:rPr>
      </w:pPr>
      <w:r>
        <w:rPr>
          <w:rFonts w:ascii="Times New Roman" w:cs="Times New Roman" w:eastAsia="Times New Roman" w:hAnsi="Times New Roman"/>
          <w:sz w:val="20"/>
          <w:szCs w:val="20"/>
          <w:color w:val="auto"/>
        </w:rPr>
        <w:t>absence of contingencies, entitled to vote for the election of directors (or persons performing similar functions) of such Person, even though the right to so vote has been suspended by the happening of such contingency.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Withholding Agent</w:t>
      </w:r>
      <w:r>
        <w:rPr>
          <w:rFonts w:ascii="Times New Roman" w:cs="Times New Roman" w:eastAsia="Times New Roman" w:hAnsi="Times New Roman"/>
          <w:sz w:val="20"/>
          <w:szCs w:val="20"/>
          <w:color w:val="auto"/>
        </w:rPr>
        <w:t>” means the Borrower and the Administrative Agent.</w:t>
      </w:r>
    </w:p>
    <w:p>
      <w:pPr>
        <w:spacing w:after="0" w:line="216" w:lineRule="exact"/>
        <w:rPr>
          <w:sz w:val="20"/>
          <w:szCs w:val="20"/>
          <w:color w:val="auto"/>
        </w:rPr>
      </w:pPr>
    </w:p>
    <w:p>
      <w:pPr>
        <w:ind w:lef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w:t>
      </w:r>
    </w:p>
    <w:p>
      <w:pPr>
        <w:spacing w:after="0" w:line="2" w:lineRule="exact"/>
        <w:rPr>
          <w:sz w:val="20"/>
          <w:szCs w:val="20"/>
          <w:color w:val="auto"/>
        </w:rPr>
      </w:pPr>
    </w:p>
    <w:p>
      <w:pPr>
        <w:ind w:left="20"/>
        <w:spacing w:after="0" w:line="215" w:lineRule="auto"/>
        <w:rPr>
          <w:sz w:val="20"/>
          <w:szCs w:val="20"/>
          <w:color w:val="auto"/>
        </w:rPr>
      </w:pPr>
      <w:r>
        <w:rPr>
          <w:rFonts w:ascii="Times New Roman" w:cs="Times New Roman" w:eastAsia="Times New Roman" w:hAnsi="Times New Roman"/>
          <w:sz w:val="19"/>
          <w:szCs w:val="19"/>
          <w:color w:val="auto"/>
        </w:rPr>
        <w:t>write-down and conversion powers are described in the EU Bail-In Legislation Schedule, and (b) with respect to the United Kingdom, any powers of the applicable Resolution Authority under the Bail-In Legislation to cancel, reduce, modify or change the form of a liability of any</w:t>
      </w:r>
    </w:p>
    <w:p>
      <w:pPr>
        <w:ind w:left="20"/>
        <w:spacing w:after="0" w:line="211" w:lineRule="auto"/>
        <w:rPr>
          <w:sz w:val="20"/>
          <w:szCs w:val="20"/>
          <w:color w:val="auto"/>
        </w:rPr>
      </w:pPr>
      <w:r>
        <w:rPr>
          <w:rFonts w:ascii="Times New Roman" w:cs="Times New Roman" w:eastAsia="Times New Roman" w:hAnsi="Times New Roman"/>
          <w:sz w:val="20"/>
          <w:szCs w:val="20"/>
          <w:color w:val="auto"/>
        </w:rPr>
        <w:t>UK Financial Institution or any contract or instrument under which that liability arises, to convert all or part of that liability into shares,</w:t>
      </w:r>
    </w:p>
    <w:p>
      <w:pPr>
        <w:ind w:left="20"/>
        <w:spacing w:after="0" w:line="204" w:lineRule="auto"/>
        <w:rPr>
          <w:sz w:val="20"/>
          <w:szCs w:val="20"/>
          <w:color w:val="auto"/>
        </w:rPr>
      </w:pPr>
      <w:r>
        <w:rPr>
          <w:rFonts w:ascii="Times New Roman" w:cs="Times New Roman" w:eastAsia="Times New Roman" w:hAnsi="Times New Roman"/>
          <w:sz w:val="20"/>
          <w:szCs w:val="20"/>
          <w:color w:val="auto"/>
        </w:rPr>
        <w:t>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related to or ancillary to any of those powers.</w:t>
      </w:r>
    </w:p>
    <w:p>
      <w:pPr>
        <w:spacing w:after="0" w:line="19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color w:val="auto"/>
        </w:rPr>
        <w:t>Other Interpretive Provisions</w:t>
      </w:r>
      <w:r>
        <w:rPr>
          <w:rFonts w:ascii="Times New Roman" w:cs="Times New Roman" w:eastAsia="Times New Roman" w:hAnsi="Times New Roman"/>
          <w:sz w:val="20"/>
          <w:szCs w:val="20"/>
          <w:color w:val="auto"/>
        </w:rPr>
        <w:t>. With reference to this Agreement and each other Loan Document, unless otherwise specified herein or in such other Loan Document:</w:t>
      </w:r>
    </w:p>
    <w:p>
      <w:pPr>
        <w:spacing w:after="0" w:line="161" w:lineRule="exact"/>
        <w:rPr>
          <w:sz w:val="20"/>
          <w:szCs w:val="20"/>
          <w:color w:val="auto"/>
        </w:rPr>
      </w:pPr>
    </w:p>
    <w:p>
      <w:pPr>
        <w:jc w:val="both"/>
        <w:ind w:firstLine="656"/>
        <w:spacing w:after="0" w:line="216" w:lineRule="auto"/>
        <w:tabs>
          <w:tab w:leader="none" w:pos="12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supplemented from time to time (subject to any restrictions on such amendments, supplements or modifications set forth herein or in any</w:t>
      </w:r>
    </w:p>
    <w:p>
      <w:pPr>
        <w:ind w:left="20"/>
        <w:spacing w:after="0" w:line="204" w:lineRule="auto"/>
        <w:rPr>
          <w:sz w:val="20"/>
          <w:szCs w:val="20"/>
          <w:color w:val="auto"/>
        </w:rPr>
      </w:pPr>
      <w:r>
        <w:rPr>
          <w:rFonts w:ascii="Times New Roman" w:cs="Times New Roman" w:eastAsia="Times New Roman" w:hAnsi="Times New Roman"/>
          <w:sz w:val="20"/>
          <w:szCs w:val="20"/>
          <w:color w:val="auto"/>
        </w:rPr>
        <w:t>other Loan Document), (ii) any reference herein to any Person shall be construed to include such Person’s successors and assigns, (iii) the words “hereto,” “herein,” “hereof” and “hereunder,” and words of similar import when used in any Loan Document, shall be construed to</w:t>
      </w:r>
    </w:p>
    <w:p>
      <w:pPr>
        <w:jc w:val="center"/>
        <w:spacing w:after="0" w:line="211" w:lineRule="auto"/>
        <w:rPr>
          <w:sz w:val="20"/>
          <w:szCs w:val="20"/>
          <w:color w:val="auto"/>
        </w:rPr>
      </w:pPr>
      <w:r>
        <w:rPr>
          <w:rFonts w:ascii="Times New Roman" w:cs="Times New Roman" w:eastAsia="Times New Roman" w:hAnsi="Times New Roman"/>
          <w:sz w:val="20"/>
          <w:szCs w:val="20"/>
          <w:color w:val="auto"/>
        </w:rPr>
        <w:t>refer to such Loan Document in its entirety and not to any particular provision thereof, (iv) all references in a Loan Document to Articles,</w:t>
      </w:r>
    </w:p>
    <w:p>
      <w:pPr>
        <w:spacing w:after="0" w:line="1" w:lineRule="exact"/>
        <w:rPr>
          <w:sz w:val="20"/>
          <w:szCs w:val="20"/>
          <w:color w:val="auto"/>
        </w:rPr>
      </w:pPr>
    </w:p>
    <w:p>
      <w:pPr>
        <w:ind w:left="20"/>
        <w:spacing w:after="0" w:line="215" w:lineRule="auto"/>
        <w:rPr>
          <w:sz w:val="20"/>
          <w:szCs w:val="20"/>
          <w:color w:val="auto"/>
        </w:rPr>
      </w:pPr>
      <w:r>
        <w:rPr>
          <w:rFonts w:ascii="Times New Roman" w:cs="Times New Roman" w:eastAsia="Times New Roman" w:hAnsi="Times New Roman"/>
          <w:sz w:val="19"/>
          <w:szCs w:val="19"/>
          <w:color w:val="auto"/>
        </w:rPr>
        <w:t>Sections, Preliminary Statements, Exhibits and Schedules shall be construed to refer to Articles and Sections of, and Preliminary Statements, Exhibits and Schedules to, the Loan Document in which such references appear, (v) any reference to any law shall include all statutory and</w:t>
      </w:r>
    </w:p>
    <w:p>
      <w:pPr>
        <w:ind w:left="20"/>
        <w:spacing w:after="0" w:line="222" w:lineRule="auto"/>
        <w:rPr>
          <w:sz w:val="20"/>
          <w:szCs w:val="20"/>
          <w:color w:val="auto"/>
        </w:rPr>
      </w:pPr>
      <w:r>
        <w:rPr>
          <w:rFonts w:ascii="Times New Roman" w:cs="Times New Roman" w:eastAsia="Times New Roman" w:hAnsi="Times New Roman"/>
          <w:sz w:val="19"/>
          <w:szCs w:val="19"/>
          <w:color w:val="auto"/>
        </w:rPr>
        <w:t>regulatory rules, regulations, orders and provisions consolidating, amending, replacing or interpreting such law and any reference to any law,</w:t>
      </w:r>
    </w:p>
    <w:p>
      <w:pPr>
        <w:ind w:left="20"/>
        <w:spacing w:after="0" w:line="204" w:lineRule="auto"/>
        <w:rPr>
          <w:sz w:val="20"/>
          <w:szCs w:val="20"/>
          <w:color w:val="auto"/>
        </w:rPr>
      </w:pPr>
      <w:r>
        <w:rPr>
          <w:rFonts w:ascii="Times New Roman" w:cs="Times New Roman" w:eastAsia="Times New Roman" w:hAnsi="Times New Roman"/>
          <w:sz w:val="20"/>
          <w:szCs w:val="20"/>
          <w:color w:val="auto"/>
        </w:rPr>
        <w:t>rule or regulation shall, unless otherwise specified, refer to such law, rule or regulation as amended, modified, extended, restated, replaced or supplemented from time to time, and (vi) the words “asset” and “property” shall be construed to have the same meaning and effect and to</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refer to any and all tangible and intangible assets and properties, including cash, securities, accounts and contract rights.</w:t>
      </w:r>
    </w:p>
    <w:p>
      <w:pPr>
        <w:spacing w:after="0" w:line="194" w:lineRule="exact"/>
        <w:rPr>
          <w:sz w:val="20"/>
          <w:szCs w:val="20"/>
          <w:color w:val="auto"/>
        </w:rPr>
      </w:pPr>
    </w:p>
    <w:p>
      <w:pPr>
        <w:ind w:firstLine="656"/>
        <w:spacing w:after="0"/>
        <w:tabs>
          <w:tab w:leader="none" w:pos="126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11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(d)Any reference herein to a merger, transfer, consolidation, amalgamation, assignment, sale, disposition or transfer, or similar term, shall be deemed to apply to a division of or by a limited liability company, or an allocation of assets to a series of a limited liability company</w:t>
      </w:r>
    </w:p>
    <w:p>
      <w:pPr>
        <w:spacing w:after="0" w:line="215" w:lineRule="auto"/>
        <w:rPr>
          <w:sz w:val="20"/>
          <w:szCs w:val="20"/>
          <w:color w:val="auto"/>
        </w:rPr>
      </w:pPr>
      <w:r>
        <w:rPr>
          <w:rFonts w:ascii="Times New Roman" w:cs="Times New Roman" w:eastAsia="Times New Roman" w:hAnsi="Times New Roman"/>
          <w:sz w:val="19"/>
          <w:szCs w:val="19"/>
          <w:color w:val="auto"/>
        </w:rPr>
        <w:t>(or the unwinding of such a division or allocation), as if it were a merger, transfer, consolidation, amalgamation, assignment, sale, disposition or transfer, or similar term, as applicable, to, of or with a separate Person. Any division of a limited liability company shall constitute a</w:t>
      </w:r>
    </w:p>
    <w:p>
      <w:pPr>
        <w:spacing w:after="0" w:line="228" w:lineRule="auto"/>
        <w:rPr>
          <w:sz w:val="20"/>
          <w:szCs w:val="20"/>
          <w:color w:val="auto"/>
        </w:rPr>
      </w:pPr>
      <w:r>
        <w:rPr>
          <w:rFonts w:ascii="Times New Roman" w:cs="Times New Roman" w:eastAsia="Times New Roman" w:hAnsi="Times New Roman"/>
          <w:sz w:val="20"/>
          <w:szCs w:val="20"/>
          <w:color w:val="auto"/>
        </w:rPr>
        <w:t>separate Person hereunder (and each division of any limited liability company that is a Subsidiary, joint venture or any other like term shall also constitute such a Person or entity).</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b w:val="1"/>
          <w:bCs w:val="1"/>
          <w:color w:val="auto"/>
        </w:rPr>
        <w:t>Accounting Terms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4" w:lineRule="auto"/>
        <w:tabs>
          <w:tab w:leader="none" w:pos="12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w:t>
      </w:r>
    </w:p>
    <w:p>
      <w:pPr>
        <w:spacing w:after="0" w:line="199" w:lineRule="auto"/>
        <w:rPr>
          <w:sz w:val="20"/>
          <w:szCs w:val="20"/>
          <w:color w:val="auto"/>
        </w:rPr>
      </w:pPr>
      <w:r>
        <w:rPr>
          <w:rFonts w:ascii="Times New Roman" w:cs="Times New Roman" w:eastAsia="Times New Roman" w:hAnsi="Times New Roman"/>
          <w:sz w:val="20"/>
          <w:szCs w:val="20"/>
          <w:color w:val="auto"/>
        </w:rPr>
        <w:t>purposes of determining compliance with any covenant (including the computation of any financial covenant) contained herein,</w:t>
      </w:r>
    </w:p>
    <w:p>
      <w:pPr>
        <w:spacing w:after="0" w:line="1" w:lineRule="exact"/>
        <w:rPr>
          <w:sz w:val="20"/>
          <w:szCs w:val="20"/>
          <w:color w:val="auto"/>
        </w:rPr>
      </w:pPr>
    </w:p>
    <w:p>
      <w:pPr>
        <w:jc w:val="both"/>
        <w:ind w:firstLine="8"/>
        <w:spacing w:after="0" w:line="212" w:lineRule="auto"/>
        <w:tabs>
          <w:tab w:leader="none" w:pos="24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 its Subsidiaries shall be deemed to be carried at 100% of the outstanding principal amount thereof, and the effects of FASB ASC 825 on financial liabilities shall be disregarded and (ii)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w:t>
      </w:r>
      <w:r>
        <w:rPr>
          <w:rFonts w:ascii="Times New Roman" w:cs="Times New Roman" w:eastAsia="Times New Roman" w:hAnsi="Times New Roman"/>
          <w:sz w:val="20"/>
          <w:szCs w:val="20"/>
          <w:i w:val="1"/>
          <w:iCs w:val="1"/>
          <w:color w:val="auto"/>
        </w:rPr>
        <w:t>fair value</w:t>
      </w:r>
      <w:r>
        <w:rPr>
          <w:rFonts w:ascii="Times New Roman" w:cs="Times New Roman" w:eastAsia="Times New Roman" w:hAnsi="Times New Roman"/>
          <w:sz w:val="20"/>
          <w:szCs w:val="20"/>
          <w:color w:val="auto"/>
        </w:rPr>
        <w:t>”, as defined therein. For purposes of determining the amount of any outstanding Indebtedness, no effect shall be given to (x) any election by the Borrower to measure an item of Indebtedness using fair value (as permitted by Financial Accounting Standards Board Accounting Standards Codification 825-10-25 (formerly known as FASB 159) or any similar accounting standard) or (y) any change in accounting for leases pursuant to GAAP resulting from the implementation of Financial Accounting Standards Board ASU No. 2016-02, Leases (Topic 842),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firstLine="6"/>
        <w:spacing w:after="0"/>
        <w:rPr>
          <w:sz w:val="20"/>
          <w:szCs w:val="20"/>
          <w:color w:val="auto"/>
        </w:rPr>
      </w:pPr>
      <w:r>
        <w:rPr>
          <w:rFonts w:ascii="Times New Roman" w:cs="Times New Roman" w:eastAsia="Times New Roman" w:hAnsi="Times New Roman"/>
          <w:sz w:val="20"/>
          <w:szCs w:val="20"/>
          <w:color w:val="auto"/>
        </w:rPr>
        <w:t>the extent such adoption would require recognition of a lease liability where such lease (or similar arrangement) would not have required a lease liability under GAAP as in effect on December 31, 2015.</w:t>
      </w:r>
    </w:p>
    <w:p>
      <w:pPr>
        <w:spacing w:after="0" w:line="184" w:lineRule="exact"/>
        <w:rPr>
          <w:sz w:val="20"/>
          <w:szCs w:val="20"/>
          <w:color w:val="auto"/>
        </w:rPr>
      </w:pPr>
    </w:p>
    <w:p>
      <w:pPr>
        <w:jc w:val="both"/>
        <w:ind w:firstLine="656"/>
        <w:spacing w:after="0" w:line="213" w:lineRule="auto"/>
        <w:tabs>
          <w:tab w:leader="none" w:pos="12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Changes in GAAP</w:t>
      </w:r>
      <w:r>
        <w:rPr>
          <w:rFonts w:ascii="Times New Roman" w:cs="Times New Roman" w:eastAsia="Times New Roman" w:hAnsi="Times New Roman"/>
          <w:sz w:val="20"/>
          <w:szCs w:val="20"/>
          <w:color w:val="auto"/>
        </w:rPr>
        <w:t>. If at any time any change in GAAP (including the adoption of IFRS) would affect the computation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62"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 Forma Treatment</w:t>
      </w:r>
      <w:r>
        <w:rPr>
          <w:rFonts w:ascii="Times New Roman" w:cs="Times New Roman" w:eastAsia="Times New Roman" w:hAnsi="Times New Roman"/>
          <w:sz w:val="20"/>
          <w:szCs w:val="20"/>
          <w:color w:val="auto"/>
        </w:rPr>
        <w:t>. Each Disposition of all or substantially all of a line of business, and each Acquisition,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and its Subsidiaries that is consummated during any Measurement Period shall, for purposes of determining compliance with the financial covenants set forth in </w:t>
      </w:r>
      <w:r>
        <w:rPr>
          <w:rFonts w:ascii="Times New Roman" w:cs="Times New Roman" w:eastAsia="Times New Roman" w:hAnsi="Times New Roman"/>
          <w:sz w:val="20"/>
          <w:szCs w:val="20"/>
          <w:b w:val="1"/>
          <w:bCs w:val="1"/>
          <w:i w:val="1"/>
          <w:iCs w:val="1"/>
          <w:color w:val="auto"/>
        </w:rPr>
        <w:t>Section 7.11</w:t>
      </w:r>
      <w:r>
        <w:rPr>
          <w:rFonts w:ascii="Times New Roman" w:cs="Times New Roman" w:eastAsia="Times New Roman" w:hAnsi="Times New Roman"/>
          <w:sz w:val="20"/>
          <w:szCs w:val="20"/>
          <w:color w:val="auto"/>
        </w:rPr>
        <w:t xml:space="preserve"> and for purposes of determining the Applicable Rate, be given Pro Forma Effect as of the first day of such Measurement Period.</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b w:val="1"/>
          <w:bCs w:val="1"/>
          <w:color w:val="auto"/>
        </w:rPr>
        <w:t>Rounding</w:t>
      </w:r>
      <w:r>
        <w:rPr>
          <w:rFonts w:ascii="Times New Roman" w:cs="Times New Roman" w:eastAsia="Times New Roman" w:hAnsi="Times New Roman"/>
          <w:sz w:val="20"/>
          <w:szCs w:val="20"/>
          <w:color w:val="auto"/>
        </w:rPr>
        <w:t>. Any financial ratios required to be maintained by the Borrower pursuant to this Agreement shall be calculated by dividing the appropriate component by the other component, carrying the result to one place more than the number of places by which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ratio is expressed herein and rounding the result up or down to the nearest number (with a rounding-up if there is no nearest number).</w:t>
      </w:r>
    </w:p>
    <w:p>
      <w:pPr>
        <w:spacing w:after="0" w:line="14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Central time (daylight or standard, as applicable).</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b w:val="1"/>
          <w:bCs w:val="1"/>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w:t>
      </w:r>
    </w:p>
    <w:p>
      <w:pPr>
        <w:spacing w:after="0" w:line="213" w:lineRule="auto"/>
        <w:rPr>
          <w:sz w:val="20"/>
          <w:szCs w:val="20"/>
          <w:color w:val="auto"/>
        </w:rPr>
      </w:pPr>
      <w:r>
        <w:rPr>
          <w:rFonts w:ascii="Times New Roman" w:cs="Times New Roman" w:eastAsia="Times New Roman" w:hAnsi="Times New Roman"/>
          <w:sz w:val="20"/>
          <w:szCs w:val="20"/>
          <w:color w:val="auto"/>
        </w:rPr>
        <w:t>Letter of Credit that, by its terms or the terms of any Issuer Document related thereto, provides for one or more automatic increases in the</w:t>
      </w:r>
    </w:p>
    <w:p>
      <w:pPr>
        <w:spacing w:after="0" w:line="221" w:lineRule="auto"/>
        <w:rPr>
          <w:sz w:val="20"/>
          <w:szCs w:val="20"/>
          <w:color w:val="auto"/>
        </w:rPr>
      </w:pPr>
      <w:r>
        <w:rPr>
          <w:rFonts w:ascii="Times New Roman" w:cs="Times New Roman" w:eastAsia="Times New Roman" w:hAnsi="Times New Roman"/>
          <w:sz w:val="20"/>
          <w:szCs w:val="20"/>
          <w:color w:val="auto"/>
        </w:rPr>
        <w:t>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b w:val="1"/>
          <w:bCs w:val="1"/>
          <w:color w:val="auto"/>
        </w:rPr>
        <w:t>UCC Terms</w:t>
      </w:r>
      <w:r>
        <w:rPr>
          <w:rFonts w:ascii="Times New Roman" w:cs="Times New Roman" w:eastAsia="Times New Roman" w:hAnsi="Times New Roman"/>
          <w:sz w:val="20"/>
          <w:szCs w:val="20"/>
          <w:color w:val="auto"/>
        </w:rPr>
        <w:t>. Terms defined in the UCC in effect on the Closing Date and not otherwise defined herein shall, unless the</w:t>
      </w:r>
    </w:p>
    <w:p>
      <w:pPr>
        <w:spacing w:after="0" w:line="221" w:lineRule="auto"/>
        <w:rPr>
          <w:sz w:val="20"/>
          <w:szCs w:val="20"/>
          <w:color w:val="auto"/>
        </w:rPr>
      </w:pPr>
      <w:r>
        <w:rPr>
          <w:rFonts w:ascii="Times New Roman" w:cs="Times New Roman" w:eastAsia="Times New Roman" w:hAnsi="Times New Roman"/>
          <w:sz w:val="20"/>
          <w:szCs w:val="20"/>
          <w:color w:val="auto"/>
        </w:rPr>
        <w:t>context otherwise indicates, have the meanings provided by those definitions. Subject to the foregoing, the term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refers, as of any date of determination, to the UCC then in effect.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b w:val="1"/>
          <w:bCs w:val="1"/>
          <w:color w:val="auto"/>
        </w:rPr>
        <w:t>Exchange Rates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Currency Equivalents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17" w:lineRule="auto"/>
        <w:tabs>
          <w:tab w:leader="none" w:pos="128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firstLine="6"/>
        <w:spacing w:after="0"/>
        <w:rPr>
          <w:sz w:val="20"/>
          <w:szCs w:val="20"/>
          <w:color w:val="auto"/>
        </w:rPr>
      </w:pPr>
      <w:r>
        <w:rPr>
          <w:rFonts w:ascii="Times New Roman" w:cs="Times New Roman" w:eastAsia="Times New Roman" w:hAnsi="Times New Roman"/>
          <w:sz w:val="20"/>
          <w:szCs w:val="20"/>
          <w:color w:val="auto"/>
        </w:rPr>
        <w:t>purposes of the Loan Documents shall be such Dollar Equivalent amount as so determined by the Administrative Agent or the L/C Issuer, as applicable.</w:t>
      </w:r>
    </w:p>
    <w:p>
      <w:pPr>
        <w:spacing w:after="0" w:line="188" w:lineRule="exact"/>
        <w:rPr>
          <w:sz w:val="20"/>
          <w:szCs w:val="20"/>
          <w:color w:val="auto"/>
        </w:rPr>
      </w:pPr>
    </w:p>
    <w:p>
      <w:pPr>
        <w:jc w:val="both"/>
        <w:ind w:firstLine="656"/>
        <w:spacing w:after="0" w:line="217"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Alternative 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57"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warrant, nor accept responsibility, nor shall the Administrative Agent have any liability with respect to the administration, submission or any other matter related to any reference rate referred to herein, the selection of rates, any related spread or adjustment or with respect to any rate that is an alternative or replacement for or successor to any of such rates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b w:val="1"/>
          <w:bCs w:val="1"/>
          <w:color w:val="auto"/>
        </w:rPr>
        <w:t>Additional Alternative Currencies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16" w:lineRule="auto"/>
        <w:tabs>
          <w:tab w:leader="none" w:pos="128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from time to time request that Alternative Currency Loans be made and/or Letters of Credit be issued in a currency other than those specifically listed in the definition of “</w:t>
      </w:r>
      <w:r>
        <w:rPr>
          <w:rFonts w:ascii="Times New Roman" w:cs="Times New Roman" w:eastAsia="Times New Roman" w:hAnsi="Times New Roman"/>
          <w:sz w:val="20"/>
          <w:szCs w:val="20"/>
          <w:i w:val="1"/>
          <w:iCs w:val="1"/>
          <w:color w:val="auto"/>
        </w:rPr>
        <w:t>Alternative 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requested currency is an Eligible Currency. In the case of any such request with respect to the making of Alternative Currency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L/C Issuer.</w:t>
      </w:r>
    </w:p>
    <w:p>
      <w:pPr>
        <w:spacing w:after="0" w:line="158"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request shall be made to the Administrative Agent by </w:t>
      </w:r>
      <w:r>
        <w:rPr>
          <w:rFonts w:ascii="Times New Roman" w:cs="Times New Roman" w:eastAsia="Times New Roman" w:hAnsi="Times New Roman"/>
          <w:sz w:val="20"/>
          <w:szCs w:val="20"/>
          <w:i w:val="1"/>
          <w:iCs w:val="1"/>
          <w:color w:val="auto"/>
        </w:rPr>
        <w:t>not later than</w:t>
      </w:r>
      <w:r>
        <w:rPr>
          <w:rFonts w:ascii="Times New Roman" w:cs="Times New Roman" w:eastAsia="Times New Roman" w:hAnsi="Times New Roman"/>
          <w:sz w:val="20"/>
          <w:szCs w:val="20"/>
          <w:color w:val="auto"/>
        </w:rPr>
        <w:t xml:space="preserve"> 11:00 a.m., 20 Business Days prior to the date of the desired Credit Extension (or by such other time or date as may be agreed by the Administrative Agent and, in the case of any such request pertaining to Letters of Credit, the L/C Issuer, in its or their sole discretion). In the case of any such request pertaining to Alternative Currency Loans, the Administrative Agent shall promptly notify each Appropriate Lender thereof; and in the case of any such request pertaining to Letters of Credit, the Administrative Agent shall promptly notify the L/C Issuer thereof. Each Appropriate Lender (in the case of any such request pertaining to Alternative Currency Loans) or the L/C Issuer (in the case of a request pertaining to Letters of Credit) shall notify the Administrative Agent, by </w:t>
      </w:r>
      <w:r>
        <w:rPr>
          <w:rFonts w:ascii="Times New Roman" w:cs="Times New Roman" w:eastAsia="Times New Roman" w:hAnsi="Times New Roman"/>
          <w:sz w:val="20"/>
          <w:szCs w:val="20"/>
          <w:i w:val="1"/>
          <w:iCs w:val="1"/>
          <w:color w:val="auto"/>
        </w:rPr>
        <w:t>not later than</w:t>
      </w:r>
      <w:r>
        <w:rPr>
          <w:rFonts w:ascii="Times New Roman" w:cs="Times New Roman" w:eastAsia="Times New Roman" w:hAnsi="Times New Roman"/>
          <w:sz w:val="20"/>
          <w:szCs w:val="20"/>
          <w:color w:val="auto"/>
        </w:rPr>
        <w:t xml:space="preserve"> 11:00 a.m., 10 Business Days after receipt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right="20" w:firstLine="6"/>
        <w:spacing w:after="0"/>
        <w:rPr>
          <w:sz w:val="20"/>
          <w:szCs w:val="20"/>
          <w:color w:val="auto"/>
        </w:rPr>
      </w:pPr>
      <w:r>
        <w:rPr>
          <w:rFonts w:ascii="Times New Roman" w:cs="Times New Roman" w:eastAsia="Times New Roman" w:hAnsi="Times New Roman"/>
          <w:sz w:val="20"/>
          <w:szCs w:val="20"/>
          <w:color w:val="auto"/>
        </w:rPr>
        <w:t>request, whether it consents, in its sole discretion, to the making of Alternative Currency Loans or the issuance of Letters of Credit, as the case may be, in such requested currency.</w:t>
      </w:r>
    </w:p>
    <w:p>
      <w:pPr>
        <w:spacing w:after="0" w:line="188" w:lineRule="exact"/>
        <w:rPr>
          <w:sz w:val="20"/>
          <w:szCs w:val="20"/>
          <w:color w:val="auto"/>
        </w:rPr>
      </w:pPr>
    </w:p>
    <w:p>
      <w:pPr>
        <w:jc w:val="both"/>
        <w:ind w:firstLine="656"/>
        <w:spacing w:after="0" w:line="209"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Alternative Currency Loans to be made or Letters of Credit to be issued in such requested currency. If the Administrative Agent and all the Appropriate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Borrower and (i) the Administrative Agent and such Lenders may amend the definitions of Alternative Currency Daily Rate and/or Alternative Currency Term Rate to the extent necessary to add the applicable rate for such currency and any applicable adjustment for such rate, and (ii) to the extent the definitions of Alternative Currency Daily Rate and/or Alternative Currency Term Rate (as applicable) have been amended to reflect the appropriate rate for such currency, such currency shall thereupon be deemed for all purposes to be an Alternative Currency for purposes of any Borrowings of Alternative Currency Loans. If the Administrative Agent and the L/C Issuer consent to the issuance of Letters of Credit in such requested currency, the Administrative Agent shall so notify the Borrower, and (iii) the Administrative Agent and the L/C Issuer may amend the definitions of Alternative Currency Daily Rate and/or Alternative Currency Term Rate (as applicable) to the extent necessary to add the applicable rate for such currency and any applicable adjustment for such rate, and (iv) to the extent the definitions of Alternative Currency Daily Rate and/or Alternative Currency Term Rate (as applicable) have been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w:t>
      </w:r>
      <w:r>
        <w:rPr>
          <w:rFonts w:ascii="Times New Roman" w:cs="Times New Roman" w:eastAsia="Times New Roman" w:hAnsi="Times New Roman"/>
          <w:sz w:val="20"/>
          <w:szCs w:val="20"/>
          <w:b w:val="1"/>
          <w:bCs w:val="1"/>
          <w:i w:val="1"/>
          <w:iCs w:val="1"/>
          <w:color w:val="auto"/>
        </w:rPr>
        <w:t>Section 1.09</w:t>
      </w:r>
      <w:r>
        <w:rPr>
          <w:rFonts w:ascii="Times New Roman" w:cs="Times New Roman" w:eastAsia="Times New Roman" w:hAnsi="Times New Roman"/>
          <w:sz w:val="20"/>
          <w:szCs w:val="20"/>
          <w:color w:val="auto"/>
        </w:rPr>
        <w:t>, the Administrative Agent shall promptly so notify the Borrower. Any specified currency of an Existing Letter of Credit that is neither Dollars nor one of the Alternative Currencies specifically listed in the definition of “</w:t>
      </w:r>
      <w:r>
        <w:rPr>
          <w:rFonts w:ascii="Times New Roman" w:cs="Times New Roman" w:eastAsia="Times New Roman" w:hAnsi="Times New Roman"/>
          <w:sz w:val="20"/>
          <w:szCs w:val="20"/>
          <w:i w:val="1"/>
          <w:iCs w:val="1"/>
          <w:color w:val="auto"/>
        </w:rPr>
        <w:t>Alternative Currency</w:t>
      </w:r>
      <w:r>
        <w:rPr>
          <w:rFonts w:ascii="Times New Roman" w:cs="Times New Roman" w:eastAsia="Times New Roman" w:hAnsi="Times New Roman"/>
          <w:sz w:val="20"/>
          <w:szCs w:val="20"/>
          <w:color w:val="auto"/>
        </w:rPr>
        <w:t>” shall be deemed an Alternative Currency with respect to such Existing Letter of Credit only.</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b w:val="1"/>
          <w:bCs w:val="1"/>
          <w:color w:val="auto"/>
        </w:rPr>
        <w:t>Change of Currency</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26" w:lineRule="auto"/>
        <w:tabs>
          <w:tab w:leader="none" w:pos="128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52" w:lineRule="exact"/>
        <w:rPr>
          <w:rFonts w:ascii="Times New Roman" w:cs="Times New Roman" w:eastAsia="Times New Roman" w:hAnsi="Times New Roman"/>
          <w:sz w:val="19"/>
          <w:szCs w:val="19"/>
          <w:color w:val="auto"/>
        </w:rPr>
      </w:pPr>
    </w:p>
    <w:p>
      <w:pPr>
        <w:jc w:val="both"/>
        <w:ind w:firstLine="656"/>
        <w:spacing w:after="0" w:line="230" w:lineRule="auto"/>
        <w:tabs>
          <w:tab w:leader="none" w:pos="128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COMMITMENTS AND CREDIT EXTENSIONS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2.01 </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 Subject to the terms and conditions set forth herein, each Lender severally agrees to make loans (each such loan, a “Revolving Loan”) to the Borrower, in Dollars or in one or more Alternative Currencies, from time to time, on any Business Day during the</w:t>
      </w:r>
    </w:p>
    <w:p>
      <w:pPr>
        <w:spacing w:after="0" w:line="213" w:lineRule="auto"/>
        <w:rPr>
          <w:sz w:val="20"/>
          <w:szCs w:val="20"/>
          <w:color w:val="auto"/>
        </w:rPr>
      </w:pPr>
      <w:r>
        <w:rPr>
          <w:rFonts w:ascii="Times New Roman" w:cs="Times New Roman" w:eastAsia="Times New Roman" w:hAnsi="Times New Roman"/>
          <w:sz w:val="20"/>
          <w:szCs w:val="20"/>
          <w:color w:val="auto"/>
        </w:rPr>
        <w:t>Availability Period, in an aggregate amount not to exceed at any time outstanding the amount of such Lender’s Revolving Commitment;</w:t>
      </w:r>
    </w:p>
    <w:p>
      <w:pPr>
        <w:spacing w:after="0" w:line="215" w:lineRule="auto"/>
        <w:rPr>
          <w:sz w:val="20"/>
          <w:szCs w:val="20"/>
          <w:color w:val="auto"/>
        </w:rPr>
      </w:pPr>
      <w:r>
        <w:rPr>
          <w:rFonts w:ascii="Times New Roman" w:cs="Times New Roman" w:eastAsia="Times New Roman" w:hAnsi="Times New Roman"/>
          <w:sz w:val="19"/>
          <w:szCs w:val="19"/>
          <w:color w:val="auto"/>
        </w:rPr>
        <w:t>provided, however, that after giving effect to any Revolving Borrowing, (i) the Total Revolving Outstandings shall not exceed the Revolving Facility, and (ii) the Revolving Exposure of any Lender shall not exceed such Lender’s Revolving Commitment. Within the limits of each</w:t>
      </w:r>
    </w:p>
    <w:p>
      <w:pPr>
        <w:spacing w:after="0" w:line="211" w:lineRule="auto"/>
        <w:rPr>
          <w:sz w:val="20"/>
          <w:szCs w:val="20"/>
          <w:color w:val="auto"/>
        </w:rPr>
      </w:pPr>
      <w:r>
        <w:rPr>
          <w:rFonts w:ascii="Times New Roman" w:cs="Times New Roman" w:eastAsia="Times New Roman" w:hAnsi="Times New Roman"/>
          <w:sz w:val="20"/>
          <w:szCs w:val="20"/>
          <w:color w:val="auto"/>
        </w:rPr>
        <w:t>Lender’s Revolving Commitment, and subject to the other terms and conditions hereof, the Borrower may borrow Revolving Loans, prepay</w:t>
      </w:r>
    </w:p>
    <w:p>
      <w:pPr>
        <w:spacing w:after="0" w:line="204" w:lineRule="auto"/>
        <w:rPr>
          <w:sz w:val="20"/>
          <w:szCs w:val="20"/>
          <w:color w:val="auto"/>
        </w:rPr>
      </w:pPr>
      <w:r>
        <w:rPr>
          <w:rFonts w:ascii="Times New Roman" w:cs="Times New Roman" w:eastAsia="Times New Roman" w:hAnsi="Times New Roman"/>
          <w:sz w:val="20"/>
          <w:szCs w:val="20"/>
          <w:color w:val="auto"/>
        </w:rPr>
        <w:t>under Section 2.05, and reborrow under this Section 2.01. Revolving Loans may be Base Rate Loans, BSBY Rate Loans or Alternative Currency Loans, as further provided herein; provided, however, Alternative Currency Loans will be Alternative Currency Daily Rate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Alternative Currency Term Rate Loans.</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b w:val="1"/>
          <w:bCs w:val="1"/>
          <w:color w:val="auto"/>
        </w:rPr>
        <w:t>Borrowings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Conversions and Continuations of Loans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29" w:lineRule="auto"/>
        <w:tabs>
          <w:tab w:leader="none" w:pos="128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Notice of Borrowing</w:t>
      </w:r>
      <w:r>
        <w:rPr>
          <w:rFonts w:ascii="Times New Roman" w:cs="Times New Roman" w:eastAsia="Times New Roman" w:hAnsi="Times New Roman"/>
          <w:sz w:val="19"/>
          <w:szCs w:val="19"/>
          <w:color w:val="auto"/>
        </w:rPr>
        <w:t>. Each Borrowing, each conversion of Loans from one Type to the other, and each continuation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BSBY Rate Loans and/or Alternative Currency Term Rate Loans, shall be made upon the Borrower’s irrevocable notice to the Administrative Agent, which may be given by: (i) telephone or (ii) a Loan Notice;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telephonic notice must be confirmed immediately by delivery to the Administrative Agent of a Loan Notice. Each such Loan Notice must be received by the Administrative Agent </w:t>
      </w:r>
      <w:r>
        <w:rPr>
          <w:rFonts w:ascii="Times New Roman" w:cs="Times New Roman" w:eastAsia="Times New Roman" w:hAnsi="Times New Roman"/>
          <w:sz w:val="19"/>
          <w:szCs w:val="19"/>
          <w:i w:val="1"/>
          <w:iCs w:val="1"/>
          <w:color w:val="auto"/>
        </w:rPr>
        <w:t>not later than</w:t>
      </w:r>
      <w:r>
        <w:rPr>
          <w:rFonts w:ascii="Times New Roman" w:cs="Times New Roman" w:eastAsia="Times New Roman" w:hAnsi="Times New Roman"/>
          <w:sz w:val="19"/>
          <w:szCs w:val="19"/>
          <w:color w:val="auto"/>
        </w:rPr>
        <w:t xml:space="preserve"> 11:00 a.m. (A) three Business Days prior to the requested date of any Borrowing of, conversion to or continuation of BSBY Rate Loans or of any conversion of BSBY Rate Loans to Base Rate Loans, (B) four Business Days (or five Business Days in the case of a Special Notice Currency) prior to the requested date of any Borrowing or continuation of Alternative Currency Loans, and (C) on the requested date of any Borrowing of Base Rate Loans. Each Borrowing of, conversion to or continuation of BSBY Rate Loans and/or Alternative Currency Loans shall be in a principal amount of the Dollar Equivalent of $500,000 or a whole multiple of the Dollar Equivalent of $100,000 in excess thereof. Except as provided in </w:t>
      </w:r>
      <w:r>
        <w:rPr>
          <w:rFonts w:ascii="Times New Roman" w:cs="Times New Roman" w:eastAsia="Times New Roman" w:hAnsi="Times New Roman"/>
          <w:sz w:val="19"/>
          <w:szCs w:val="19"/>
          <w:b w:val="1"/>
          <w:bCs w:val="1"/>
          <w:i w:val="1"/>
          <w:iCs w:val="1"/>
          <w:color w:val="auto"/>
        </w:rPr>
        <w:t>Sections 2.03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2.04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w:t>
      </w:r>
      <w:r>
        <w:rPr>
          <w:rFonts w:ascii="Times New Roman" w:cs="Times New Roman" w:eastAsia="Times New Roman" w:hAnsi="Times New Roman"/>
          <w:sz w:val="19"/>
          <w:szCs w:val="19"/>
          <w:color w:val="auto"/>
        </w:rPr>
        <w:t xml:space="preserve">), each Borrowing of or conversion to Base Rate Loans shall be in a principal amount of the Dollar Equivalent of $500,000 or a whole multiple of the Dollar Equivalent of $100,000 in excess thereof. Each Loan Notice and each telephonic notice shall specify (I) the Revolving Facility and whether the Borrower is requesting a Borrowing, a conversion of Loans from one Type to the other, or a continuation of Loans, as the case may be, under the Revolving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the Borrower fails to specify a currency in a Loan Notice requesting a Borrowing, then the Loans so requested shall be made in Dollars. If the Borrower fails to specify a Type of Loan in a Loan Notice or if the Borrower fails to give a timely notice requesting a conversion or continuation, then the applicable Loans shall be made as, or converted to, Base Rate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in the case of a failure to timely request a continuation of Alternative Currency Term Rate Loans, such Loans shall be continued as Alternative Currency Term Rate Loans in their original currency with an Interest Period of one month. If the Borrower requests a Borrowing of, conversion to, or continuation of BSBY Rate Loans or Alternative Currency Term Rate Loans in any such Loan Notice, but fails to specify an Interest Period, it will be deemed to have specified an Interest Period of one month. Notwithstanding anything to the contrary herein, a Swingline Loan may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xml:space="preserve"> be converted to a BSBY Rate Loan or an Alternative Currency Loan. Except as provided pursuant to </w:t>
      </w:r>
      <w:r>
        <w:rPr>
          <w:rFonts w:ascii="Times New Roman" w:cs="Times New Roman" w:eastAsia="Times New Roman" w:hAnsi="Times New Roman"/>
          <w:sz w:val="19"/>
          <w:szCs w:val="19"/>
          <w:b w:val="1"/>
          <w:bCs w:val="1"/>
          <w:i w:val="1"/>
          <w:iCs w:val="1"/>
          <w:color w:val="auto"/>
        </w:rPr>
        <w:t>Section 2.12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t>
      </w:r>
      <w:r>
        <w:rPr>
          <w:rFonts w:ascii="Times New Roman" w:cs="Times New Roman" w:eastAsia="Times New Roman" w:hAnsi="Times New Roman"/>
          <w:sz w:val="19"/>
          <w:szCs w:val="19"/>
          <w:color w:val="auto"/>
        </w:rPr>
        <w:t>), no Loan may be converted into or continued as a Loan denominated in a different currency, but instead must be repaid in the original currency of such Loan and reborrowed in the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56"/>
        <w:spacing w:after="0" w:line="210" w:lineRule="auto"/>
        <w:tabs>
          <w:tab w:leader="none" w:pos="12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Advances</w:t>
      </w:r>
      <w:r>
        <w:rPr>
          <w:rFonts w:ascii="Times New Roman" w:cs="Times New Roman" w:eastAsia="Times New Roman" w:hAnsi="Times New Roman"/>
          <w:sz w:val="20"/>
          <w:szCs w:val="20"/>
          <w:color w:val="auto"/>
        </w:rPr>
        <w:t>. Following receipt of a Loan Notice for the Revolving Facility, the Administrative Agent shall promptly notify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each Appropriate Lender of the amount (and currency) of its Applicable Percentage under the Revolving Facility of the applicable Loans, and if no timely notice of a conversion or continuation is provided by the Borrower, the Administrative Agent shall notify each Appropriate Lender of the details of any automatic conversion to Base Rate Loans or continuation of Loans denominated in a currency other than Dollars, in each case as described in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In the case of a Borrowing, each Appropriate Lender shall make the amount of its Loan available to the Administrative Agent in Same Day Funds at the Administrative Agent’s Office for the applicable currency </w:t>
      </w:r>
      <w:r>
        <w:rPr>
          <w:rFonts w:ascii="Times New Roman" w:cs="Times New Roman" w:eastAsia="Times New Roman" w:hAnsi="Times New Roman"/>
          <w:sz w:val="20"/>
          <w:szCs w:val="20"/>
          <w:i w:val="1"/>
          <w:iCs w:val="1"/>
          <w:color w:val="auto"/>
        </w:rPr>
        <w:t>not later than</w:t>
      </w:r>
      <w:r>
        <w:rPr>
          <w:rFonts w:ascii="Times New Roman" w:cs="Times New Roman" w:eastAsia="Times New Roman" w:hAnsi="Times New Roman"/>
          <w:sz w:val="20"/>
          <w:szCs w:val="20"/>
          <w:color w:val="auto"/>
        </w:rPr>
        <w:t xml:space="preserve"> 1:00 p.m., in the case of any Loan denominated in Dollars, and </w:t>
      </w:r>
      <w:r>
        <w:rPr>
          <w:rFonts w:ascii="Times New Roman" w:cs="Times New Roman" w:eastAsia="Times New Roman" w:hAnsi="Times New Roman"/>
          <w:sz w:val="20"/>
          <w:szCs w:val="20"/>
          <w:i w:val="1"/>
          <w:iCs w:val="1"/>
          <w:color w:val="auto"/>
        </w:rPr>
        <w:t>not later than</w:t>
      </w:r>
      <w:r>
        <w:rPr>
          <w:rFonts w:ascii="Times New Roman" w:cs="Times New Roman" w:eastAsia="Times New Roman" w:hAnsi="Times New Roman"/>
          <w:sz w:val="20"/>
          <w:szCs w:val="20"/>
          <w:color w:val="auto"/>
        </w:rPr>
        <w:t xml:space="preserve"> the Applicable Time specified by the Administrative Agent, in the case of Alternative Currency Loan, in each case on the Business Day specified in the applicable Loan Notice. Upon satisfaction of the applicable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b w:val="1"/>
          <w:bCs w:val="1"/>
          <w:i w:val="1"/>
          <w:iCs w:val="1"/>
          <w:color w:val="auto"/>
        </w:rPr>
        <w:t>Section 4.01</w:t>
      </w:r>
      <w:r>
        <w:rPr>
          <w:rFonts w:ascii="Times New Roman" w:cs="Times New Roman" w:eastAsia="Times New Roman" w:hAnsi="Times New Roman"/>
          <w:sz w:val="20"/>
          <w:szCs w:val="20"/>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on the date a Loan Notice with respect to a Revolving Borrowing denominated in Dollars is given by the Borrower, there are L/C Borrowings outstanding, then the proceeds of such Revolving Borrowing,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shall be made available to the Borrower as provided above.</w:t>
      </w:r>
    </w:p>
    <w:p>
      <w:pPr>
        <w:spacing w:after="0" w:line="194"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BSBY Rate Loans and Alternative Currency Term Rate Loans</w:t>
      </w:r>
      <w:r>
        <w:rPr>
          <w:rFonts w:ascii="Times New Roman" w:cs="Times New Roman" w:eastAsia="Times New Roman" w:hAnsi="Times New Roman"/>
          <w:sz w:val="20"/>
          <w:szCs w:val="20"/>
          <w:color w:val="auto"/>
        </w:rPr>
        <w:t>. Except as otherwise provided herein, a BSBY Rate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an Alternative Currency Term Rate Loan may be continued or converted only on the last day of an Interest Period for such Loan. During the existence of a Default, no Loans may be requested as, or converted to, Alternative Currency Daily Rate Loans or requested as, or converted to or continued as, BSBY Rate Loans or Alternative Currency Term Rate Loans, in each case of the foregoing, without the consent of the Required Lenders, and the Required Lenders may demand that any or all of the then outstanding BSBY Rate Loans be converted to Base Rate Loans (on the last day of the then current Interest Period with respect thereto) and/or that any or all of the then outstanding Alternative Currency Loans be prepaid, or redenominated in Dollars in the amount of the Dollar Equivalent thereof, immediately (in the case of any such Alternative Currency Daily Rate Loans) or on the last day of the then current Interest Period with respect thereto (in the case of any such Alternative Currency Term Rate Loans).</w:t>
      </w:r>
    </w:p>
    <w:p>
      <w:pPr>
        <w:spacing w:after="0" w:line="161"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Rates</w:t>
      </w:r>
      <w:r>
        <w:rPr>
          <w:rFonts w:ascii="Times New Roman" w:cs="Times New Roman" w:eastAsia="Times New Roman" w:hAnsi="Times New Roman"/>
          <w:sz w:val="20"/>
          <w:szCs w:val="20"/>
          <w:color w:val="auto"/>
        </w:rPr>
        <w:t>. Each determination of an interest rate by the Administrative Agent pursuant to any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be conclusive and binding on the Borrower and the Lenders in the absence of manifest error.</w:t>
      </w:r>
    </w:p>
    <w:p>
      <w:pPr>
        <w:spacing w:after="0" w:line="137" w:lineRule="exact"/>
        <w:rPr>
          <w:rFonts w:ascii="Times New Roman" w:cs="Times New Roman" w:eastAsia="Times New Roman" w:hAnsi="Times New Roman"/>
          <w:sz w:val="20"/>
          <w:szCs w:val="20"/>
          <w:color w:val="auto"/>
        </w:rPr>
      </w:pPr>
    </w:p>
    <w:p>
      <w:pPr>
        <w:jc w:val="both"/>
        <w:ind w:firstLine="656"/>
        <w:spacing w:after="0" w:line="232"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Periods</w:t>
      </w:r>
      <w:r>
        <w:rPr>
          <w:rFonts w:ascii="Times New Roman" w:cs="Times New Roman" w:eastAsia="Times New Roman" w:hAnsi="Times New Roman"/>
          <w:sz w:val="20"/>
          <w:szCs w:val="20"/>
          <w:color w:val="auto"/>
        </w:rPr>
        <w:t>. After giving effect to all Revolving Borrowings, all conversions of Revolving Loans from one Type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other, and all continuations of Revolving Loans as the same Type, there 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w:t>
      </w:r>
      <w:r>
        <w:rPr>
          <w:rFonts w:ascii="Times New Roman" w:cs="Times New Roman" w:eastAsia="Times New Roman" w:hAnsi="Times New Roman"/>
          <w:sz w:val="20"/>
          <w:szCs w:val="20"/>
          <w:i w:val="1"/>
          <w:iCs w:val="1"/>
          <w:color w:val="auto"/>
        </w:rPr>
        <w:t>more than</w:t>
      </w:r>
      <w:r>
        <w:rPr>
          <w:rFonts w:ascii="Times New Roman" w:cs="Times New Roman" w:eastAsia="Times New Roman" w:hAnsi="Times New Roman"/>
          <w:sz w:val="20"/>
          <w:szCs w:val="20"/>
          <w:color w:val="auto"/>
        </w:rPr>
        <w:t xml:space="preserve"> five (5) Interest Periods in effect in respect of the Revolving Facility.</w:t>
      </w:r>
    </w:p>
    <w:p>
      <w:pPr>
        <w:spacing w:after="0" w:line="143" w:lineRule="exact"/>
        <w:rPr>
          <w:rFonts w:ascii="Times New Roman" w:cs="Times New Roman" w:eastAsia="Times New Roman" w:hAnsi="Times New Roman"/>
          <w:sz w:val="20"/>
          <w:szCs w:val="20"/>
          <w:color w:val="auto"/>
        </w:rPr>
      </w:pPr>
    </w:p>
    <w:p>
      <w:pPr>
        <w:jc w:val="both"/>
        <w:ind w:firstLine="656"/>
        <w:spacing w:after="0" w:line="223" w:lineRule="auto"/>
        <w:tabs>
          <w:tab w:leader="none" w:pos="129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Cashless Settlement Mechanism</w:t>
      </w:r>
      <w:r>
        <w:rPr>
          <w:rFonts w:ascii="Times New Roman" w:cs="Times New Roman" w:eastAsia="Times New Roman" w:hAnsi="Times New Roman"/>
          <w:sz w:val="20"/>
          <w:szCs w:val="20"/>
          <w:color w:val="auto"/>
        </w:rPr>
        <w:t>. Notwithstanding anything to the contrary in this Agreement, any Lender may exchange,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57" w:lineRule="exact"/>
        <w:rPr>
          <w:rFonts w:ascii="Times New Roman" w:cs="Times New Roman" w:eastAsia="Times New Roman" w:hAnsi="Times New Roman"/>
          <w:sz w:val="20"/>
          <w:szCs w:val="20"/>
          <w:color w:val="auto"/>
        </w:rPr>
      </w:pPr>
    </w:p>
    <w:p>
      <w:pPr>
        <w:jc w:val="both"/>
        <w:ind w:right="20" w:firstLine="656"/>
        <w:spacing w:after="0" w:line="227" w:lineRule="auto"/>
        <w:tabs>
          <w:tab w:leader="none" w:pos="128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With respect to the BSBY, the BSBY Screen Rate, any Alternative Currency Daily Rate and/or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Alternative Currency Term Rate, the Administrative Agent will have the right to make Conforming Changes from time to time and, notwithstanding anything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contrary herein or in any other Loan Document, any amendments implementing such Conforming Changes will become effective without</w:t>
      </w:r>
    </w:p>
    <w:p>
      <w:pPr>
        <w:ind w:left="20"/>
        <w:spacing w:after="0" w:line="204" w:lineRule="auto"/>
        <w:rPr>
          <w:sz w:val="20"/>
          <w:szCs w:val="20"/>
          <w:color w:val="auto"/>
        </w:rPr>
      </w:pPr>
      <w:r>
        <w:rPr>
          <w:rFonts w:ascii="Times New Roman" w:cs="Times New Roman" w:eastAsia="Times New Roman" w:hAnsi="Times New Roman"/>
          <w:sz w:val="20"/>
          <w:szCs w:val="20"/>
          <w:color w:val="auto"/>
        </w:rPr>
        <w:t>any further action or consent of any other party to this Agreement or any other Loan Document; provided that, with respect to any such amendment effected, the Administrative Agent shall post each such amendment implementing such Conforming Changes to the Borrower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and the Lenders reasonably promptly after such amendment becomes effective.</w:t>
      </w:r>
    </w:p>
    <w:p>
      <w:pPr>
        <w:spacing w:after="0" w:line="19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b w:val="1"/>
          <w:bCs w:val="1"/>
          <w:color w:val="auto"/>
        </w:rPr>
        <w:t>Letters of Credit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9" w:lineRule="auto"/>
        <w:tabs>
          <w:tab w:leader="none" w:pos="128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The Letter of Credit Commitment</w:t>
      </w:r>
      <w:r>
        <w:rPr>
          <w:rFonts w:ascii="Times New Roman" w:cs="Times New Roman" w:eastAsia="Times New Roman" w:hAnsi="Times New Roman"/>
          <w:sz w:val="19"/>
          <w:szCs w:val="19"/>
          <w:color w:val="auto"/>
        </w:rPr>
        <w:t>. Subject to the terms and conditions set forth herein, in addition to the Loans 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for in </w:t>
      </w:r>
      <w:r>
        <w:rPr>
          <w:rFonts w:ascii="Times New Roman" w:cs="Times New Roman" w:eastAsia="Times New Roman" w:hAnsi="Times New Roman"/>
          <w:sz w:val="19"/>
          <w:szCs w:val="19"/>
          <w:b w:val="1"/>
          <w:bCs w:val="1"/>
          <w:i w:val="1"/>
          <w:iCs w:val="1"/>
          <w:color w:val="auto"/>
        </w:rPr>
        <w:t>Section 2.01</w:t>
      </w:r>
      <w:r>
        <w:rPr>
          <w:rFonts w:ascii="Times New Roman" w:cs="Times New Roman" w:eastAsia="Times New Roman" w:hAnsi="Times New Roman"/>
          <w:sz w:val="19"/>
          <w:szCs w:val="19"/>
          <w:color w:val="auto"/>
        </w:rPr>
        <w:t xml:space="preserve">, the Borrower may request that the L/C Issuer, in reliance on the agreements of the Lenders set forth in this </w:t>
      </w:r>
      <w:r>
        <w:rPr>
          <w:rFonts w:ascii="Times New Roman" w:cs="Times New Roman" w:eastAsia="Times New Roman" w:hAnsi="Times New Roman"/>
          <w:sz w:val="19"/>
          <w:szCs w:val="19"/>
          <w:b w:val="1"/>
          <w:bCs w:val="1"/>
          <w:i w:val="1"/>
          <w:iCs w:val="1"/>
          <w:color w:val="auto"/>
        </w:rPr>
        <w:t>Section 2.03</w:t>
      </w:r>
      <w:r>
        <w:rPr>
          <w:rFonts w:ascii="Times New Roman" w:cs="Times New Roman" w:eastAsia="Times New Roman" w:hAnsi="Times New Roman"/>
          <w:sz w:val="19"/>
          <w:szCs w:val="19"/>
          <w:color w:val="auto"/>
        </w:rPr>
        <w:t>, issue, at any time and from time to time during the Availability Period, Letters of Credit denominated in Dollars or in one or more Alternative Currencies for its own account or the account of any of its Subsidiaries in such form as is acceptable to the Administrative Agent and the L/C Issuer in its reasonable determination. Letters of Credit issued hereunder shall constitute utilization of the Revolving Commitments.</w:t>
      </w:r>
    </w:p>
    <w:p>
      <w:pPr>
        <w:spacing w:after="0" w:line="159"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Issuance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Amendment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Extension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Reinstatement or Renewal</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5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55"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cs="Times New Roman" w:eastAsia="Times New Roman" w:hAnsi="Times New Roman"/>
          <w:sz w:val="20"/>
          <w:szCs w:val="20"/>
          <w:b w:val="1"/>
          <w:bCs w:val="1"/>
          <w:i w:val="1"/>
          <w:iCs w:val="1"/>
          <w:color w:val="auto"/>
        </w:rPr>
        <w:t>Auto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b w:val="1"/>
          <w:bCs w:val="1"/>
          <w:i w:val="1"/>
          <w:iCs w:val="1"/>
          <w:color w:val="auto"/>
        </w:rPr>
        <w:t>Non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Extension Notice Date</w:t>
      </w:r>
      <w:r>
        <w:rPr>
          <w:rFonts w:ascii="Times New Roman" w:cs="Times New Roman" w:eastAsia="Times New Roman" w:hAnsi="Times New Roman"/>
          <w:sz w:val="20"/>
          <w:szCs w:val="20"/>
          <w:color w:val="auto"/>
        </w:rPr>
        <w:t>”) in each such twelve-month period to be agreed upon by the Borrower and the L/C Issuer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extension of such Letter of Credit at any time to an expiration date not later than the date permitted pursuant to Section 2.03(d);</w:t>
      </w:r>
    </w:p>
    <w:p>
      <w:pPr>
        <w:ind w:left="660"/>
        <w:spacing w:after="0" w:line="204" w:lineRule="auto"/>
        <w:rPr>
          <w:sz w:val="20"/>
          <w:szCs w:val="20"/>
          <w:color w:val="auto"/>
        </w:rPr>
      </w:pPr>
      <w:r>
        <w:rPr>
          <w:rFonts w:ascii="Times New Roman" w:cs="Times New Roman" w:eastAsia="Times New Roman" w:hAnsi="Times New Roman"/>
          <w:sz w:val="20"/>
          <w:szCs w:val="20"/>
          <w:color w:val="auto"/>
        </w:rPr>
        <w:t>provided, that the L/C Issuer shall not (A) permit any such extension if (1) the L/C Issuer has determined that it would not be permitted, or would have no obligation, at such time to issue such Letter of Credit in its extended form under the terms hereof</w:t>
      </w:r>
    </w:p>
    <w:p>
      <w:pPr>
        <w:ind w:left="660"/>
        <w:spacing w:after="0" w:line="211" w:lineRule="auto"/>
        <w:rPr>
          <w:sz w:val="20"/>
          <w:szCs w:val="20"/>
          <w:color w:val="auto"/>
        </w:rPr>
      </w:pPr>
      <w:r>
        <w:rPr>
          <w:rFonts w:ascii="Times New Roman" w:cs="Times New Roman" w:eastAsia="Times New Roman" w:hAnsi="Times New Roman"/>
          <w:sz w:val="20"/>
          <w:szCs w:val="20"/>
          <w:color w:val="auto"/>
        </w:rPr>
        <w:t>(except that the expiration date may be extended to a date that is no more than one year from the then-current expiration date) or</w:t>
      </w:r>
    </w:p>
    <w:p>
      <w:pPr>
        <w:spacing w:after="0" w:line="1" w:lineRule="exact"/>
        <w:rPr>
          <w:sz w:val="20"/>
          <w:szCs w:val="20"/>
          <w:color w:val="auto"/>
        </w:rPr>
      </w:pPr>
    </w:p>
    <w:p>
      <w:pPr>
        <w:jc w:val="both"/>
        <w:ind w:left="660" w:hanging="4"/>
        <w:spacing w:after="0" w:line="212" w:lineRule="auto"/>
        <w:tabs>
          <w:tab w:leader="none" w:pos="95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received notice (which may be in writing or by telephone (if promptly confirmed in writing)) on or before the day that is seven Business Days before the Non-Extension Notice Date from the Administrative Agent that the Required Lenders have elected not to permit such extension or (B) be obligated to permit such extension if it has received notice (which may be in writing or by telephone (if promptly confirmed in writing)) on or before the day that is seven Business Days before the Non-Extension Notice Date from the Administrative Agent, any Lender or the Borrower that one or more of the applicable conditions set forth in Section 4.02 is not then satisfied, and in each such case directing the L/C Issuer not to permit such extension.</w:t>
      </w:r>
    </w:p>
    <w:p>
      <w:pPr>
        <w:spacing w:after="0" w:line="186" w:lineRule="exact"/>
        <w:rPr>
          <w:sz w:val="20"/>
          <w:szCs w:val="20"/>
          <w:color w:val="auto"/>
        </w:rPr>
      </w:pPr>
    </w:p>
    <w:p>
      <w:pPr>
        <w:jc w:val="both"/>
        <w:ind w:firstLine="656"/>
        <w:spacing w:after="0" w:line="217" w:lineRule="auto"/>
        <w:tabs>
          <w:tab w:leader="none" w:pos="12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Limitations on Amounts, Issuance and Amendment. </w:t>
      </w:r>
      <w:r>
        <w:rPr>
          <w:rFonts w:ascii="Times New Roman" w:cs="Times New Roman" w:eastAsia="Times New Roman" w:hAnsi="Times New Roman"/>
          <w:sz w:val="20"/>
          <w:szCs w:val="20"/>
          <w:color w:val="auto"/>
        </w:rPr>
        <w:t>A Letter of Credit shall be issued, amended, extended, reinstated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w:t>
      </w:r>
      <w:r>
        <w:rPr>
          <w:rFonts w:ascii="Times New Roman" w:cs="Times New Roman" w:eastAsia="Times New Roman" w:hAnsi="Times New Roman"/>
          <w:sz w:val="20"/>
          <w:szCs w:val="20"/>
          <w:i w:val="1"/>
          <w:iCs w:val="1"/>
          <w:color w:val="auto"/>
        </w:rPr>
        <w:t>not exceed</w:t>
      </w:r>
      <w:r>
        <w:rPr>
          <w:rFonts w:ascii="Times New Roman" w:cs="Times New Roman" w:eastAsia="Times New Roman" w:hAnsi="Times New Roman"/>
          <w:sz w:val="20"/>
          <w:szCs w:val="20"/>
          <w:color w:val="auto"/>
        </w:rPr>
        <w:t xml:space="preserve"> its L/C Commitment, (x) the aggregate L/C Obligations shall </w:t>
      </w:r>
      <w:r>
        <w:rPr>
          <w:rFonts w:ascii="Times New Roman" w:cs="Times New Roman" w:eastAsia="Times New Roman" w:hAnsi="Times New Roman"/>
          <w:sz w:val="20"/>
          <w:szCs w:val="20"/>
          <w:i w:val="1"/>
          <w:iCs w:val="1"/>
          <w:color w:val="auto"/>
        </w:rPr>
        <w:t xml:space="preserve">not exceed </w:t>
      </w:r>
      <w:r>
        <w:rPr>
          <w:rFonts w:ascii="Times New Roman" w:cs="Times New Roman" w:eastAsia="Times New Roman" w:hAnsi="Times New Roman"/>
          <w:sz w:val="20"/>
          <w:szCs w:val="20"/>
          <w:color w:val="auto"/>
        </w:rPr>
        <w:t>the L/C Sublimit, (y) the Revolving Exposure of any Lender shall</w:t>
      </w:r>
      <w:r>
        <w:rPr>
          <w:rFonts w:ascii="Times New Roman" w:cs="Times New Roman" w:eastAsia="Times New Roman" w:hAnsi="Times New Roman"/>
          <w:sz w:val="20"/>
          <w:szCs w:val="20"/>
          <w:i w:val="1"/>
          <w:iCs w:val="1"/>
          <w:color w:val="auto"/>
        </w:rPr>
        <w:t xml:space="preserve"> not exceed </w:t>
      </w:r>
      <w:r>
        <w:rPr>
          <w:rFonts w:ascii="Times New Roman" w:cs="Times New Roman" w:eastAsia="Times New Roman" w:hAnsi="Times New Roman"/>
          <w:sz w:val="20"/>
          <w:szCs w:val="20"/>
          <w:color w:val="auto"/>
        </w:rPr>
        <w:t>its Revolving Commitment and (z) the Total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Revolving Exposure shall </w:t>
      </w:r>
      <w:r>
        <w:rPr>
          <w:rFonts w:ascii="Times New Roman" w:cs="Times New Roman" w:eastAsia="Times New Roman" w:hAnsi="Times New Roman"/>
          <w:sz w:val="20"/>
          <w:szCs w:val="20"/>
          <w:i w:val="1"/>
          <w:iCs w:val="1"/>
          <w:color w:val="auto"/>
        </w:rPr>
        <w:t>not exceed</w:t>
      </w:r>
      <w:r>
        <w:rPr>
          <w:rFonts w:ascii="Times New Roman" w:cs="Times New Roman" w:eastAsia="Times New Roman" w:hAnsi="Times New Roman"/>
          <w:sz w:val="20"/>
          <w:szCs w:val="20"/>
          <w:color w:val="auto"/>
        </w:rPr>
        <w:t xml:space="preserve"> the total Revolving Commitments.</w:t>
      </w:r>
    </w:p>
    <w:p>
      <w:pPr>
        <w:spacing w:after="0" w:line="18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under any obligation to issue any Letter of Credit if:</w:t>
      </w:r>
    </w:p>
    <w:p>
      <w:pPr>
        <w:spacing w:after="0" w:line="192" w:lineRule="exact"/>
        <w:rPr>
          <w:rFonts w:ascii="Times New Roman" w:cs="Times New Roman" w:eastAsia="Times New Roman" w:hAnsi="Times New Roman"/>
          <w:sz w:val="20"/>
          <w:szCs w:val="20"/>
          <w:color w:val="auto"/>
        </w:rPr>
      </w:pPr>
    </w:p>
    <w:p>
      <w:pPr>
        <w:jc w:val="both"/>
        <w:ind w:left="1300" w:firstLine="652"/>
        <w:spacing w:after="0" w:line="213" w:lineRule="auto"/>
        <w:tabs>
          <w:tab w:leader="none" w:pos="2587"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62" w:lineRule="exact"/>
        <w:rPr>
          <w:rFonts w:ascii="Times New Roman" w:cs="Times New Roman" w:eastAsia="Times New Roman" w:hAnsi="Times New Roman"/>
          <w:sz w:val="20"/>
          <w:szCs w:val="20"/>
          <w:color w:val="auto"/>
        </w:rPr>
      </w:pPr>
    </w:p>
    <w:p>
      <w:pPr>
        <w:ind w:left="1300" w:right="20" w:firstLine="652"/>
        <w:spacing w:after="0"/>
        <w:tabs>
          <w:tab w:leader="none" w:pos="259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9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$50,000;</w:t>
      </w:r>
    </w:p>
    <w:p>
      <w:pPr>
        <w:spacing w:after="0" w:line="161" w:lineRule="exact"/>
        <w:rPr>
          <w:rFonts w:ascii="Times New Roman" w:cs="Times New Roman" w:eastAsia="Times New Roman" w:hAnsi="Times New Roman"/>
          <w:sz w:val="20"/>
          <w:szCs w:val="20"/>
          <w:color w:val="auto"/>
        </w:rPr>
      </w:pPr>
    </w:p>
    <w:p>
      <w:pPr>
        <w:ind w:left="1300" w:firstLine="652"/>
        <w:spacing w:after="0" w:line="233" w:lineRule="auto"/>
        <w:tabs>
          <w:tab w:leader="none" w:pos="2587"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to be denominated in a currency other than Dollars or an Alternative Currency;</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2"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is at that time a Defaulting Lender, unless the L/C Issuer has entered into arrangements, including the delivery of Cash Collateral, satisfactory to the L/C Issuer (in its sole discretion) with the Borrower or such Lender to eliminate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Issuer’s actual or potential Fronting Exposure (after giving effect to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iv</w:t>
      </w:r>
      <w:r>
        <w:rPr>
          <w:rFonts w:ascii="Times New Roman" w:cs="Times New Roman" w:eastAsia="Times New Roman" w:hAnsi="Times New Roman"/>
          <w:sz w:val="20"/>
          <w:szCs w:val="20"/>
          <w:color w:val="auto"/>
        </w:rPr>
        <w:t>)) with respect to the Defaulting</w:t>
      </w:r>
    </w:p>
    <w:p>
      <w:pPr>
        <w:ind w:left="1300"/>
        <w:spacing w:after="0" w:line="221" w:lineRule="auto"/>
        <w:rPr>
          <w:sz w:val="20"/>
          <w:szCs w:val="20"/>
          <w:color w:val="auto"/>
        </w:rPr>
      </w:pPr>
      <w:r>
        <w:rPr>
          <w:rFonts w:ascii="Times New Roman" w:cs="Times New Roman" w:eastAsia="Times New Roman" w:hAnsi="Times New Roman"/>
          <w:sz w:val="20"/>
          <w:szCs w:val="20"/>
          <w:color w:val="auto"/>
        </w:rPr>
        <w:t>Lender arising from either the Letter of Credit then proposed to be issued or that Letter of Credit and all other L/C Obligations as to which the L/C Issuer has actual or potential Fronting Exposure, as it may elect in its sole discretion</w:t>
      </w:r>
      <w:r>
        <w:rPr>
          <w:rFonts w:ascii="Times New Roman" w:cs="Times New Roman" w:eastAsia="Times New Roman" w:hAnsi="Times New Roman"/>
          <w:sz w:val="20"/>
          <w:szCs w:val="20"/>
          <w:b w:val="1"/>
          <w:bCs w:val="1"/>
          <w:color w:val="auto"/>
        </w:rPr>
        <w:t>;</w:t>
      </w:r>
    </w:p>
    <w:p>
      <w:pPr>
        <w:spacing w:after="0" w:line="189" w:lineRule="exact"/>
        <w:rPr>
          <w:sz w:val="20"/>
          <w:szCs w:val="20"/>
          <w:color w:val="auto"/>
        </w:rPr>
      </w:pPr>
    </w:p>
    <w:p>
      <w:pPr>
        <w:ind w:left="1300" w:firstLine="652"/>
        <w:spacing w:after="0"/>
        <w:tabs>
          <w:tab w:leader="none" w:pos="2595"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 or</w:t>
      </w:r>
    </w:p>
    <w:p>
      <w:pPr>
        <w:spacing w:after="0" w:line="161" w:lineRule="exact"/>
        <w:rPr>
          <w:rFonts w:ascii="Times New Roman" w:cs="Times New Roman" w:eastAsia="Times New Roman" w:hAnsi="Times New Roman"/>
          <w:sz w:val="20"/>
          <w:szCs w:val="20"/>
          <w:color w:val="auto"/>
        </w:rPr>
      </w:pPr>
    </w:p>
    <w:p>
      <w:pPr>
        <w:ind w:left="1300" w:right="20" w:firstLine="652"/>
        <w:spacing w:after="0" w:line="233" w:lineRule="auto"/>
        <w:tabs>
          <w:tab w:leader="none" w:pos="2587"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does not as of the issuance date of the requested Letter of Credit issue Letters of Credit in the requested currency.</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56"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Each Letter of Credit shall have a stated expiration date no later than the date 60 months after the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issuance of such Letter of Credit (or, in the case of any extension of the expiration date thereof, whether automatic or by amendment, 12 months after the then current expiration date of such Letter of Credit).</w:t>
      </w:r>
    </w:p>
    <w:p>
      <w:pPr>
        <w:spacing w:after="0" w:line="15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issuance of a Letter of Credit (or an amendment to a Letter of Credit increasing the amount or extending the expiration date thereof), and without any further action on the part of the L/C Issuer or the Lenders, the L/C Issuer hereby grants to each Lender, and each Lender hereby acquires from the L/C Issuer, a participation in such Letter of Credit equal to such Lender’s Applicable Percentage of the aggregate amount available to be drawn under such Letter of Credit. Each Lender acknowledges and agrees that its obligation to acquire participations pursuant to this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w:t>
      </w:r>
      <w:r>
        <w:rPr>
          <w:rFonts w:ascii="Times New Roman" w:cs="Times New Roman" w:eastAsia="Times New Roman" w:hAnsi="Times New Roman"/>
          <w:sz w:val="20"/>
          <w:szCs w:val="20"/>
          <w:color w:val="auto"/>
        </w:rPr>
        <w:t>)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spacing w:after="0" w:line="163" w:lineRule="exact"/>
        <w:rPr>
          <w:sz w:val="20"/>
          <w:szCs w:val="20"/>
          <w:color w:val="auto"/>
        </w:rPr>
      </w:pPr>
    </w:p>
    <w:p>
      <w:pPr>
        <w:jc w:val="both"/>
        <w:ind w:left="660" w:firstLine="644"/>
        <w:spacing w:after="0" w:line="211" w:lineRule="auto"/>
        <w:tabs>
          <w:tab w:leader="none" w:pos="195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consideration and in furtherance of the foregoing, each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Lenders pursuant to </w:t>
      </w:r>
      <w:r>
        <w:rPr>
          <w:rFonts w:ascii="Times New Roman" w:cs="Times New Roman" w:eastAsia="Times New Roman" w:hAnsi="Times New Roman"/>
          <w:sz w:val="20"/>
          <w:szCs w:val="20"/>
          <w:b w:val="1"/>
          <w:bCs w:val="1"/>
          <w:i w:val="1"/>
          <w:iCs w:val="1"/>
          <w:color w:val="auto"/>
        </w:rPr>
        <w:t>Section 2.03(f)</w:t>
      </w:r>
      <w:r>
        <w:rPr>
          <w:rFonts w:ascii="Times New Roman" w:cs="Times New Roman" w:eastAsia="Times New Roman" w:hAnsi="Times New Roman"/>
          <w:sz w:val="20"/>
          <w:szCs w:val="20"/>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with respect to Loans made by such Lender (and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payment obligations of the Lenders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and the Administrative Agent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20"/>
          <w:szCs w:val="20"/>
          <w:b w:val="1"/>
          <w:bCs w:val="1"/>
          <w:i w:val="1"/>
          <w:iCs w:val="1"/>
          <w:color w:val="auto"/>
        </w:rPr>
        <w:t>Section 2.03(f)</w:t>
      </w:r>
      <w:r>
        <w:rPr>
          <w:rFonts w:ascii="Times New Roman" w:cs="Times New Roman" w:eastAsia="Times New Roman" w:hAnsi="Times New Roman"/>
          <w:sz w:val="20"/>
          <w:szCs w:val="20"/>
          <w:color w:val="auto"/>
        </w:rPr>
        <w:t xml:space="preserve">, the Administrative Agent shall distribute such payment to the L/C Issuer or, to the extent that the Lenders have made payments pursuant to this </w:t>
      </w:r>
      <w:r>
        <w:rPr>
          <w:rFonts w:ascii="Times New Roman" w:cs="Times New Roman" w:eastAsia="Times New Roman" w:hAnsi="Times New Roman"/>
          <w:sz w:val="20"/>
          <w:szCs w:val="20"/>
          <w:b w:val="1"/>
          <w:bCs w:val="1"/>
          <w:i w:val="1"/>
          <w:iCs w:val="1"/>
          <w:color w:val="auto"/>
        </w:rPr>
        <w:t>clause (e)</w:t>
      </w:r>
      <w:r>
        <w:rPr>
          <w:rFonts w:ascii="Times New Roman" w:cs="Times New Roman" w:eastAsia="Times New Roman" w:hAnsi="Times New Roman"/>
          <w:sz w:val="20"/>
          <w:szCs w:val="20"/>
          <w:color w:val="auto"/>
        </w:rPr>
        <w:t xml:space="preserve"> to reimburse the L/C Issuer, then to such Lenders and the L/C Issuer as their interests may appear. Any payment made by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 xml:space="preserve">pursuant to this </w:t>
      </w:r>
      <w:r>
        <w:rPr>
          <w:rFonts w:ascii="Times New Roman" w:cs="Times New Roman" w:eastAsia="Times New Roman" w:hAnsi="Times New Roman"/>
          <w:sz w:val="20"/>
          <w:szCs w:val="20"/>
          <w:b w:val="1"/>
          <w:bCs w:val="1"/>
          <w:i w:val="1"/>
          <w:iCs w:val="1"/>
          <w:color w:val="auto"/>
        </w:rPr>
        <w:t>clause (e)</w:t>
      </w:r>
      <w:r>
        <w:rPr>
          <w:rFonts w:ascii="Times New Roman" w:cs="Times New Roman" w:eastAsia="Times New Roman" w:hAnsi="Times New Roman"/>
          <w:sz w:val="20"/>
          <w:szCs w:val="20"/>
          <w:color w:val="auto"/>
        </w:rPr>
        <w:t xml:space="preserve"> to reimburse the L/C Issuer for any L/C Disbursement shall not constitute a Loan and shall not relieve the Borrower of its obligation to reimburse such L/C Disbursement.</w:t>
      </w:r>
    </w:p>
    <w:p>
      <w:pPr>
        <w:spacing w:after="0" w:line="182" w:lineRule="exact"/>
        <w:rPr>
          <w:sz w:val="20"/>
          <w:szCs w:val="20"/>
          <w:color w:val="auto"/>
        </w:rPr>
      </w:pPr>
    </w:p>
    <w:p>
      <w:pPr>
        <w:jc w:val="both"/>
        <w:ind w:left="660" w:firstLine="644"/>
        <w:spacing w:after="0" w:line="222" w:lineRule="auto"/>
        <w:tabs>
          <w:tab w:leader="none" w:pos="195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xml:space="preserve">, as a result of an assignment in accordance with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xml:space="preserve"> or otherwise pursuant to this Agreement.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b w:val="1"/>
          <w:bCs w:val="1"/>
          <w:i w:val="1"/>
          <w:iCs w:val="1"/>
          <w:color w:val="auto"/>
        </w:rPr>
        <w:t>Section 2.03(e)</w:t>
      </w:r>
      <w:r>
        <w:rPr>
          <w:rFonts w:ascii="Times New Roman" w:cs="Times New Roman" w:eastAsia="Times New Roman" w:hAnsi="Times New Roman"/>
          <w:sz w:val="20"/>
          <w:szCs w:val="20"/>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Times New Roman" w:cs="Times New Roman" w:eastAsia="Times New Roman" w:hAnsi="Times New Roman"/>
          <w:sz w:val="20"/>
          <w:szCs w:val="20"/>
          <w:i w:val="1"/>
          <w:iCs w:val="1"/>
          <w:color w:val="auto"/>
        </w:rPr>
        <w:t>greater of</w:t>
      </w:r>
      <w:r>
        <w:rPr>
          <w:rFonts w:ascii="Times New Roman" w:cs="Times New Roman" w:eastAsia="Times New Roman" w:hAnsi="Times New Roman"/>
          <w:sz w:val="20"/>
          <w:szCs w:val="20"/>
          <w:color w:val="auto"/>
        </w:rPr>
        <w:t xml:space="preserve"> the applicable Overnight Rate and a rate determined by the L/C Issuer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Lender (through the Administrative Agent) with respect to any amounts owing under this </w:t>
      </w:r>
      <w:r>
        <w:rPr>
          <w:rFonts w:ascii="Times New Roman" w:cs="Times New Roman" w:eastAsia="Times New Roman" w:hAnsi="Times New Roman"/>
          <w:sz w:val="20"/>
          <w:szCs w:val="20"/>
          <w:b w:val="1"/>
          <w:bCs w:val="1"/>
          <w:i w:val="1"/>
          <w:iCs w:val="1"/>
          <w:color w:val="auto"/>
        </w:rPr>
        <w:t>clause (e)(iv)</w:t>
      </w:r>
      <w:r>
        <w:rPr>
          <w:rFonts w:ascii="Times New Roman" w:cs="Times New Roman" w:eastAsia="Times New Roman" w:hAnsi="Times New Roman"/>
          <w:sz w:val="20"/>
          <w:szCs w:val="20"/>
          <w:color w:val="auto"/>
        </w:rPr>
        <w:t xml:space="preserve"> shall be conclusive absent manifest error.</w:t>
      </w:r>
    </w:p>
    <w:p>
      <w:pPr>
        <w:spacing w:after="0" w:line="150"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Reimbursement</w:t>
      </w:r>
      <w:r>
        <w:rPr>
          <w:rFonts w:ascii="Times New Roman" w:cs="Times New Roman" w:eastAsia="Times New Roman" w:hAnsi="Times New Roman"/>
          <w:sz w:val="20"/>
          <w:szCs w:val="20"/>
          <w:color w:val="auto"/>
        </w:rPr>
        <w:t>. If the L/C Issuer shall make any L/C Disbursement in respect of a Letter of Credit, the Borrower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reimburse the L/C Issuer in respect of such L/C Disbursement by paying to the Administrative Agent an amount equal to such L/C 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provided that, if such L/C Disbursement is not less than $1,000,000, the Borrower may, subject to the conditions to borrowing set forth herein, request in accordance with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xml:space="preserve"> that such payment be financed with a Borrowing of Base Rate Loans or Swingline Loan in an equivalent amount and, to the extent so financed, the Borrower’s obligation to make such payment shall be discharged and replaced by the resulting Borrowing of Base Rate Loans or Swingline Loan. If the Borrower fails to make such payment when due, the Administrative Agent shall notify each Lender of the applicable L/C Disbursement, the payment then due from the Borrower in respect thereof (the “</w:t>
      </w:r>
      <w:r>
        <w:rPr>
          <w:rFonts w:ascii="Times New Roman" w:cs="Times New Roman" w:eastAsia="Times New Roman" w:hAnsi="Times New Roman"/>
          <w:sz w:val="20"/>
          <w:szCs w:val="20"/>
          <w:b w:val="1"/>
          <w:bCs w:val="1"/>
          <w:i w:val="1"/>
          <w:iCs w:val="1"/>
          <w:color w:val="auto"/>
        </w:rPr>
        <w:t>Unreimbursed Amount</w:t>
      </w:r>
      <w:r>
        <w:rPr>
          <w:rFonts w:ascii="Times New Roman" w:cs="Times New Roman" w:eastAsia="Times New Roman" w:hAnsi="Times New Roman"/>
          <w:sz w:val="20"/>
          <w:szCs w:val="20"/>
          <w:color w:val="auto"/>
        </w:rPr>
        <w:t xml:space="preserve">”) and such Lender’s Applicable Percentage thereof. Promptly upon receipt of such notice, each Lender shall pay to the Administrative Agent its Applicable Percentage of the Unreimbursed Amount pursuant to </w:t>
      </w:r>
      <w:r>
        <w:rPr>
          <w:rFonts w:ascii="Times New Roman" w:cs="Times New Roman" w:eastAsia="Times New Roman" w:hAnsi="Times New Roman"/>
          <w:sz w:val="20"/>
          <w:szCs w:val="20"/>
          <w:b w:val="1"/>
          <w:bCs w:val="1"/>
          <w:i w:val="1"/>
          <w:iCs w:val="1"/>
          <w:color w:val="auto"/>
        </w:rPr>
        <w:t>Section 2.03(e)(ii)</w:t>
      </w:r>
      <w:r>
        <w:rPr>
          <w:rFonts w:ascii="Times New Roman" w:cs="Times New Roman" w:eastAsia="Times New Roman" w:hAnsi="Times New Roman"/>
          <w:sz w:val="20"/>
          <w:szCs w:val="20"/>
          <w:color w:val="auto"/>
        </w:rPr>
        <w:t>, subject to the amount of the unutilized portion of the aggregate Revolving Commitments. Any notice given by the L/C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Issuer or the Administrative Agent pursuant to this </w:t>
      </w:r>
      <w:r>
        <w:rPr>
          <w:rFonts w:ascii="Times New Roman" w:cs="Times New Roman" w:eastAsia="Times New Roman" w:hAnsi="Times New Roman"/>
          <w:sz w:val="20"/>
          <w:szCs w:val="20"/>
          <w:b w:val="1"/>
          <w:bCs w:val="1"/>
          <w:i w:val="1"/>
          <w:iCs w:val="1"/>
          <w:color w:val="auto"/>
        </w:rPr>
        <w:t>Section 2.03(f)</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66"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Obligations Absolute</w:t>
      </w:r>
      <w:r>
        <w:rPr>
          <w:rFonts w:ascii="Times New Roman" w:cs="Times New Roman" w:eastAsia="Times New Roman" w:hAnsi="Times New Roman"/>
          <w:sz w:val="20"/>
          <w:szCs w:val="20"/>
          <w:color w:val="auto"/>
        </w:rPr>
        <w:t>. The Borrower’s obligation to reimburse L/C Disbursements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 (f)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 xml:space="preserve">Section 2.03 </w:t>
      </w:r>
      <w:r>
        <w:rPr>
          <w:rFonts w:ascii="Times New Roman" w:cs="Times New Roman" w:eastAsia="Times New Roman" w:hAnsi="Times New Roman"/>
          <w:sz w:val="20"/>
          <w:szCs w:val="20"/>
          <w:color w:val="auto"/>
        </w:rPr>
        <w:t>shall be absolute, unconditional and irrevocable, and shall be performed strictly in accordance with the terms of this Agreement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any and all circumstances whatsoever and irrespective of:</w:t>
      </w: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ind w:left="660" w:firstLine="644"/>
        <w:spacing w:after="0" w:line="233" w:lineRule="auto"/>
        <w:tabs>
          <w:tab w:leader="none" w:pos="195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any other Loan Document or any Letter of Credit, or any term or provision herein or therein;</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0"/>
          <w:szCs w:val="20"/>
          <w:color w:val="auto"/>
        </w:rPr>
        <w:t>transactions contemplated hereby or by such Letter of Credit or any agreement or instrument relating thereto, or any unrelated transaction;</w:t>
      </w:r>
    </w:p>
    <w:p>
      <w:pPr>
        <w:spacing w:after="0" w:line="148" w:lineRule="exact"/>
        <w:rPr>
          <w:sz w:val="20"/>
          <w:szCs w:val="20"/>
          <w:color w:val="auto"/>
        </w:rPr>
      </w:pPr>
    </w:p>
    <w:p>
      <w:pPr>
        <w:jc w:val="both"/>
        <w:ind w:left="660" w:firstLine="644"/>
        <w:spacing w:after="0" w:line="222" w:lineRule="auto"/>
        <w:tabs>
          <w:tab w:leader="none" w:pos="1956"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61" w:lineRule="exact"/>
        <w:rPr>
          <w:rFonts w:ascii="Times New Roman" w:cs="Times New Roman" w:eastAsia="Times New Roman" w:hAnsi="Times New Roman"/>
          <w:sz w:val="20"/>
          <w:szCs w:val="20"/>
          <w:color w:val="auto"/>
        </w:rPr>
      </w:pPr>
    </w:p>
    <w:p>
      <w:pPr>
        <w:ind w:left="660" w:right="20" w:firstLine="644"/>
        <w:spacing w:after="0"/>
        <w:tabs>
          <w:tab w:leader="none" w:pos="194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Borrower or any waiver by the L/C Issuer which does not in fact materially prejudice the Borrower;</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required that demand be in the</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a draft;</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7"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constitute a legal or equitable discharge of, or provide a right of setoff against, the Borrower’s obligations hereunder; or</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4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Borrower or any Subsidiary or in the relevant currency markets generally.</w:t>
      </w:r>
    </w:p>
    <w:p>
      <w:pPr>
        <w:spacing w:after="0" w:line="156"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Examination</w:t>
      </w:r>
      <w:r>
        <w:rPr>
          <w:rFonts w:ascii="Times New Roman" w:cs="Times New Roman" w:eastAsia="Times New Roman" w:hAnsi="Times New Roman"/>
          <w:sz w:val="20"/>
          <w:szCs w:val="20"/>
          <w:color w:val="auto"/>
        </w:rPr>
        <w:t>. The Borrower shall promptly examine a copy of each Letter of Credit and each amendment thereto that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56"/>
        <w:spacing w:after="0" w:line="211" w:lineRule="auto"/>
        <w:tabs>
          <w:tab w:leader="none" w:pos="129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None of the Administrative Agent, the Lenders, the L/C Issuer, or any of their Related Parties shall have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69" w:lineRule="exact"/>
        <w:rPr>
          <w:rFonts w:ascii="Times New Roman" w:cs="Times New Roman" w:eastAsia="Times New Roman" w:hAnsi="Times New Roman"/>
          <w:sz w:val="20"/>
          <w:szCs w:val="20"/>
          <w:color w:val="auto"/>
        </w:rPr>
      </w:pPr>
    </w:p>
    <w:p>
      <w:pPr>
        <w:ind w:left="660" w:firstLine="644"/>
        <w:spacing w:after="0"/>
        <w:tabs>
          <w:tab w:leader="none" w:pos="195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replace a purportedly lost, stolen, or destroyed original Letter of Credit or missing amendment thereto with a certified true copy marked as such or waive a requirement for its presentation;</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5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have the right, in its sole discretion, to decline to accept such documents and to make such payment if such documents are not in strict compliance with the terms of such Letter of Credit;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Without limiting the foregoing, none of the Administrative Agent, the Lenders, the L/C Issuer, or any of their Related Parties shall</w:t>
      </w:r>
    </w:p>
    <w:p>
      <w:pPr>
        <w:spacing w:after="0" w:line="204" w:lineRule="auto"/>
        <w:rPr>
          <w:sz w:val="20"/>
          <w:szCs w:val="20"/>
          <w:color w:val="auto"/>
        </w:rPr>
      </w:pPr>
      <w:r>
        <w:rPr>
          <w:rFonts w:ascii="Times New Roman" w:cs="Times New Roman" w:eastAsia="Times New Roman" w:hAnsi="Times New Roman"/>
          <w:sz w:val="20"/>
          <w:szCs w:val="20"/>
          <w:color w:val="auto"/>
        </w:rPr>
        <w:t>have any liability or responsibility by reason of (A) any presentation that includes forged or fraudulent documents or that is otherwise affected by the fraudulent, bad faith, or illegal conduct of the beneficiary or other Person, (B) the L/C Issuer declining to take-up documents</w:t>
      </w:r>
    </w:p>
    <w:p>
      <w:pPr>
        <w:spacing w:after="0" w:line="211" w:lineRule="auto"/>
        <w:rPr>
          <w:sz w:val="20"/>
          <w:szCs w:val="20"/>
          <w:color w:val="auto"/>
        </w:rPr>
      </w:pPr>
      <w:r>
        <w:rPr>
          <w:rFonts w:ascii="Times New Roman" w:cs="Times New Roman" w:eastAsia="Times New Roman" w:hAnsi="Times New Roman"/>
          <w:sz w:val="20"/>
          <w:szCs w:val="20"/>
          <w:color w:val="auto"/>
        </w:rPr>
        <w:t>and make payment, (C) against documents that are fraudulent, forged, or for other reasons by which that it is entitled not to honor,</w:t>
      </w:r>
    </w:p>
    <w:p>
      <w:pPr>
        <w:spacing w:after="0" w:line="1" w:lineRule="exact"/>
        <w:rPr>
          <w:sz w:val="20"/>
          <w:szCs w:val="20"/>
          <w:color w:val="auto"/>
        </w:rPr>
      </w:pPr>
    </w:p>
    <w:p>
      <w:pPr>
        <w:jc w:val="both"/>
        <w:ind w:firstLine="8"/>
        <w:spacing w:after="0" w:line="218" w:lineRule="auto"/>
        <w:tabs>
          <w:tab w:leader="none" w:pos="33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 Borrower’s waiver of discrepancies with respect to such documents or request for honor of such documents or (E) the L/C Issuer retaining proceeds of a Letter of Credit based on an apparently applicable attachment order, blocking regulation, or third-party claim notified to the L/C Issuer.</w:t>
      </w:r>
    </w:p>
    <w:p>
      <w:pPr>
        <w:spacing w:after="0" w:line="157" w:lineRule="exact"/>
        <w:rPr>
          <w:rFonts w:ascii="Times New Roman" w:cs="Times New Roman" w:eastAsia="Times New Roman" w:hAnsi="Times New Roman"/>
          <w:sz w:val="20"/>
          <w:szCs w:val="20"/>
          <w:color w:val="auto"/>
        </w:rPr>
      </w:pPr>
    </w:p>
    <w:p>
      <w:pPr>
        <w:jc w:val="both"/>
        <w:ind w:firstLine="656"/>
        <w:spacing w:after="0" w:line="223" w:lineRule="auto"/>
        <w:tabs>
          <w:tab w:leader="none" w:pos="129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Applicability of ISP</w:t>
      </w:r>
      <w:r>
        <w:rPr>
          <w:rFonts w:ascii="Times New Roman" w:cs="Times New Roman" w:eastAsia="Times New Roman" w:hAnsi="Times New Roman"/>
          <w:sz w:val="20"/>
          <w:szCs w:val="20"/>
          <w:color w:val="auto"/>
        </w:rPr>
        <w:t>. Unless otherwise expressly agreed by the L/C Issuer and the Borrower when a Letter of Credit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by it (including any such agreement applicable to an Existing Letter of Credit), the rules of the ISP shall apply to each standby Letter of Credit. Notwithstanding the foregoing, the L/C Issuer shall not be responsible to the Borrower for, and the L/C Issuer’s rights and remedies against the Borrower shall not be impaired by, any action or inaction of the L/C Issuer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or permitted under any law, order, or practice that is required or permitted to be applied to any Letter of Credit or this Agreement, including</w:t>
      </w:r>
    </w:p>
    <w:p>
      <w:pPr>
        <w:spacing w:after="0" w:line="204" w:lineRule="auto"/>
        <w:rPr>
          <w:sz w:val="20"/>
          <w:szCs w:val="20"/>
          <w:color w:val="auto"/>
        </w:rPr>
      </w:pPr>
      <w:r>
        <w:rPr>
          <w:rFonts w:ascii="Times New Roman" w:cs="Times New Roman" w:eastAsia="Times New Roman" w:hAnsi="Times New Roman"/>
          <w:sz w:val="20"/>
          <w:szCs w:val="20"/>
          <w:color w:val="auto"/>
        </w:rPr>
        <w:t>the Law or any order of a jurisdiction where the L/C Issuer or the beneficiary is located, the practice stated in the ISP, or in the decisions, opinions, practice statements, or official commentary of the ICC Banking Commission, the Bankers Association for Finance and Trade -</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International Financial Services Association (BAFT-IFSA), or the Institute of International Banking Law &amp; Practice, whether or not any Letter of Credit chooses such law or practice.</w:t>
      </w:r>
    </w:p>
    <w:p>
      <w:pPr>
        <w:spacing w:after="0" w:line="145" w:lineRule="exact"/>
        <w:rPr>
          <w:sz w:val="20"/>
          <w:szCs w:val="20"/>
          <w:color w:val="auto"/>
        </w:rPr>
      </w:pPr>
    </w:p>
    <w:p>
      <w:pPr>
        <w:jc w:val="both"/>
        <w:ind w:firstLine="656"/>
        <w:spacing w:after="0" w:line="219" w:lineRule="auto"/>
        <w:tabs>
          <w:tab w:leader="none" w:pos="12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Benefits</w:t>
      </w:r>
      <w:r>
        <w:rPr>
          <w:rFonts w:ascii="Times New Roman" w:cs="Times New Roman" w:eastAsia="Times New Roman" w:hAnsi="Times New Roman"/>
          <w:sz w:val="20"/>
          <w:szCs w:val="20"/>
          <w:color w:val="auto"/>
        </w:rPr>
        <w:t>. The L/C Issuer shall act on behalf of the Lenders with respect to any Letters of Credit issued by it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documents associated therewith, and the L/C Issuer shall have all of the benefits and immunities (i) provided to the Administrative Agent in </w:t>
      </w:r>
      <w:r>
        <w:rPr>
          <w:rFonts w:ascii="Times New Roman" w:cs="Times New Roman" w:eastAsia="Times New Roman" w:hAnsi="Times New Roman"/>
          <w:sz w:val="20"/>
          <w:szCs w:val="20"/>
          <w:i w:val="1"/>
          <w:iCs w:val="1"/>
          <w:color w:val="auto"/>
        </w:rPr>
        <w:t xml:space="preserve">Article IX </w:t>
      </w:r>
      <w:r>
        <w:rPr>
          <w:rFonts w:ascii="Times New Roman" w:cs="Times New Roman" w:eastAsia="Times New Roman" w:hAnsi="Times New Roman"/>
          <w:sz w:val="20"/>
          <w:szCs w:val="20"/>
          <w:color w:val="auto"/>
        </w:rPr>
        <w:t>with respect to any acts taken or omissions suffered by the L/C Issuer in connection with Letters of Credit issued by it or proposed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issued by it and Issuer Documents pertaining to such Letters of Credit as fully as if the term “</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 xml:space="preserve">” as used in </w:t>
      </w:r>
      <w:r>
        <w:rPr>
          <w:rFonts w:ascii="Times New Roman" w:cs="Times New Roman" w:eastAsia="Times New Roman" w:hAnsi="Times New Roman"/>
          <w:sz w:val="20"/>
          <w:szCs w:val="20"/>
          <w:b w:val="1"/>
          <w:bCs w:val="1"/>
          <w:i w:val="1"/>
          <w:iCs w:val="1"/>
          <w:color w:val="auto"/>
        </w:rPr>
        <w:t xml:space="preserve">Article IX </w:t>
      </w:r>
      <w:r>
        <w:rPr>
          <w:rFonts w:ascii="Times New Roman" w:cs="Times New Roman" w:eastAsia="Times New Roman" w:hAnsi="Times New Roman"/>
          <w:sz w:val="20"/>
          <w:szCs w:val="20"/>
          <w:color w:val="auto"/>
        </w:rPr>
        <w:t>included the L/C Issuer with respect to such acts or omissions, and (ii) as additionally provided herein with respect to the L/C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Issuer.</w:t>
      </w:r>
    </w:p>
    <w:p>
      <w:pPr>
        <w:spacing w:after="0" w:line="144" w:lineRule="exact"/>
        <w:rPr>
          <w:rFonts w:ascii="Times New Roman" w:cs="Times New Roman" w:eastAsia="Times New Roman" w:hAnsi="Times New Roman"/>
          <w:sz w:val="20"/>
          <w:szCs w:val="20"/>
          <w:color w:val="auto"/>
        </w:rPr>
      </w:pPr>
    </w:p>
    <w:p>
      <w:pPr>
        <w:jc w:val="both"/>
        <w:ind w:firstLine="656"/>
        <w:spacing w:after="0" w:line="213" w:lineRule="auto"/>
        <w:tabs>
          <w:tab w:leader="none" w:pos="129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Letter of Credit Fees</w:t>
      </w:r>
      <w:r>
        <w:rPr>
          <w:rFonts w:ascii="Times New Roman" w:cs="Times New Roman" w:eastAsia="Times New Roman" w:hAnsi="Times New Roman"/>
          <w:sz w:val="20"/>
          <w:szCs w:val="20"/>
          <w:color w:val="auto"/>
        </w:rPr>
        <w:t>. The Borrower shall pay to the Administrative Agent for the account of each Lender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its Applicable Revolving Percentage a Letter of Credit fee (the “</w:t>
      </w:r>
      <w:r>
        <w:rPr>
          <w:rFonts w:ascii="Times New Roman" w:cs="Times New Roman" w:eastAsia="Times New Roman" w:hAnsi="Times New Roman"/>
          <w:sz w:val="20"/>
          <w:szCs w:val="20"/>
          <w:b w:val="1"/>
          <w:bCs w:val="1"/>
          <w:i w:val="1"/>
          <w:iCs w:val="1"/>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i w:val="1"/>
          <w:iCs w:val="1"/>
          <w:color w:val="auto"/>
        </w:rPr>
        <w:t>times</w:t>
      </w:r>
      <w:r>
        <w:rPr>
          <w:rFonts w:ascii="Times New Roman" w:cs="Times New Roman" w:eastAsia="Times New Roman" w:hAnsi="Times New Roman"/>
          <w:sz w:val="20"/>
          <w:szCs w:val="20"/>
          <w:color w:val="auto"/>
        </w:rPr>
        <w:t xml:space="preserve"> the Dollar Equivalent of the daily amount available to be drawn under such Letter of Credit. For purposes of computing the daily amount available to be drawn under any standby Letter of Credit, the amount of such Letter of Credit shall be determined in accordance with </w:t>
      </w:r>
      <w:r>
        <w:rPr>
          <w:rFonts w:ascii="Times New Roman" w:cs="Times New Roman" w:eastAsia="Times New Roman" w:hAnsi="Times New Roman"/>
          <w:sz w:val="20"/>
          <w:szCs w:val="20"/>
          <w:b w:val="1"/>
          <w:bCs w:val="1"/>
          <w:i w:val="1"/>
          <w:iCs w:val="1"/>
          <w:color w:val="auto"/>
        </w:rPr>
        <w:t>Section 1.06</w:t>
      </w:r>
      <w:r>
        <w:rPr>
          <w:rFonts w:ascii="Times New Roman" w:cs="Times New Roman" w:eastAsia="Times New Roman" w:hAnsi="Times New Roman"/>
          <w:sz w:val="20"/>
          <w:szCs w:val="20"/>
          <w:color w:val="auto"/>
        </w:rPr>
        <w:t>. Letter of Credit Fees shall be (i) payable on the first Business Day following each fiscal quarter end, commencing with the first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such date to occur after the issuance of such Letter of Credit at the time of issuance of such Letter of Credit on the Letter of Credit Expiration Date and thereafter on demand and (ii) accrued through and including the last day of each fiscal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44"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Documentary and Processing Charges Payable to L/C Issuer</w:t>
      </w:r>
      <w:r>
        <w:rPr>
          <w:rFonts w:ascii="Times New Roman" w:cs="Times New Roman" w:eastAsia="Times New Roman" w:hAnsi="Times New Roman"/>
          <w:sz w:val="20"/>
          <w:szCs w:val="20"/>
          <w:color w:val="auto"/>
        </w:rPr>
        <w:t>. For purposes of computing the daily amount available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drawn under any Letter of Credit, the amount of such Letter of Credit shall be determined in accordance with </w:t>
      </w:r>
      <w:r>
        <w:rPr>
          <w:rFonts w:ascii="Times New Roman" w:cs="Times New Roman" w:eastAsia="Times New Roman" w:hAnsi="Times New Roman"/>
          <w:sz w:val="20"/>
          <w:szCs w:val="20"/>
          <w:b w:val="1"/>
          <w:bCs w:val="1"/>
          <w:i w:val="1"/>
          <w:iCs w:val="1"/>
          <w:color w:val="auto"/>
        </w:rPr>
        <w:t>Section 1.06</w:t>
      </w:r>
      <w:r>
        <w:rPr>
          <w:rFonts w:ascii="Times New Roman" w:cs="Times New Roman" w:eastAsia="Times New Roman" w:hAnsi="Times New Roman"/>
          <w:sz w:val="20"/>
          <w:szCs w:val="20"/>
          <w:color w:val="auto"/>
        </w:rPr>
        <w:t>. The Borrower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60"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Disbursement Procedures</w:t>
      </w:r>
      <w:r>
        <w:rPr>
          <w:rFonts w:ascii="Times New Roman" w:cs="Times New Roman" w:eastAsia="Times New Roman" w:hAnsi="Times New Roman"/>
          <w:sz w:val="20"/>
          <w:szCs w:val="20"/>
          <w:color w:val="auto"/>
        </w:rPr>
        <w:t>. The L/C Issuer for any Letter of Credit shall, within the time allowed by Applicable Laws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the L/C Issuer and the Lenders with respect to any such L/C Disbursement.</w:t>
      </w:r>
    </w:p>
    <w:p>
      <w:pPr>
        <w:spacing w:after="0" w:line="156"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Interim Interest</w:t>
      </w:r>
      <w:r>
        <w:rPr>
          <w:rFonts w:ascii="Times New Roman" w:cs="Times New Roman" w:eastAsia="Times New Roman" w:hAnsi="Times New Roman"/>
          <w:sz w:val="20"/>
          <w:szCs w:val="20"/>
          <w:color w:val="auto"/>
        </w:rPr>
        <w:t>. If the L/C Issuer for any standby Letter of Credit shall make any L/C Disbursement, then, 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fails to reimburse such L/C Disbursement when due pursuant to </w:t>
      </w:r>
      <w:r>
        <w:rPr>
          <w:rFonts w:ascii="Times New Roman" w:cs="Times New Roman" w:eastAsia="Times New Roman" w:hAnsi="Times New Roman"/>
          <w:sz w:val="20"/>
          <w:szCs w:val="20"/>
          <w:b w:val="1"/>
          <w:bCs w:val="1"/>
          <w:i w:val="1"/>
          <w:iCs w:val="1"/>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b w:val="1"/>
          <w:bCs w:val="1"/>
          <w:i w:val="1"/>
          <w:iCs w:val="1"/>
          <w:color w:val="auto"/>
        </w:rPr>
        <w:t>Section 2.08(b)</w:t>
      </w:r>
      <w:r>
        <w:rPr>
          <w:rFonts w:ascii="Times New Roman" w:cs="Times New Roman" w:eastAsia="Times New Roman" w:hAnsi="Times New Roman"/>
          <w:sz w:val="20"/>
          <w:szCs w:val="20"/>
          <w:color w:val="auto"/>
        </w:rPr>
        <w:t xml:space="preserve"> shall apply. Interest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accrued pursuant to this </w:t>
      </w:r>
      <w:r>
        <w:rPr>
          <w:rFonts w:ascii="Times New Roman" w:cs="Times New Roman" w:eastAsia="Times New Roman" w:hAnsi="Times New Roman"/>
          <w:sz w:val="20"/>
          <w:szCs w:val="20"/>
          <w:b w:val="1"/>
          <w:bCs w:val="1"/>
          <w:i w:val="1"/>
          <w:iCs w:val="1"/>
          <w:color w:val="auto"/>
        </w:rPr>
        <w:t>clause (o)</w:t>
      </w:r>
      <w:r>
        <w:rPr>
          <w:rFonts w:ascii="Times New Roman" w:cs="Times New Roman" w:eastAsia="Times New Roman" w:hAnsi="Times New Roman"/>
          <w:sz w:val="20"/>
          <w:szCs w:val="20"/>
          <w:color w:val="auto"/>
        </w:rPr>
        <w:t xml:space="preserve"> shall be for account of the L/C Issuer, except that interest accrued on and after the date of payment by any Lender pursuant to </w:t>
      </w:r>
      <w:r>
        <w:rPr>
          <w:rFonts w:ascii="Times New Roman" w:cs="Times New Roman" w:eastAsia="Times New Roman" w:hAnsi="Times New Roman"/>
          <w:sz w:val="20"/>
          <w:szCs w:val="20"/>
          <w:b w:val="1"/>
          <w:bCs w:val="1"/>
          <w:i w:val="1"/>
          <w:iCs w:val="1"/>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to reimburse the L/C Issuer shall be for account of such Lender to the extent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w:t>
      </w:r>
    </w:p>
    <w:p>
      <w:pPr>
        <w:spacing w:after="0" w:line="163" w:lineRule="exact"/>
        <w:rPr>
          <w:sz w:val="20"/>
          <w:szCs w:val="20"/>
          <w:color w:val="auto"/>
        </w:rPr>
      </w:pPr>
    </w:p>
    <w:p>
      <w:pPr>
        <w:jc w:val="both"/>
        <w:ind w:firstLine="656"/>
        <w:spacing w:after="0" w:line="224" w:lineRule="auto"/>
        <w:tabs>
          <w:tab w:leader="none" w:pos="128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Replacement of the 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 Issuer</w:t>
      </w:r>
      <w:r>
        <w:rPr>
          <w:rFonts w:ascii="Times New Roman" w:cs="Times New Roman" w:eastAsia="Times New Roman" w:hAnsi="Times New Roman"/>
          <w:sz w:val="19"/>
          <w:szCs w:val="19"/>
          <w:color w:val="auto"/>
        </w:rPr>
        <w:t>. The L/C Issuer may be replaced at any time by written agreement between the 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19"/>
          <w:szCs w:val="19"/>
          <w:b w:val="1"/>
          <w:bCs w:val="1"/>
          <w:i w:val="1"/>
          <w:iCs w:val="1"/>
          <w:color w:val="auto"/>
        </w:rPr>
        <w:t>Section 2.03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w:t>
      </w:r>
      <w:r>
        <w:rPr>
          <w:rFonts w:ascii="Times New Roman" w:cs="Times New Roman" w:eastAsia="Times New Roman" w:hAnsi="Times New Roman"/>
          <w:sz w:val="19"/>
          <w:szCs w:val="19"/>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w:t>
      </w:r>
      <w:r>
        <w:rPr>
          <w:rFonts w:ascii="Times New Roman" w:cs="Times New Roman" w:eastAsia="Times New Roman" w:hAnsi="Times New Roman"/>
          <w:sz w:val="19"/>
          <w:szCs w:val="19"/>
          <w:b w:val="1"/>
          <w:bCs w:val="1"/>
          <w:i w:val="1"/>
          <w:iCs w:val="1"/>
          <w:color w:val="auto"/>
        </w:rPr>
        <w:t>L/C Issuer</w:t>
      </w:r>
      <w:r>
        <w:rPr>
          <w:rFonts w:ascii="Times New Roman" w:cs="Times New Roman" w:eastAsia="Times New Roman" w:hAnsi="Times New Roman"/>
          <w:sz w:val="19"/>
          <w:szCs w:val="19"/>
          <w:color w:val="auto"/>
        </w:rPr>
        <w:t>”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6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Collateralization</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shall occur and be continuing, on the Business Day that the Borrower receives notice from the Administrative Agent or the Required Lenders (or, if the maturity of the Loans has been accelerated, Lenders with L/C Obligations representing at least 66-2/3% of the total L/C Obligations) demanding the deposit of Cash Collateral pursuant to this </w:t>
      </w:r>
      <w:r>
        <w:rPr>
          <w:rFonts w:ascii="Times New Roman" w:cs="Times New Roman" w:eastAsia="Times New Roman" w:hAnsi="Times New Roman"/>
          <w:sz w:val="20"/>
          <w:szCs w:val="20"/>
          <w:b w:val="1"/>
          <w:bCs w:val="1"/>
          <w:i w:val="1"/>
          <w:iCs w:val="1"/>
          <w:color w:val="auto"/>
        </w:rPr>
        <w:t>clause (q)</w:t>
      </w:r>
      <w:r>
        <w:rPr>
          <w:rFonts w:ascii="Times New Roman" w:cs="Times New Roman" w:eastAsia="Times New Roman" w:hAnsi="Times New Roman"/>
          <w:sz w:val="20"/>
          <w:szCs w:val="20"/>
          <w:color w:val="auto"/>
        </w:rPr>
        <w:t>, the Borrower shall immediately deposit into an account established and maintained on the books and records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Administrative Agent (the “</w:t>
      </w:r>
      <w:r>
        <w:rPr>
          <w:rFonts w:ascii="Times New Roman" w:cs="Times New Roman" w:eastAsia="Times New Roman" w:hAnsi="Times New Roman"/>
          <w:sz w:val="20"/>
          <w:szCs w:val="20"/>
          <w:b w:val="1"/>
          <w:bCs w:val="1"/>
          <w:i w:val="1"/>
          <w:iCs w:val="1"/>
          <w:color w:val="auto"/>
        </w:rPr>
        <w:t>Collateral Account</w:t>
      </w:r>
      <w:r>
        <w:rPr>
          <w:rFonts w:ascii="Times New Roman" w:cs="Times New Roman" w:eastAsia="Times New Roman" w:hAnsi="Times New Roman"/>
          <w:sz w:val="20"/>
          <w:szCs w:val="20"/>
          <w:color w:val="auto"/>
        </w:rPr>
        <w:t xml:space="preserve">”) an amount in cash equal to 105% of the total L/C Obligations as of such date plus any accrued and unpaid interest thereon,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b w:val="1"/>
          <w:bCs w:val="1"/>
          <w:i w:val="1"/>
          <w:iCs w:val="1"/>
          <w:color w:val="auto"/>
        </w:rPr>
        <w:t>clause (f)</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i w:val="1"/>
          <w:iCs w:val="1"/>
          <w:color w:val="auto"/>
        </w:rPr>
        <w:t>Section 8.01</w:t>
      </w:r>
      <w:r>
        <w:rPr>
          <w:rFonts w:ascii="Times New Roman" w:cs="Times New Roman" w:eastAsia="Times New Roman" w:hAnsi="Times New Roman"/>
          <w:sz w:val="20"/>
          <w:szCs w:val="20"/>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20"/>
          <w:szCs w:val="20"/>
          <w:b w:val="1"/>
          <w:bCs w:val="1"/>
          <w:i w:val="1"/>
          <w:iCs w:val="1"/>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if any L/C Obligations remain outstanding after the expiration date specified in said </w:t>
      </w:r>
      <w:r>
        <w:rPr>
          <w:rFonts w:ascii="Times New Roman" w:cs="Times New Roman" w:eastAsia="Times New Roman" w:hAnsi="Times New Roman"/>
          <w:sz w:val="20"/>
          <w:szCs w:val="20"/>
          <w:b w:val="1"/>
          <w:bCs w:val="1"/>
          <w:i w:val="1"/>
          <w:iCs w:val="1"/>
          <w:color w:val="auto"/>
        </w:rPr>
        <w:t>clause (d)</w:t>
      </w:r>
      <w:r>
        <w:rPr>
          <w:rFonts w:ascii="Times New Roman" w:cs="Times New Roman" w:eastAsia="Times New Roman" w:hAnsi="Times New Roman"/>
          <w:sz w:val="20"/>
          <w:szCs w:val="20"/>
          <w:color w:val="auto"/>
        </w:rPr>
        <w:t>, the Borrower shall immediately deposit into the Collateral Account an amount in cash equal to 105% of such L/C Obligations as of such date plus any accrued and unpaid interest thereon.</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applied to satisfy other obligations of the Borrower under this Agreement. If the Borrower is required to provide an amount of Cash</w:t>
      </w:r>
    </w:p>
    <w:p>
      <w:pPr>
        <w:ind w:left="660"/>
        <w:spacing w:after="0" w:line="221" w:lineRule="auto"/>
        <w:rPr>
          <w:sz w:val="20"/>
          <w:szCs w:val="20"/>
          <w:color w:val="auto"/>
        </w:rPr>
      </w:pPr>
      <w:r>
        <w:rPr>
          <w:rFonts w:ascii="Times New Roman" w:cs="Times New Roman" w:eastAsia="Times New Roman" w:hAnsi="Times New Roman"/>
          <w:sz w:val="20"/>
          <w:szCs w:val="20"/>
          <w:color w:val="auto"/>
        </w:rPr>
        <w:t>Collateral hereunder as a result of the occurrence of an Event of Default, such amount (to the extent not applied as aforesaid) shall be returned to the Borrower within three Business Days after all Events of Default have been cured or waived.</w:t>
      </w:r>
    </w:p>
    <w:p>
      <w:pPr>
        <w:spacing w:after="0" w:line="158" w:lineRule="exact"/>
        <w:rPr>
          <w:sz w:val="20"/>
          <w:szCs w:val="20"/>
          <w:color w:val="auto"/>
        </w:rPr>
      </w:pPr>
    </w:p>
    <w:p>
      <w:pPr>
        <w:jc w:val="both"/>
        <w:ind w:firstLine="656"/>
        <w:spacing w:after="0" w:line="216" w:lineRule="auto"/>
        <w:tabs>
          <w:tab w:leader="none" w:pos="129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 of any obligations of, or is for the account of, a Subsidiary, the Borrower shall be obligated to reimburse, indemnify and compensate the L/C Issuer hereunder for any and all drawings under such Letter of Credit as if such Letter of Credit had been issues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57" w:lineRule="exact"/>
        <w:rPr>
          <w:rFonts w:ascii="Times New Roman" w:cs="Times New Roman" w:eastAsia="Times New Roman" w:hAnsi="Times New Roman"/>
          <w:sz w:val="20"/>
          <w:szCs w:val="20"/>
          <w:color w:val="auto"/>
        </w:rPr>
      </w:pPr>
    </w:p>
    <w:p>
      <w:pPr>
        <w:ind w:firstLine="656"/>
        <w:spacing w:after="0" w:line="235" w:lineRule="auto"/>
        <w:tabs>
          <w:tab w:leader="none" w:pos="128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the terms hereof shall control.</w:t>
      </w:r>
    </w:p>
    <w:p>
      <w:pPr>
        <w:spacing w:after="0" w:line="15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L/C Issuers</w:t>
      </w:r>
      <w:r>
        <w:rPr>
          <w:rFonts w:ascii="Times New Roman" w:cs="Times New Roman" w:eastAsia="Times New Roman" w:hAnsi="Times New Roman"/>
          <w:sz w:val="20"/>
          <w:szCs w:val="20"/>
          <w:color w:val="auto"/>
        </w:rPr>
        <w:t>. Any Lender hereunder may become an L/C Issuer with the prior written consent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upon receipt by the Administrative Agent of a fully executed Notice of Additional L/C Issuer which shall be signed by the Borrower, the Administrative Agent and each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147"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b w:val="1"/>
          <w:bCs w:val="1"/>
          <w:color w:val="auto"/>
        </w:rPr>
        <w:t>Swingline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0" w:lineRule="auto"/>
        <w:tabs>
          <w:tab w:leader="none" w:pos="128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Swingline</w:t>
      </w:r>
      <w:r>
        <w:rPr>
          <w:rFonts w:ascii="Times New Roman" w:cs="Times New Roman" w:eastAsia="Times New Roman" w:hAnsi="Times New Roman"/>
          <w:sz w:val="20"/>
          <w:szCs w:val="20"/>
          <w:color w:val="auto"/>
        </w:rPr>
        <w:t>. Subject to the terms and conditions set forth herein, the Swingline Lender, in reliance upon the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other Lenders set forth in this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may in its sole discretion make loans to the Borrower (each such loan, a “</w:t>
      </w:r>
      <w:r>
        <w:rPr>
          <w:rFonts w:ascii="Times New Roman" w:cs="Times New Roman" w:eastAsia="Times New Roman" w:hAnsi="Times New Roman"/>
          <w:sz w:val="20"/>
          <w:szCs w:val="20"/>
          <w:b w:val="1"/>
          <w:bCs w:val="1"/>
          <w:i w:val="1"/>
          <w:iCs w:val="1"/>
          <w:color w:val="auto"/>
        </w:rPr>
        <w:t>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Each such Swingline Loan may be made, subject to the terms and conditions set forth herein, to the Borrower, in Dollars, from 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to time on any Business Day during the Availability Period in an aggregate amount not to exceed at any time outstanding the amount of the Swingline Sublimit;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 after giving effect to any Swingline Loan, (A) the Total Revolving Outstandings shall not exceed the Revolving Facility at such time, (B) the Revolving Exposure of any Lender at such time shall not exceed such Lender’s Revolving Commitment and (C) the aggregate amount of all Swingline Loans advanced by the Swingline Lender outstanding shall not exceed the Swingline Commitment of the Swingline Lender,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prepay under</w:t>
      </w:r>
      <w:r>
        <w:rPr>
          <w:rFonts w:ascii="Times New Roman" w:cs="Times New Roman" w:eastAsia="Times New Roman" w:hAnsi="Times New Roman"/>
          <w:sz w:val="20"/>
          <w:szCs w:val="20"/>
          <w:b w:val="1"/>
          <w:bCs w:val="1"/>
          <w:i w:val="1"/>
          <w:iCs w:val="1"/>
          <w:color w:val="auto"/>
        </w:rPr>
        <w:t xml:space="preserve"> Section 2.05</w:t>
      </w:r>
      <w:r>
        <w:rPr>
          <w:rFonts w:ascii="Times New Roman" w:cs="Times New Roman" w:eastAsia="Times New Roman" w:hAnsi="Times New Roman"/>
          <w:sz w:val="20"/>
          <w:szCs w:val="20"/>
          <w:color w:val="auto"/>
        </w:rPr>
        <w:t>, and reborrow under this</w:t>
      </w:r>
      <w:r>
        <w:rPr>
          <w:rFonts w:ascii="Times New Roman" w:cs="Times New Roman" w:eastAsia="Times New Roman" w:hAnsi="Times New Roman"/>
          <w:sz w:val="20"/>
          <w:szCs w:val="20"/>
          <w:b w:val="1"/>
          <w:bCs w:val="1"/>
          <w:i w:val="1"/>
          <w:iCs w:val="1"/>
          <w:color w:val="auto"/>
        </w:rPr>
        <w:t xml:space="preserve"> Section 2.04</w:t>
      </w:r>
      <w:r>
        <w:rPr>
          <w:rFonts w:ascii="Times New Roman" w:cs="Times New Roman" w:eastAsia="Times New Roman" w:hAnsi="Times New Roman"/>
          <w:sz w:val="20"/>
          <w:szCs w:val="20"/>
          <w:color w:val="auto"/>
        </w:rPr>
        <w:t>. Each Swingline Loan shall bear interest only at a rate 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the Base Rate plus the Applicable Rate. Immediately upon the making of a Swingline Loan, each Lender shall be deemed to, and hereby irrevocably and unconditionally agrees to, purchase from the Swingline Lender a risk participation in such Swingline Loan in an amount equal to the product of such Lender’s Applicable Revolving Percentage times the amount of such Swingline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80" w:hanging="638"/>
        <w:spacing w:after="0"/>
        <w:tabs>
          <w:tab w:leader="none" w:pos="12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Borrowing Procedures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40" w:firstLine="644"/>
        <w:spacing w:after="0" w:line="210" w:lineRule="auto"/>
        <w:tabs>
          <w:tab w:leader="none" w:pos="193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Swingline Borrowing shall be made upon the Borrower’s irrevocable notice to the Swingline Lender and the Administrative Agent, which may be given by: (ii) telephone or (iii) a Swingline Loan Notice; provided 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Borrowing (1) directing the Swingline Lender not to make such Swingline Loan as a result of the limitations set forth in the first proviso to the first sentence of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or (2) that one or more of the applicable conditions specified in </w:t>
      </w:r>
      <w:r>
        <w:rPr>
          <w:rFonts w:ascii="Times New Roman" w:cs="Times New Roman" w:eastAsia="Times New Roman" w:hAnsi="Times New Roman"/>
          <w:sz w:val="20"/>
          <w:szCs w:val="20"/>
          <w:b w:val="1"/>
          <w:bCs w:val="1"/>
          <w:i w:val="1"/>
          <w:iCs w:val="1"/>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 at its office by crediting the account of the Borrower on the books of the Swingline Lender in Same Day Funds.</w:t>
      </w:r>
    </w:p>
    <w:p>
      <w:pPr>
        <w:spacing w:after="0" w:line="163" w:lineRule="exact"/>
        <w:rPr>
          <w:rFonts w:ascii="Times New Roman" w:cs="Times New Roman" w:eastAsia="Times New Roman" w:hAnsi="Times New Roman"/>
          <w:sz w:val="20"/>
          <w:szCs w:val="20"/>
          <w:color w:val="auto"/>
        </w:rPr>
      </w:pPr>
    </w:p>
    <w:p>
      <w:pPr>
        <w:ind w:left="1280" w:hanging="644"/>
        <w:spacing w:after="0"/>
        <w:tabs>
          <w:tab w:leader="none" w:pos="12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Refinancing of Swingline Loans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640" w:firstLine="644"/>
        <w:spacing w:after="0" w:line="211" w:lineRule="auto"/>
        <w:tabs>
          <w:tab w:leader="none" w:pos="193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at any time in its sole discretion may request, on behalf of the Borrower (which hereby irrevocably authorizes the Swingline Lender to so request on its behalf), that each Lender make a Base Rate Loan in an amount equal to such Lender’s Applicable Revolving Percentage of the amount of Swingline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b w:val="1"/>
          <w:bCs w:val="1"/>
          <w:i w:val="1"/>
          <w:iCs w:val="1"/>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Revolving Facility and the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The Swingline Lender shall furnish the Borrower with a copy of the applicable Loan Notice promptly after delivering such notice to the Administrative Agent. Each Lender shall make an amount equal to its Applicable Revolving Percentage of the amount specified in such Loan Notice available to the Administrative Agent in Same Day Funds (and the Administrative Agent may apply Cash Collateral available with respect to the applicable Swingline Loan) for the account of the Swingline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0"/>
          <w:szCs w:val="20"/>
          <w:b w:val="1"/>
          <w:bCs w:val="1"/>
          <w:i w:val="1"/>
          <w:iCs w:val="1"/>
          <w:color w:val="auto"/>
        </w:rPr>
        <w:t>Section 2.04(c)(ii)</w:t>
      </w:r>
      <w:r>
        <w:rPr>
          <w:rFonts w:ascii="Times New Roman" w:cs="Times New Roman" w:eastAsia="Times New Roman" w:hAnsi="Times New Roman"/>
          <w:sz w:val="20"/>
          <w:szCs w:val="20"/>
          <w:color w:val="auto"/>
        </w:rPr>
        <w:t>, each Lender that so makes funds available shall be deemed to have made a Base Rate Loan to the Borrower in such amount. The Administrative Agent shall remit the funds so received to the Swingline Lender.</w:t>
      </w:r>
    </w:p>
    <w:p>
      <w:pPr>
        <w:spacing w:after="0" w:line="166" w:lineRule="exact"/>
        <w:rPr>
          <w:rFonts w:ascii="Times New Roman" w:cs="Times New Roman" w:eastAsia="Times New Roman" w:hAnsi="Times New Roman"/>
          <w:sz w:val="20"/>
          <w:szCs w:val="20"/>
          <w:color w:val="auto"/>
        </w:rPr>
      </w:pPr>
    </w:p>
    <w:p>
      <w:pPr>
        <w:jc w:val="both"/>
        <w:ind w:left="640" w:firstLine="644"/>
        <w:spacing w:after="0" w:line="217" w:lineRule="auto"/>
        <w:tabs>
          <w:tab w:leader="none" w:pos="1935"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the foregoing, if for any reason any Swingline Loan cannot be refinanced by such a Revolving Borrowing in accordance with </w:t>
      </w:r>
      <w:r>
        <w:rPr>
          <w:rFonts w:ascii="Times New Roman" w:cs="Times New Roman" w:eastAsia="Times New Roman" w:hAnsi="Times New Roman"/>
          <w:sz w:val="20"/>
          <w:szCs w:val="20"/>
          <w:b w:val="1"/>
          <w:bCs w:val="1"/>
          <w:i w:val="1"/>
          <w:iCs w:val="1"/>
          <w:color w:val="auto"/>
        </w:rPr>
        <w:t>Section 2.04(c)(i)</w:t>
      </w:r>
      <w:r>
        <w:rPr>
          <w:rFonts w:ascii="Times New Roman" w:cs="Times New Roman" w:eastAsia="Times New Roman" w:hAnsi="Times New Roman"/>
          <w:sz w:val="20"/>
          <w:szCs w:val="20"/>
          <w:color w:val="auto"/>
        </w:rPr>
        <w:t xml:space="preserve"> (including, without limitation, the failure to satisfy the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the request for Base Rate Loans submitted by the Swingline Lender as set forth herein shall be deemed to be a request by the Swingline Lender that each of the Lenders fund its risk participation in the relevant Swingline Loan and each Lender’s payment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60" w:right="20"/>
        <w:spacing w:after="0" w:line="245" w:lineRule="auto"/>
        <w:rPr>
          <w:sz w:val="20"/>
          <w:szCs w:val="20"/>
          <w:color w:val="auto"/>
        </w:rPr>
      </w:pPr>
      <w:r>
        <w:rPr>
          <w:rFonts w:ascii="Times New Roman" w:cs="Times New Roman" w:eastAsia="Times New Roman" w:hAnsi="Times New Roman"/>
          <w:sz w:val="20"/>
          <w:szCs w:val="20"/>
          <w:color w:val="auto"/>
        </w:rPr>
        <w:t xml:space="preserve">Administrative Agent for the account of the Swingline Lender pursuant to </w:t>
      </w:r>
      <w:r>
        <w:rPr>
          <w:rFonts w:ascii="Times New Roman" w:cs="Times New Roman" w:eastAsia="Times New Roman" w:hAnsi="Times New Roman"/>
          <w:sz w:val="20"/>
          <w:szCs w:val="20"/>
          <w:b w:val="1"/>
          <w:bCs w:val="1"/>
          <w:i w:val="1"/>
          <w:iCs w:val="1"/>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82" w:lineRule="exact"/>
        <w:rPr>
          <w:sz w:val="20"/>
          <w:szCs w:val="20"/>
          <w:color w:val="auto"/>
        </w:rPr>
      </w:pPr>
    </w:p>
    <w:p>
      <w:pPr>
        <w:jc w:val="both"/>
        <w:ind w:left="660" w:firstLine="644"/>
        <w:spacing w:after="0" w:line="212" w:lineRule="auto"/>
        <w:tabs>
          <w:tab w:leader="none" w:pos="1956"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20"/>
          <w:szCs w:val="20"/>
          <w:b w:val="1"/>
          <w:bCs w:val="1"/>
          <w:i w:val="1"/>
          <w:iCs w:val="1"/>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b w:val="1"/>
          <w:bCs w:val="1"/>
          <w:i w:val="1"/>
          <w:iCs w:val="1"/>
          <w:color w:val="auto"/>
        </w:rPr>
        <w:t>Section 2.04(c)(i)</w:t>
      </w:r>
      <w:r>
        <w:rPr>
          <w:rFonts w:ascii="Times New Roman" w:cs="Times New Roman" w:eastAsia="Times New Roman" w:hAnsi="Times New Roman"/>
          <w:sz w:val="20"/>
          <w:szCs w:val="20"/>
          <w:color w:val="auto"/>
        </w:rPr>
        <w:t>, the Swingline Lender shall be entitled to recover from such Lender (acting through the Administrative Agent),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demand, such amount with interest thereon for the period from the date such payment is required to the date on which such payment is immediately available to the Swingline Lender at a rate per annum equal to the applicable Overnight Rate from time to time in effect,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Times New Roman" w:cs="Times New Roman" w:eastAsia="Times New Roman" w:hAnsi="Times New Roman"/>
          <w:sz w:val="20"/>
          <w:szCs w:val="20"/>
          <w:b w:val="1"/>
          <w:bCs w:val="1"/>
          <w:i w:val="1"/>
          <w:iCs w:val="1"/>
          <w:color w:val="auto"/>
        </w:rPr>
        <w:t>clause (c)(iii)</w:t>
      </w:r>
      <w:r>
        <w:rPr>
          <w:rFonts w:ascii="Times New Roman" w:cs="Times New Roman" w:eastAsia="Times New Roman" w:hAnsi="Times New Roman"/>
          <w:sz w:val="20"/>
          <w:szCs w:val="20"/>
          <w:color w:val="auto"/>
        </w:rPr>
        <w:t xml:space="preserve"> shall be conclusive absent manifest error.</w:t>
      </w:r>
    </w:p>
    <w:p>
      <w:pPr>
        <w:spacing w:after="0" w:line="155"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5"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to purchase and fund risk participations in Swingline Loans pursuant to this </w:t>
      </w:r>
      <w:r>
        <w:rPr>
          <w:rFonts w:ascii="Times New Roman" w:cs="Times New Roman" w:eastAsia="Times New Roman" w:hAnsi="Times New Roman"/>
          <w:sz w:val="20"/>
          <w:szCs w:val="20"/>
          <w:b w:val="1"/>
          <w:bCs w:val="1"/>
          <w:i w:val="1"/>
          <w:iCs w:val="1"/>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b w:val="1"/>
          <w:bCs w:val="1"/>
          <w:i w:val="1"/>
          <w:iCs w:val="1"/>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4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Repayment of Participations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Swingline Loan, if the Swingline Lender receives any payment on account of such Swingline Loan, the Swingline Lender will distribute to such Lender its Applicable Revolving Percentage thereof in the same funds as those received by the Swingline Lender.</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20"/>
          <w:szCs w:val="20"/>
          <w:b w:val="1"/>
          <w:bCs w:val="1"/>
          <w:i w:val="1"/>
          <w:iCs w:val="1"/>
          <w:color w:val="auto"/>
        </w:rPr>
        <w:t>Section 11.05</w:t>
      </w:r>
      <w:r>
        <w:rPr>
          <w:rFonts w:ascii="Times New Roman" w:cs="Times New Roman" w:eastAsia="Times New Roman" w:hAnsi="Times New Roman"/>
          <w:sz w:val="20"/>
          <w:szCs w:val="20"/>
          <w:color w:val="auto"/>
        </w:rPr>
        <w:t xml:space="preserve"> (including pursuant to any settlement entered into by the Swingline Lender in its discretion), each Lender shall pay to the Swingline Lender its Applicable Revolving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Swingline Lender. The obligations of the Lenders under this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shall survive the payment in full of the Obligations and the termination of this Agreement.</w:t>
      </w:r>
    </w:p>
    <w:p>
      <w:pPr>
        <w:spacing w:after="0" w:line="160"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for Account of Swingline Lender</w:t>
      </w:r>
      <w:r>
        <w:rPr>
          <w:rFonts w:ascii="Times New Roman" w:cs="Times New Roman" w:eastAsia="Times New Roman" w:hAnsi="Times New Roman"/>
          <w:sz w:val="20"/>
          <w:szCs w:val="20"/>
          <w:color w:val="auto"/>
        </w:rPr>
        <w:t>. The Swingline Lender shall be responsible for invoicing the Borrower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interest on the Swingline Loans. Until each Lender funds its Base Rate Loan or risk participation pursuant to this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 xml:space="preserve"> to refinance such Lender’s Applicable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Percentage of any Swingline Loan, interest in respect of such Applicable Revolving Percentage shall be solely for the account of the Swingline Lender.</w:t>
      </w:r>
    </w:p>
    <w:p>
      <w:pPr>
        <w:spacing w:after="0" w:line="144" w:lineRule="exact"/>
        <w:rPr>
          <w:sz w:val="20"/>
          <w:szCs w:val="20"/>
          <w:color w:val="auto"/>
        </w:rPr>
      </w:pPr>
    </w:p>
    <w:p>
      <w:pPr>
        <w:ind w:right="20" w:firstLine="656"/>
        <w:spacing w:after="0" w:line="245" w:lineRule="auto"/>
        <w:tabs>
          <w:tab w:leader="none" w:pos="129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Directly to Swingline Lender</w:t>
      </w:r>
      <w:r>
        <w:rPr>
          <w:rFonts w:ascii="Times New Roman" w:cs="Times New Roman" w:eastAsia="Times New Roman" w:hAnsi="Times New Roman"/>
          <w:sz w:val="20"/>
          <w:szCs w:val="20"/>
          <w:color w:val="auto"/>
        </w:rPr>
        <w:t>. The Borrower shall make all payments of principal and interest in respect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Swingline Loans directly to the Swingline Lender.</w:t>
      </w:r>
    </w:p>
    <w:p>
      <w:pPr>
        <w:spacing w:after="0" w:line="15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b w:val="1"/>
          <w:bCs w:val="1"/>
          <w:color w:val="auto"/>
        </w:rPr>
        <w:t>Prepayments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Optional</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24" w:lineRule="auto"/>
        <w:tabs>
          <w:tab w:leader="none" w:pos="1954"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upon notice to the Administrative Agent pursuant to delivery to the Administrative Agent of a Notice of Loan Prepayment, at any time or from time to time voluntarily prepay Revolving Loans in whole or in part without premium or penalty subject to </w:t>
      </w:r>
      <w:r>
        <w:rPr>
          <w:rFonts w:ascii="Times New Roman" w:cs="Times New Roman" w:eastAsia="Times New Roman" w:hAnsi="Times New Roman"/>
          <w:sz w:val="19"/>
          <w:szCs w:val="19"/>
          <w:b w:val="1"/>
          <w:bCs w:val="1"/>
          <w:i w:val="1"/>
          <w:iCs w:val="1"/>
          <w:color w:val="auto"/>
        </w:rPr>
        <w:t>Section 3.05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such notice must be received by the Administrative Agent not later than 11:00 a.m. (1) three (3) Business Days prior to any date of prepayment of BSBY Rate Loans, (2) four (4) Business Days (or five</w:t>
      </w:r>
    </w:p>
    <w:p>
      <w:pPr>
        <w:spacing w:after="0" w:line="2" w:lineRule="exact"/>
        <w:rPr>
          <w:rFonts w:ascii="Times New Roman" w:cs="Times New Roman" w:eastAsia="Times New Roman" w:hAnsi="Times New Roman"/>
          <w:sz w:val="19"/>
          <w:szCs w:val="19"/>
          <w:color w:val="auto"/>
        </w:rPr>
      </w:pPr>
    </w:p>
    <w:p>
      <w:pPr>
        <w:jc w:val="both"/>
        <w:ind w:left="660"/>
        <w:spacing w:after="0" w:line="20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(5), in the case of prepayment of Alternative Currency Loans denominated in Special Notice Currencies) prior to any date of prepayment of Alternative Currency Loans, and (3) on the date of prepayment of Base Rate Loans; (B) any prepayment of BSBY Rate Loans shall be in a principal amount of $500,000 or a whole multiple of $100,000 in excess thereof; (C) any prepayment of Alternative Currency Loans shall be in a minimum principal amount of $500,000 or a whole multiple of $100,000 in excess thereof; and (D) any prepayment of Base Rate Loans shall be in a principal amount of $500,000 or a whole multiple of $100,000 in excess thereof or, in each case, if less, the entire principal amount thereof then outstanding. Each such notice shall specify the date, the currency, and amount of such prepayment and the Type(s) of Loans to be prepaid and, if BSBY Rate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Borrower, the Borrower shall make such prepayment and the payment amount specified in such notice shall be due and payable on the date specified therein. Any prepayment of principal shall be accompanied by all accrued interest on the amount prepaid, together with any additional amounts required pursuant to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 such prepayments shall be paid to the Lenders in accordance with their respective Applicable Percentages in respect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Revolving Facility.</w:t>
      </w:r>
    </w:p>
    <w:p>
      <w:pPr>
        <w:spacing w:after="0" w:line="171" w:lineRule="exact"/>
        <w:rPr>
          <w:rFonts w:ascii="Times New Roman" w:cs="Times New Roman" w:eastAsia="Times New Roman" w:hAnsi="Times New Roman"/>
          <w:sz w:val="19"/>
          <w:szCs w:val="19"/>
          <w:color w:val="auto"/>
        </w:rPr>
      </w:pPr>
    </w:p>
    <w:p>
      <w:pPr>
        <w:jc w:val="both"/>
        <w:ind w:left="660" w:firstLine="644"/>
        <w:spacing w:after="0" w:line="221" w:lineRule="auto"/>
        <w:tabs>
          <w:tab w:leader="none" w:pos="1955"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unless otherwise agreed by the Swingline Lender, (A) such notice must be received by the Swingline Lender and the Administrative Agent not later than 1:00 p.m. on the date of the prepayment, and</w:t>
      </w:r>
    </w:p>
    <w:p>
      <w:pPr>
        <w:jc w:val="both"/>
        <w:ind w:left="660"/>
        <w:spacing w:after="0" w:line="2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2"/>
        <w:spacing w:after="0" w:line="245" w:lineRule="auto"/>
        <w:tabs>
          <w:tab w:leader="none" w:pos="128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Mandatory</w:t>
      </w:r>
      <w:r>
        <w:rPr>
          <w:rFonts w:ascii="Times New Roman" w:cs="Times New Roman" w:eastAsia="Times New Roman" w:hAnsi="Times New Roman"/>
          <w:sz w:val="20"/>
          <w:szCs w:val="20"/>
          <w:color w:val="auto"/>
        </w:rPr>
        <w:t>. Immediately upon receipt, the Borrower shall prepay the Loan and/or Cash Collateralize the L/C Obligations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hereinafter provided in an aggregate amount equal to:</w:t>
      </w:r>
    </w:p>
    <w:p>
      <w:pPr>
        <w:spacing w:after="0" w:line="137" w:lineRule="exact"/>
        <w:rPr>
          <w:rFonts w:ascii="Times New Roman" w:cs="Times New Roman" w:eastAsia="Times New Roman" w:hAnsi="Times New Roman"/>
          <w:sz w:val="20"/>
          <w:szCs w:val="20"/>
          <w:color w:val="auto"/>
        </w:rPr>
      </w:pPr>
    </w:p>
    <w:p>
      <w:pPr>
        <w:jc w:val="both"/>
        <w:ind w:left="640" w:firstLine="644"/>
        <w:spacing w:after="0" w:line="219" w:lineRule="auto"/>
        <w:tabs>
          <w:tab w:leader="none" w:pos="193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Dispositions and Involuntary Dispositions</w:t>
      </w:r>
      <w:r>
        <w:rPr>
          <w:rFonts w:ascii="Times New Roman" w:cs="Times New Roman" w:eastAsia="Times New Roman" w:hAnsi="Times New Roman"/>
          <w:sz w:val="20"/>
          <w:szCs w:val="20"/>
          <w:color w:val="auto"/>
        </w:rPr>
        <w:t>. 100% of the Net Cash Proceeds from the Disposition of any asset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or any of its Subsidiaries (excluding Dispositions expressly permitted under </w:t>
      </w:r>
      <w:r>
        <w:rPr>
          <w:rFonts w:ascii="Times New Roman" w:cs="Times New Roman" w:eastAsia="Times New Roman" w:hAnsi="Times New Roman"/>
          <w:sz w:val="20"/>
          <w:szCs w:val="20"/>
          <w:b w:val="1"/>
          <w:bCs w:val="1"/>
          <w:i w:val="1"/>
          <w:iCs w:val="1"/>
          <w:color w:val="auto"/>
        </w:rPr>
        <w:t>Section 7.05</w:t>
      </w:r>
      <w:r>
        <w:rPr>
          <w:rFonts w:ascii="Times New Roman" w:cs="Times New Roman" w:eastAsia="Times New Roman" w:hAnsi="Times New Roman"/>
          <w:sz w:val="20"/>
          <w:szCs w:val="20"/>
          <w:color w:val="auto"/>
        </w:rPr>
        <w:t>), unless, prior to or within 30 days after receipt of the proceeds, a Responsible Officer of Borrower delivers to Administrative Agent a certificate certifying that such proceeds will be used to purchase a replacement asset that is substantially similar to the asset being disposed of or to acquire another asset useful in the business of Borrower or such Subsidiary that received the Net Cash Proceeds within 60 days after receipt of such proceeds;</w:t>
      </w:r>
    </w:p>
    <w:p>
      <w:pPr>
        <w:spacing w:after="0" w:line="144" w:lineRule="exact"/>
        <w:rPr>
          <w:rFonts w:ascii="Times New Roman" w:cs="Times New Roman" w:eastAsia="Times New Roman" w:hAnsi="Times New Roman"/>
          <w:sz w:val="20"/>
          <w:szCs w:val="20"/>
          <w:color w:val="auto"/>
        </w:rPr>
      </w:pPr>
    </w:p>
    <w:p>
      <w:pPr>
        <w:jc w:val="both"/>
        <w:ind w:left="640" w:firstLine="644"/>
        <w:spacing w:after="0" w:line="220" w:lineRule="auto"/>
        <w:tabs>
          <w:tab w:leader="none" w:pos="193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Equity Issuance</w:t>
      </w:r>
      <w:r>
        <w:rPr>
          <w:rFonts w:ascii="Times New Roman" w:cs="Times New Roman" w:eastAsia="Times New Roman" w:hAnsi="Times New Roman"/>
          <w:sz w:val="20"/>
          <w:szCs w:val="20"/>
          <w:color w:val="auto"/>
        </w:rPr>
        <w:t>. 50% of the Net Cash Proceeds from the issuance of any Equity Interest by Borrower or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excluding Equity Interests issued (A) to officers or employees of Borrower as part of a compensation agreement, (B) to any current holder of an Equity Interest in Borrower pursuant to a commitment that became legally enforceable against the Borrower prior to the Closing Date, and (C) in connection with an Acquisition to which Administrative Agent has given its prior written consent;</w:t>
      </w:r>
    </w:p>
    <w:p>
      <w:pPr>
        <w:spacing w:after="0" w:line="160" w:lineRule="exact"/>
        <w:rPr>
          <w:rFonts w:ascii="Times New Roman" w:cs="Times New Roman" w:eastAsia="Times New Roman" w:hAnsi="Times New Roman"/>
          <w:sz w:val="20"/>
          <w:szCs w:val="20"/>
          <w:color w:val="auto"/>
        </w:rPr>
      </w:pPr>
    </w:p>
    <w:p>
      <w:pPr>
        <w:ind w:left="640" w:firstLine="644"/>
        <w:spacing w:after="0" w:line="235" w:lineRule="auto"/>
        <w:tabs>
          <w:tab w:leader="none" w:pos="1936"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Consolidated Funded Indebtedness</w:t>
      </w:r>
      <w:r>
        <w:rPr>
          <w:rFonts w:ascii="Times New Roman" w:cs="Times New Roman" w:eastAsia="Times New Roman" w:hAnsi="Times New Roman"/>
          <w:sz w:val="20"/>
          <w:szCs w:val="20"/>
          <w:color w:val="auto"/>
        </w:rPr>
        <w:t>. 100% of the Net Cash Proceeds of any Consolidated Funded Indebtedness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incurred by Borrower or any of its Subsidiaries after the Closing Date, excluding the Obligations;</w:t>
      </w:r>
    </w:p>
    <w:p>
      <w:pPr>
        <w:spacing w:after="0" w:line="157" w:lineRule="exact"/>
        <w:rPr>
          <w:rFonts w:ascii="Times New Roman" w:cs="Times New Roman" w:eastAsia="Times New Roman" w:hAnsi="Times New Roman"/>
          <w:sz w:val="20"/>
          <w:szCs w:val="20"/>
          <w:color w:val="auto"/>
        </w:rPr>
      </w:pPr>
    </w:p>
    <w:p>
      <w:pPr>
        <w:jc w:val="both"/>
        <w:ind w:left="640" w:firstLine="644"/>
        <w:spacing w:after="0" w:line="216" w:lineRule="auto"/>
        <w:tabs>
          <w:tab w:leader="none" w:pos="192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Extraordinary Receipts</w:t>
      </w:r>
      <w:r>
        <w:rPr>
          <w:rFonts w:ascii="Times New Roman" w:cs="Times New Roman" w:eastAsia="Times New Roman" w:hAnsi="Times New Roman"/>
          <w:sz w:val="20"/>
          <w:szCs w:val="20"/>
          <w:color w:val="auto"/>
        </w:rPr>
        <w:t>. 100% of any Extraordinary Receipt, unless, prior to or within 30 days after receipt 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Extraordinary Receipt, a Responsible Officer of the Borrower delivers to Administrative Agent a certificate certifying that such Extraordinary Receipt will be used to repair, restore or replace the remaining portion of the damaged or remaining property or to acquire another asset useful in the business of the Borrower or the Subsidiary that received such Extraordinary Receipt within 180 days after receipt of such proceeds (or such longer period of time as Administrative Agent and the Borrower agree is reasonable for the repair, restoration, replacement of such damaged property or acquisition of such other asset useful in the business of the Borrower or such Subsidiary);</w:t>
      </w:r>
    </w:p>
    <w:p>
      <w:pPr>
        <w:spacing w:after="0" w:line="148"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4" w:lineRule="exact"/>
        <w:rPr>
          <w:rFonts w:ascii="Times New Roman" w:cs="Times New Roman" w:eastAsia="Times New Roman" w:hAnsi="Times New Roman"/>
          <w:sz w:val="20"/>
          <w:szCs w:val="20"/>
          <w:color w:val="auto"/>
        </w:rPr>
      </w:pPr>
    </w:p>
    <w:p>
      <w:pPr>
        <w:jc w:val="both"/>
        <w:ind w:left="640" w:firstLine="644"/>
        <w:spacing w:after="0" w:line="223" w:lineRule="auto"/>
        <w:tabs>
          <w:tab w:leader="none" w:pos="192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 of Payments</w:t>
      </w:r>
      <w:r>
        <w:rPr>
          <w:rFonts w:ascii="Times New Roman" w:cs="Times New Roman" w:eastAsia="Times New Roman" w:hAnsi="Times New Roman"/>
          <w:sz w:val="20"/>
          <w:szCs w:val="20"/>
          <w:color w:val="auto"/>
        </w:rPr>
        <w:t>. Each prepayment of Loans pursuant to the foregoing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clauses (i)</w:t>
      </w:r>
      <w:r>
        <w:rPr>
          <w:rFonts w:ascii="Times New Roman" w:cs="Times New Roman" w:eastAsia="Times New Roman" w:hAnsi="Times New Roman"/>
          <w:sz w:val="20"/>
          <w:szCs w:val="20"/>
          <w:b w:val="1"/>
          <w:bCs w:val="1"/>
          <w:color w:val="auto"/>
        </w:rPr>
        <w:t xml:space="preserve"> through </w:t>
      </w:r>
      <w:r>
        <w:rPr>
          <w:rFonts w:ascii="Times New Roman" w:cs="Times New Roman" w:eastAsia="Times New Roman" w:hAnsi="Times New Roman"/>
          <w:sz w:val="20"/>
          <w:szCs w:val="20"/>
          <w:b w:val="1"/>
          <w:bCs w:val="1"/>
          <w:i w:val="1"/>
          <w:iCs w:val="1"/>
          <w:color w:val="auto"/>
        </w:rPr>
        <w:t>(v)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applied, to the Revolving Facility in the manner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 (viii)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i w:val="1"/>
          <w:iCs w:val="1"/>
          <w:color w:val="auto"/>
        </w:rPr>
        <w:t xml:space="preserve"> Section 2.15</w:t>
      </w:r>
      <w:r>
        <w:rPr>
          <w:rFonts w:ascii="Times New Roman" w:cs="Times New Roman" w:eastAsia="Times New Roman" w:hAnsi="Times New Roman"/>
          <w:sz w:val="20"/>
          <w:szCs w:val="20"/>
          <w:color w:val="auto"/>
        </w:rPr>
        <w:t>, such prepayments shall be paid to the Lenders in accordance with their respective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Applicable Percentages in respect of the relevant Facilities.</w:t>
      </w:r>
    </w:p>
    <w:p>
      <w:pPr>
        <w:spacing w:after="0" w:line="157" w:lineRule="exact"/>
        <w:rPr>
          <w:rFonts w:ascii="Times New Roman" w:cs="Times New Roman" w:eastAsia="Times New Roman" w:hAnsi="Times New Roman"/>
          <w:sz w:val="20"/>
          <w:szCs w:val="20"/>
          <w:color w:val="auto"/>
        </w:rPr>
      </w:pPr>
    </w:p>
    <w:p>
      <w:pPr>
        <w:jc w:val="both"/>
        <w:ind w:left="640" w:firstLine="644"/>
        <w:spacing w:after="0" w:line="218" w:lineRule="auto"/>
        <w:tabs>
          <w:tab w:leader="none" w:pos="192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Revolving Outstandings</w:t>
      </w:r>
      <w:r>
        <w:rPr>
          <w:rFonts w:ascii="Times New Roman" w:cs="Times New Roman" w:eastAsia="Times New Roman" w:hAnsi="Times New Roman"/>
          <w:sz w:val="20"/>
          <w:szCs w:val="20"/>
          <w:color w:val="auto"/>
        </w:rPr>
        <w:t>. If for any reason the Total Revolving Outstandings at any time exceed the Revolving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Facility at such time, the Borrower shall immediately prepay Revolving Loans, Swingline Loans and L/C Borrowings and/or Cash Collateralize the L/C Obligations in an aggregate amount equal to such excess;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Borrower shall not be required to Cash Collateralize the L/C Obligations pursuant to this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 xml:space="preserve"> unless, after the prepayment of the Revolving Loans and Swingline Loans, the Total Revolving Outstandings exceed the Revolving Facility at such time.</w:t>
      </w:r>
    </w:p>
    <w:p>
      <w:pPr>
        <w:spacing w:after="0" w:line="157" w:lineRule="exact"/>
        <w:rPr>
          <w:rFonts w:ascii="Times New Roman" w:cs="Times New Roman" w:eastAsia="Times New Roman" w:hAnsi="Times New Roman"/>
          <w:sz w:val="20"/>
          <w:szCs w:val="20"/>
          <w:color w:val="auto"/>
        </w:rPr>
      </w:pPr>
    </w:p>
    <w:p>
      <w:pPr>
        <w:ind w:left="640" w:firstLine="644"/>
        <w:spacing w:after="0" w:line="245" w:lineRule="auto"/>
        <w:tabs>
          <w:tab w:leader="none" w:pos="1927"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 of Other Payments</w:t>
      </w:r>
      <w:r>
        <w:rPr>
          <w:rFonts w:ascii="Times New Roman" w:cs="Times New Roman" w:eastAsia="Times New Roman" w:hAnsi="Times New Roman"/>
          <w:sz w:val="20"/>
          <w:szCs w:val="20"/>
          <w:color w:val="auto"/>
        </w:rPr>
        <w:t>. Except as otherwise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 prepayments of the Revolving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Facility made pursuant to this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applied ratably to the L/C Borrowings and the Swingline Loans,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shall be applied to the outstanding Revolving Loans, and,</w:t>
      </w:r>
    </w:p>
    <w:p>
      <w:pPr>
        <w:ind w:left="660"/>
        <w:spacing w:after="0" w:line="215" w:lineRule="auto"/>
        <w:rPr>
          <w:sz w:val="20"/>
          <w:szCs w:val="20"/>
          <w:color w:val="auto"/>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at the option of Administrative Agent, shall be used to Cash Collateralize the remaining L/C Obligations. Upon the drawing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Letter of Credit that has been Cash Collateralized, the funds held as Cash Collateral shall be applied (without any further action</w:t>
      </w:r>
    </w:p>
    <w:p>
      <w:pPr>
        <w:ind w:left="660"/>
        <w:spacing w:after="0" w:line="228" w:lineRule="auto"/>
        <w:rPr>
          <w:sz w:val="20"/>
          <w:szCs w:val="20"/>
          <w:color w:val="auto"/>
        </w:rPr>
      </w:pPr>
      <w:r>
        <w:rPr>
          <w:rFonts w:ascii="Times New Roman" w:cs="Times New Roman" w:eastAsia="Times New Roman" w:hAnsi="Times New Roman"/>
          <w:sz w:val="20"/>
          <w:szCs w:val="20"/>
          <w:color w:val="auto"/>
        </w:rPr>
        <w:t>by or notice to or from the Borrower or any other Loan Party or any Defaulting Lender that has provided Cash Collateral) to reimburse the L/C Issuer or the Lenders, as applicable.</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pursuant to this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 xml:space="preserve"> shall be applied first to Base Rate Loans and then to BSBY Rate Loans in direct order of Interest Period maturities. All prepayments under this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 xml:space="preserve"> shall be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58"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b w:val="1"/>
          <w:bCs w:val="1"/>
          <w:color w:val="auto"/>
        </w:rPr>
        <w:t>Termination or Reduction of Commitments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Optional</w:t>
      </w:r>
      <w:r>
        <w:rPr>
          <w:rFonts w:ascii="Times New Roman" w:cs="Times New Roman" w:eastAsia="Times New Roman" w:hAnsi="Times New Roman"/>
          <w:sz w:val="20"/>
          <w:szCs w:val="20"/>
          <w:color w:val="auto"/>
        </w:rPr>
        <w:t>. The Borrower may, upon notice to the Administrative Agent, terminate the Revolving Facility, the Letter of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Sublimit or the Swingline Sublimit, or from time to time permanently reduce the Revolving Facility, the Letter of Credit Sublimit or the Swingline Sublimit; provided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Letter of Credit Sublimit.</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 of Commitment Reductions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Payment of Fees</w:t>
      </w:r>
      <w:r>
        <w:rPr>
          <w:rFonts w:ascii="Times New Roman" w:cs="Times New Roman" w:eastAsia="Times New Roman" w:hAnsi="Times New Roman"/>
          <w:sz w:val="20"/>
          <w:szCs w:val="20"/>
          <w:color w:val="auto"/>
        </w:rPr>
        <w:t>. The Administrative Agent will promptly notify the Lenders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termination or reduction of the Letter of Credit Sublimit, Swingline Sublimit, or the Revolving Commitment under this </w:t>
      </w:r>
      <w:r>
        <w:rPr>
          <w:rFonts w:ascii="Times New Roman" w:cs="Times New Roman" w:eastAsia="Times New Roman" w:hAnsi="Times New Roman"/>
          <w:sz w:val="20"/>
          <w:szCs w:val="20"/>
          <w:b w:val="1"/>
          <w:bCs w:val="1"/>
          <w:i w:val="1"/>
          <w:iCs w:val="1"/>
          <w:color w:val="auto"/>
        </w:rPr>
        <w:t>Section 2.06</w:t>
      </w:r>
      <w:r>
        <w:rPr>
          <w:rFonts w:ascii="Times New Roman" w:cs="Times New Roman" w:eastAsia="Times New Roman" w:hAnsi="Times New Roman"/>
          <w:sz w:val="20"/>
          <w:szCs w:val="20"/>
          <w:color w:val="auto"/>
        </w:rPr>
        <w:t>. Upon any reduction of the Revolving Commitments, the Revolving Commitment of each Lender shall be reduced by such Lender’s Applicable Revolving Percentage of such amount. All fees in respect of the Revolving Facility accrued until the effective date of any termination of the Revolving Facility shall be paid on the effective date of such termination.</w:t>
      </w:r>
    </w:p>
    <w:p>
      <w:pPr>
        <w:spacing w:after="0" w:line="161"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color w:val="auto"/>
        </w:rPr>
        <w:t>2.07</w:t>
      </w:r>
      <w:r>
        <w:rPr>
          <w:sz w:val="20"/>
          <w:szCs w:val="20"/>
          <w:color w:val="auto"/>
        </w:rPr>
        <w:tab/>
      </w:r>
      <w:r>
        <w:rPr>
          <w:rFonts w:ascii="Times New Roman" w:cs="Times New Roman" w:eastAsia="Times New Roman" w:hAnsi="Times New Roman"/>
          <w:sz w:val="19"/>
          <w:szCs w:val="19"/>
          <w:b w:val="1"/>
          <w:bCs w:val="1"/>
          <w:color w:val="auto"/>
        </w:rPr>
        <w:t>Repayment of Loans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firstLine="656"/>
        <w:spacing w:after="0" w:line="245" w:lineRule="auto"/>
        <w:tabs>
          <w:tab w:leader="none" w:pos="128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The Borrower shall repay to the Lenders on the Maturity Date for the Revolving Facility the aggregate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amount of all Revolving Loans outstanding on such date.</w:t>
      </w:r>
    </w:p>
    <w:p>
      <w:pPr>
        <w:spacing w:after="0" w:line="151" w:lineRule="exact"/>
        <w:rPr>
          <w:rFonts w:ascii="Times New Roman" w:cs="Times New Roman" w:eastAsia="Times New Roman" w:hAnsi="Times New Roman"/>
          <w:sz w:val="20"/>
          <w:szCs w:val="20"/>
          <w:color w:val="auto"/>
        </w:rPr>
      </w:pPr>
    </w:p>
    <w:p>
      <w:pPr>
        <w:ind w:right="20" w:firstLine="656"/>
        <w:spacing w:after="0" w:line="235" w:lineRule="auto"/>
        <w:tabs>
          <w:tab w:leader="none" w:pos="128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Swingline Loans</w:t>
      </w:r>
      <w:r>
        <w:rPr>
          <w:rFonts w:ascii="Times New Roman" w:cs="Times New Roman" w:eastAsia="Times New Roman" w:hAnsi="Times New Roman"/>
          <w:sz w:val="20"/>
          <w:szCs w:val="20"/>
          <w:color w:val="auto"/>
        </w:rPr>
        <w:t>. The Borrower shall repay each Swingline Loan on the earlier to occur of (i) the date 10 Business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such Loan is made and (ii) the Maturity Date for the Revolving Facility.</w:t>
      </w:r>
    </w:p>
    <w:p>
      <w:pPr>
        <w:spacing w:after="0" w:line="157"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color w:val="auto"/>
        </w:rPr>
        <w:t>2.08</w:t>
      </w:r>
      <w:r>
        <w:rPr>
          <w:sz w:val="20"/>
          <w:szCs w:val="20"/>
          <w:color w:val="auto"/>
        </w:rPr>
        <w:tab/>
      </w:r>
      <w:r>
        <w:rPr>
          <w:rFonts w:ascii="Times New Roman" w:cs="Times New Roman" w:eastAsia="Times New Roman" w:hAnsi="Times New Roman"/>
          <w:sz w:val="19"/>
          <w:szCs w:val="19"/>
          <w:b w:val="1"/>
          <w:bCs w:val="1"/>
          <w:color w:val="auto"/>
        </w:rPr>
        <w:t>Interest and Default Rate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7" w:lineRule="auto"/>
        <w:tabs>
          <w:tab w:leader="none" w:pos="128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w:t>
      </w:r>
      <w:r>
        <w:rPr>
          <w:rFonts w:ascii="Times New Roman" w:cs="Times New Roman" w:eastAsia="Times New Roman" w:hAnsi="Times New Roman"/>
          <w:sz w:val="20"/>
          <w:szCs w:val="20"/>
          <w:color w:val="auto"/>
        </w:rPr>
        <w:t>. Subject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(i) each BSBY Rate Loan shall bear interest on the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principal amount thereof for each Interest Period from the applicable Borrowing date at a rate per annum equal to the BSBY Rate for such Interest 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 (ii) each Alternative Currency Daily Rate Loan shall bear interest on the outstanding principal amount thereof from the applicable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borrowing date at a rate per annum equal to the applicable Alternative Currency Daily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Rate; (iii) each Alternative Currency Term Rate Loan shall bear interest on the outstanding principal amount thereof for each Interest Period at a rate per annum equal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Alternative Currency Term Rate for such Interest 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(iv) each Base Rate Loan shall bear interest on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outstanding principal amount thereof from the applicable Borrowing date at a rate per annum equal 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and (v) each Swingline Loan shall bear interest on the outstanding principal amount thereof from the applicable Borrowing date at a</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rate per annum equal 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To the extent that any calculation of interest or any fee required to be paid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under this Agreement shall be based on (or result in) a calculation that is </w:t>
      </w:r>
      <w:r>
        <w:rPr>
          <w:rFonts w:ascii="Times New Roman" w:cs="Times New Roman" w:eastAsia="Times New Roman" w:hAnsi="Times New Roman"/>
          <w:sz w:val="20"/>
          <w:szCs w:val="20"/>
          <w:i w:val="1"/>
          <w:iCs w:val="1"/>
          <w:color w:val="auto"/>
        </w:rPr>
        <w:t>less than</w:t>
      </w:r>
      <w:r>
        <w:rPr>
          <w:rFonts w:ascii="Times New Roman" w:cs="Times New Roman" w:eastAsia="Times New Roman" w:hAnsi="Times New Roman"/>
          <w:sz w:val="20"/>
          <w:szCs w:val="20"/>
          <w:color w:val="auto"/>
        </w:rPr>
        <w:t xml:space="preserve"> zero, such calculation shall be deemed zero for purposes of this Agreement.</w:t>
      </w:r>
    </w:p>
    <w:p>
      <w:pPr>
        <w:spacing w:after="0" w:line="158"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95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amount of principal of any Loan is not </w:t>
      </w:r>
      <w:r>
        <w:rPr>
          <w:rFonts w:ascii="Times New Roman" w:cs="Times New Roman" w:eastAsia="Times New Roman" w:hAnsi="Times New Roman"/>
          <w:sz w:val="20"/>
          <w:szCs w:val="20"/>
          <w:i w:val="1"/>
          <w:iCs w:val="1"/>
          <w:color w:val="auto"/>
        </w:rPr>
        <w:t>paid</w:t>
      </w:r>
      <w:r>
        <w:rPr>
          <w:rFonts w:ascii="Times New Roman" w:cs="Times New Roman" w:eastAsia="Times New Roman" w:hAnsi="Times New Roman"/>
          <w:sz w:val="20"/>
          <w:szCs w:val="20"/>
          <w:color w:val="auto"/>
        </w:rPr>
        <w:t xml:space="preserve">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(including a payment default), all outstanding Obligations (including Letter of Credit Fees) may accrue at a fluctuating interest rate per annum at all times equal to the Default Rate to the fullest extent permitted by Applicable Laws.</w:t>
      </w:r>
    </w:p>
    <w:p>
      <w:pPr>
        <w:spacing w:after="0" w:line="15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demand.</w:t>
      </w:r>
    </w:p>
    <w:p>
      <w:pPr>
        <w:spacing w:after="0" w:line="149" w:lineRule="exact"/>
        <w:rPr>
          <w:rFonts w:ascii="Times New Roman" w:cs="Times New Roman" w:eastAsia="Times New Roman" w:hAnsi="Times New Roman"/>
          <w:sz w:val="20"/>
          <w:szCs w:val="20"/>
          <w:color w:val="auto"/>
        </w:rPr>
      </w:pPr>
    </w:p>
    <w:p>
      <w:pPr>
        <w:jc w:val="both"/>
        <w:ind w:firstLine="656"/>
        <w:spacing w:after="0" w:line="232" w:lineRule="auto"/>
        <w:tabs>
          <w:tab w:leader="none" w:pos="107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Payments</w:t>
      </w:r>
      <w:r>
        <w:rPr>
          <w:rFonts w:ascii="Times New Roman" w:cs="Times New Roman" w:eastAsia="Times New Roman" w:hAnsi="Times New Roman"/>
          <w:sz w:val="20"/>
          <w:szCs w:val="20"/>
          <w:color w:val="auto"/>
        </w:rPr>
        <w:t>. Interest on each Loan shall be due and payable in arrears on each Interest Payment Date applicable thereto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2.09</w:t>
      </w:r>
      <w:r>
        <w:rPr>
          <w:sz w:val="20"/>
          <w:szCs w:val="20"/>
          <w:color w:val="auto"/>
        </w:rPr>
        <w:tab/>
      </w: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 In addition to certain fees described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Section 2.03</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Commitment Fee</w:t>
      </w:r>
      <w:r>
        <w:rPr>
          <w:rFonts w:ascii="Times New Roman" w:cs="Times New Roman" w:eastAsia="Times New Roman" w:hAnsi="Times New Roman"/>
          <w:sz w:val="20"/>
          <w:szCs w:val="20"/>
          <w:color w:val="auto"/>
        </w:rPr>
        <w:t>. The Borrower shall pay to the Administrative Agent for the account of each Lender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its Applicable Revolving Percentage, a commitment fee in Dollars equal to the Applicable Rate </w:t>
      </w:r>
      <w:r>
        <w:rPr>
          <w:rFonts w:ascii="Times New Roman" w:cs="Times New Roman" w:eastAsia="Times New Roman" w:hAnsi="Times New Roman"/>
          <w:sz w:val="20"/>
          <w:szCs w:val="20"/>
          <w:i w:val="1"/>
          <w:iCs w:val="1"/>
          <w:color w:val="auto"/>
        </w:rPr>
        <w:t>times</w:t>
      </w:r>
      <w:r>
        <w:rPr>
          <w:rFonts w:ascii="Times New Roman" w:cs="Times New Roman" w:eastAsia="Times New Roman" w:hAnsi="Times New Roman"/>
          <w:sz w:val="20"/>
          <w:szCs w:val="20"/>
          <w:color w:val="auto"/>
        </w:rPr>
        <w:t xml:space="preserve"> the actual daily amount by which the Revolving Facility exceeds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(i) the Outstanding Amount of Revolving Loans and (ii) the Outstanding Amount of L/C Obligations, subject to adjustment as provided in </w:t>
      </w:r>
      <w:r>
        <w:rPr>
          <w:rFonts w:ascii="Times New Roman" w:cs="Times New Roman" w:eastAsia="Times New Roman" w:hAnsi="Times New Roman"/>
          <w:sz w:val="20"/>
          <w:szCs w:val="20"/>
          <w:b w:val="1"/>
          <w:bCs w:val="1"/>
          <w:i w:val="1"/>
          <w:iCs w:val="1"/>
          <w:color w:val="auto"/>
        </w:rPr>
        <w:t>Section 2.15</w:t>
      </w:r>
      <w:r>
        <w:rPr>
          <w:rFonts w:ascii="Times New Roman" w:cs="Times New Roman" w:eastAsia="Times New Roman" w:hAnsi="Times New Roman"/>
          <w:sz w:val="20"/>
          <w:szCs w:val="20"/>
          <w:color w:val="auto"/>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20"/>
          <w:szCs w:val="20"/>
          <w:b w:val="1"/>
          <w:bCs w:val="1"/>
          <w:i w:val="1"/>
          <w:iCs w:val="1"/>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Closing Date, and, in the case of the commitment fee with respect to the Revolving Facility, on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Availability Period for the Revolving Facility. The commitment fee shall be calculated quarterly in arrears, and if there is any change in the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Applicable Rate during any quarter, the actual daily amount shall be computed and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Applicable Rate separately for each period during such quarter that such Applicable Rate was in effect.</w:t>
      </w:r>
    </w:p>
    <w:p>
      <w:pPr>
        <w:spacing w:after="0" w:line="158" w:lineRule="exact"/>
        <w:rPr>
          <w:sz w:val="20"/>
          <w:szCs w:val="20"/>
          <w:color w:val="auto"/>
        </w:rPr>
      </w:pPr>
    </w:p>
    <w:p>
      <w:pPr>
        <w:ind w:left="1740" w:hanging="436"/>
        <w:spacing w:after="0"/>
        <w:tabs>
          <w:tab w:leader="none" w:pos="17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Fees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660" w:firstLine="644"/>
        <w:spacing w:after="0" w:line="226" w:lineRule="auto"/>
        <w:tabs>
          <w:tab w:leader="none" w:pos="195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Administrative Agent and the Arranger for its own account, in Dollars, fees in the amounts and at the times specified in the Fee Letter. Such fees shall be fully earned when paid and shall not be refundable for any reason whatsoever.</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5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b w:val="1"/>
          <w:bCs w:val="1"/>
          <w:color w:val="auto"/>
        </w:rPr>
        <w:t>Computation of Interest and Fees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Retroactive Adjustments of Applicable Rate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1" w:lineRule="auto"/>
        <w:tabs>
          <w:tab w:leader="none" w:pos="128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Computation of Interest and Fees</w:t>
      </w:r>
      <w:r>
        <w:rPr>
          <w:rFonts w:ascii="Times New Roman" w:cs="Times New Roman" w:eastAsia="Times New Roman" w:hAnsi="Times New Roman"/>
          <w:sz w:val="20"/>
          <w:szCs w:val="20"/>
          <w:color w:val="auto"/>
        </w:rPr>
        <w:t>. All computations of interest for Base Rate Loans (including Base Rate Loans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determined by reference to the BSBY Rate) and Alternative Currency Loans (other than Alternative Currency Loans determined by reference to EURIBOR) shall be made on the basis of a year of 365 or 366 days, as the case may be, and actual days elapsed, or, in the case of interest in respect of Loans denominated in Alternative Currencies as to which market practice differs from the foregoing, in accordance with such market practice. All other computations of fees and interest, including those with respect to BSBY Rate Loans and Alternative Currency Loans determined by reference to EURIBOR,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cs="Times New Roman" w:eastAsia="Times New Roman" w:hAnsi="Times New Roman"/>
          <w:sz w:val="20"/>
          <w:szCs w:val="20"/>
          <w:b w:val="1"/>
          <w:bCs w:val="1"/>
          <w:i w:val="1"/>
          <w:iCs w:val="1"/>
          <w:color w:val="auto"/>
        </w:rPr>
        <w:t>Section 2.12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bear interest for one day. Each determination by the Administrative Agent of an interest rate or fee hereunder 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conclusive and binding for all purposes, absent manifest error.</w:t>
      </w:r>
    </w:p>
    <w:p>
      <w:pPr>
        <w:spacing w:after="0" w:line="165"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Statement Adjustments or Restatements</w:t>
      </w:r>
      <w:r>
        <w:rPr>
          <w:rFonts w:ascii="Times New Roman" w:cs="Times New Roman" w:eastAsia="Times New Roman" w:hAnsi="Times New Roman"/>
          <w:sz w:val="20"/>
          <w:szCs w:val="20"/>
          <w:color w:val="auto"/>
        </w:rPr>
        <w:t>. If, as a result of any restatement of or other adjustment to the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statements of the Borrower and its Subsidiaries or for any other reason, the Borrower, or the Administrative Agent determines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any provision of this Agreement to payment of any Obligations hereunder at the Default Rate or under </w:t>
      </w:r>
      <w:r>
        <w:rPr>
          <w:rFonts w:ascii="Times New Roman" w:cs="Times New Roman" w:eastAsia="Times New Roman" w:hAnsi="Times New Roman"/>
          <w:sz w:val="20"/>
          <w:szCs w:val="20"/>
          <w:b w:val="1"/>
          <w:bCs w:val="1"/>
          <w:i w:val="1"/>
          <w:iCs w:val="1"/>
          <w:color w:val="auto"/>
        </w:rPr>
        <w:t>Article VIII</w:t>
      </w:r>
      <w:r>
        <w:rPr>
          <w:rFonts w:ascii="Times New Roman" w:cs="Times New Roman" w:eastAsia="Times New Roman" w:hAnsi="Times New Roman"/>
          <w:sz w:val="20"/>
          <w:szCs w:val="20"/>
          <w:color w:val="auto"/>
        </w:rPr>
        <w:t>. The Borrower's obligations under this</w:t>
      </w:r>
      <w:r>
        <w:rPr>
          <w:rFonts w:ascii="Times New Roman" w:cs="Times New Roman" w:eastAsia="Times New Roman" w:hAnsi="Times New Roman"/>
          <w:sz w:val="20"/>
          <w:szCs w:val="20"/>
          <w:b w:val="1"/>
          <w:bCs w:val="1"/>
          <w:i w:val="1"/>
          <w:iCs w:val="1"/>
          <w:color w:val="auto"/>
        </w:rPr>
        <w:t xml:space="preserve"> clause (b) </w:t>
      </w:r>
      <w:r>
        <w:rPr>
          <w:rFonts w:ascii="Times New Roman" w:cs="Times New Roman" w:eastAsia="Times New Roman" w:hAnsi="Times New Roman"/>
          <w:sz w:val="20"/>
          <w:szCs w:val="20"/>
          <w:color w:val="auto"/>
        </w:rPr>
        <w:t>shall survive the termination of the Aggregate Commitments 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repayment of all other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b w:val="1"/>
          <w:bCs w:val="1"/>
          <w:color w:val="auto"/>
        </w:rPr>
        <w:t>Evidence of Debt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Maintenance of Accounts</w:t>
      </w:r>
      <w:r>
        <w:rPr>
          <w:rFonts w:ascii="Times New Roman" w:cs="Times New Roman" w:eastAsia="Times New Roman" w:hAnsi="Times New Roman"/>
          <w:sz w:val="20"/>
          <w:szCs w:val="20"/>
          <w:color w:val="auto"/>
        </w:rPr>
        <w:t>. The Credit Extensions made by each Lender shall be evidenced by one or more accounts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records maintained by such Lender in the ordinary course of business. The Administrative Agent shall maintain the Register in accordance with </w:t>
      </w:r>
      <w:r>
        <w:rPr>
          <w:rFonts w:ascii="Times New Roman" w:cs="Times New Roman" w:eastAsia="Times New Roman" w:hAnsi="Times New Roman"/>
          <w:sz w:val="20"/>
          <w:szCs w:val="20"/>
          <w:b w:val="1"/>
          <w:bCs w:val="1"/>
          <w:i w:val="1"/>
          <w:iCs w:val="1"/>
          <w:color w:val="auto"/>
        </w:rPr>
        <w:t>Section 11.06(c)</w:t>
      </w:r>
      <w:r>
        <w:rPr>
          <w:rFonts w:ascii="Times New Roman" w:cs="Times New Roman" w:eastAsia="Times New Roman" w:hAnsi="Times New Roman"/>
          <w:sz w:val="20"/>
          <w:szCs w:val="20"/>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currency and maturity of its Loans and payments with respect thereto.</w:t>
      </w:r>
    </w:p>
    <w:p>
      <w:pPr>
        <w:spacing w:after="0" w:line="145"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Maintenance of Records</w:t>
      </w:r>
      <w:r>
        <w:rPr>
          <w:rFonts w:ascii="Times New Roman" w:cs="Times New Roman" w:eastAsia="Times New Roman" w:hAnsi="Times New Roman"/>
          <w:sz w:val="20"/>
          <w:szCs w:val="20"/>
          <w:color w:val="auto"/>
        </w:rPr>
        <w:t>. In addition to the accounts and records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2.11(a)</w:t>
      </w:r>
      <w:r>
        <w:rPr>
          <w:rFonts w:ascii="Times New Roman" w:cs="Times New Roman" w:eastAsia="Times New Roman" w:hAnsi="Times New Roman"/>
          <w:sz w:val="20"/>
          <w:szCs w:val="20"/>
          <w:color w:val="auto"/>
        </w:rPr>
        <w:t>, each Lender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1"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b w:val="1"/>
          <w:bCs w:val="1"/>
          <w:color w:val="auto"/>
        </w:rPr>
        <w:t>Payments Generally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Administrative Agent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 Clawback</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0" w:lineRule="auto"/>
        <w:tabs>
          <w:tab w:leader="none" w:pos="128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All payments to be made by the Borrower shall be made free and clear of and without condition or deduction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counterclaim, defense, recoupment or setoff. Except as otherwise expressly provided herein and except with respect to principal of and interest on Alternative Currency Loans, all payments by the Borrower hereunder shall be made to the applicable Administrative Agent, for the account of the respective Lenders to which such payment is owed, at the applicable Administrative Agent’s Office in Dollars and in Same Day Funds </w:t>
      </w:r>
      <w:r>
        <w:rPr>
          <w:rFonts w:ascii="Times New Roman" w:cs="Times New Roman" w:eastAsia="Times New Roman" w:hAnsi="Times New Roman"/>
          <w:sz w:val="20"/>
          <w:szCs w:val="20"/>
          <w:i w:val="1"/>
          <w:iCs w:val="1"/>
          <w:color w:val="auto"/>
        </w:rPr>
        <w:t>not later than</w:t>
      </w:r>
      <w:r>
        <w:rPr>
          <w:rFonts w:ascii="Times New Roman" w:cs="Times New Roman" w:eastAsia="Times New Roman" w:hAnsi="Times New Roman"/>
          <w:sz w:val="20"/>
          <w:szCs w:val="20"/>
          <w:color w:val="auto"/>
        </w:rPr>
        <w:t xml:space="preserve"> 2:00 p.m. on the date specified herein. Except as otherwise expressly provided herein, all payments by the Borrower hereunder with respect to principal and interest on Alternative Currency Loans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the Borrower shall make such payment in Dollars in the Dollar Equivalent of the Alternative Currency payment amount. The Administrative Agent will promptly distribute to each Lender its Applicable Percentage in respect of the Revolving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w:t>
      </w:r>
      <w:r>
        <w:rPr>
          <w:rFonts w:ascii="Times New Roman" w:cs="Times New Roman" w:eastAsia="Times New Roman" w:hAnsi="Times New Roman"/>
          <w:sz w:val="20"/>
          <w:szCs w:val="20"/>
          <w:b w:val="1"/>
          <w:bCs w:val="1"/>
          <w:i w:val="1"/>
          <w:iCs w:val="1"/>
          <w:color w:val="auto"/>
        </w:rPr>
        <w:t>Section 2.07(a)</w:t>
      </w:r>
      <w:r>
        <w:rPr>
          <w:rFonts w:ascii="Times New Roman" w:cs="Times New Roman" w:eastAsia="Times New Roman" w:hAnsi="Times New Roman"/>
          <w:sz w:val="20"/>
          <w:szCs w:val="20"/>
          <w:color w:val="auto"/>
        </w:rPr>
        <w:t xml:space="preserve"> and as otherwise specifically provided for in this Agreement, if any payment to be made by the Borrower shall come due on a day other than a Business Day, payment shall be made on the Business Day, and such extension of time shall be reflected in computing interest or fees,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56"/>
        <w:spacing w:after="0" w:line="233" w:lineRule="auto"/>
        <w:tabs>
          <w:tab w:leader="none" w:pos="118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b w:val="1"/>
          <w:bCs w:val="1"/>
          <w:color w:val="auto"/>
        </w:rPr>
        <w:t>Funding by Lenders</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color w:val="auto"/>
        </w:rPr>
        <w:t>Presumption by Administrative Agent</w:t>
      </w:r>
      <w:r>
        <w:rPr>
          <w:rFonts w:ascii="Times New Roman" w:cs="Times New Roman" w:eastAsia="Times New Roman" w:hAnsi="Times New Roman"/>
          <w:sz w:val="19"/>
          <w:szCs w:val="19"/>
          <w:color w:val="auto"/>
        </w:rPr>
        <w:t>. Unless the Administrative Agent shall have received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notice from a Lender prior to the proposed date of any Borrowing of BSBY Rate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b w:val="1"/>
          <w:bCs w:val="1"/>
          <w:i w:val="1"/>
          <w:iCs w:val="1"/>
          <w:color w:val="auto"/>
        </w:rPr>
        <w:t>Section 2.02</w:t>
      </w:r>
      <w:r>
        <w:rPr>
          <w:rFonts w:ascii="Times New Roman" w:cs="Times New Roman" w:eastAsia="Times New Roman" w:hAnsi="Times New Roman"/>
          <w:sz w:val="19"/>
          <w:szCs w:val="19"/>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9"/>
          <w:szCs w:val="19"/>
          <w:b w:val="1"/>
          <w:bCs w:val="1"/>
          <w:i w:val="1"/>
          <w:iCs w:val="1"/>
          <w:color w:val="auto"/>
        </w:rPr>
        <w:t>Section 2.02</w:t>
      </w:r>
      <w:r>
        <w:rPr>
          <w:rFonts w:ascii="Times New Roman" w:cs="Times New Roman" w:eastAsia="Times New Roman" w:hAnsi="Times New Roman"/>
          <w:sz w:val="19"/>
          <w:szCs w:val="19"/>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administrative, processing or similar fees customarily charged by the Administrative Agent in connection with the foregoing, and (B) in the case of a payment to be made by the Borrower, the interest rate applicable to Base Rate Loans or, in the case of Alternative Currencies, in accordance with such market practice, in each case, as applicable.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54"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by Borrower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Presumptions by Administrative Agent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the Administrative Agent for the account of the Appropriate Lenders or the L/C Issuer hereunder that the Borrower will not make such payment,</w:t>
      </w:r>
    </w:p>
    <w:p>
      <w:pPr>
        <w:spacing w:after="0" w:line="228" w:lineRule="auto"/>
        <w:rPr>
          <w:sz w:val="20"/>
          <w:szCs w:val="20"/>
          <w:color w:val="auto"/>
        </w:rPr>
      </w:pPr>
      <w:r>
        <w:rPr>
          <w:rFonts w:ascii="Times New Roman" w:cs="Times New Roman" w:eastAsia="Times New Roman" w:hAnsi="Times New Roman"/>
          <w:sz w:val="20"/>
          <w:szCs w:val="20"/>
          <w:color w:val="auto"/>
        </w:rPr>
        <w:t>the Administrative Agent may assume that the Borrower has made such payment on such date in accordance herewith and may, in reliance upon such assumption, distribute to the Appropriate Lenders or the L/C Issuer, as the case may be, the amount due.</w:t>
      </w:r>
    </w:p>
    <w:p>
      <w:pPr>
        <w:spacing w:after="0" w:line="17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Appropriate Lenders or the L/C Issuer hereunder as to which the Administrative Agent determines (which determination shall be conclusive absent manifest error) that any of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following applies (such payment referred to as the “</w:t>
      </w:r>
      <w:r>
        <w:rPr>
          <w:rFonts w:ascii="Times New Roman" w:cs="Times New Roman" w:eastAsia="Times New Roman" w:hAnsi="Times New Roman"/>
          <w:sz w:val="20"/>
          <w:szCs w:val="20"/>
          <w:b w:val="1"/>
          <w:bCs w:val="1"/>
          <w:i w:val="1"/>
          <w:iCs w:val="1"/>
          <w:color w:val="auto"/>
        </w:rPr>
        <w:t>Rescindable Amount</w:t>
      </w:r>
      <w:r>
        <w:rPr>
          <w:rFonts w:ascii="Times New Roman" w:cs="Times New Roman" w:eastAsia="Times New Roman" w:hAnsi="Times New Roman"/>
          <w:sz w:val="20"/>
          <w:szCs w:val="20"/>
          <w:color w:val="auto"/>
        </w:rPr>
        <w:t>”): (1) the Borrower has not in fact made such payment; (2) the Administrative Agent has made a payment in excess of the amount so paid by the Borrower (whether or not then owed); or (3) the</w:t>
      </w:r>
    </w:p>
    <w:p>
      <w:pPr>
        <w:spacing w:after="0" w:line="223" w:lineRule="auto"/>
        <w:rPr>
          <w:sz w:val="20"/>
          <w:szCs w:val="20"/>
          <w:color w:val="auto"/>
        </w:rPr>
      </w:pPr>
      <w:r>
        <w:rPr>
          <w:rFonts w:ascii="Times New Roman" w:cs="Times New Roman" w:eastAsia="Times New Roman" w:hAnsi="Times New Roman"/>
          <w:sz w:val="19"/>
          <w:szCs w:val="19"/>
          <w:color w:val="auto"/>
        </w:rPr>
        <w:t>Administrative Agent has for any reason otherwise erroneously made such payment; then each of the Appropriate Lenders or the L/C Issuer,</w:t>
      </w:r>
    </w:p>
    <w:p>
      <w:pPr>
        <w:spacing w:after="0" w:line="204" w:lineRule="auto"/>
        <w:rPr>
          <w:sz w:val="20"/>
          <w:szCs w:val="20"/>
          <w:color w:val="auto"/>
        </w:rPr>
      </w:pPr>
      <w:r>
        <w:rPr>
          <w:rFonts w:ascii="Times New Roman" w:cs="Times New Roman" w:eastAsia="Times New Roman" w:hAnsi="Times New Roman"/>
          <w:sz w:val="20"/>
          <w:szCs w:val="20"/>
          <w:color w:val="auto"/>
        </w:rPr>
        <w:t>as the case may be, severally agrees to repay to the Administrative Agent forthwith on demand the Rescindable Amount so distributed to such Appropriate Lender or the L/C Issuer, in Same Day Funds with interest thereon, for each day from and including the date such amount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the Borrower with respect to any amount owing under this </w:t>
      </w:r>
      <w:r>
        <w:rPr>
          <w:rFonts w:ascii="Times New Roman" w:cs="Times New Roman" w:eastAsia="Times New Roman" w:hAnsi="Times New Roman"/>
          <w:sz w:val="20"/>
          <w:szCs w:val="20"/>
          <w:b w:val="1"/>
          <w:bCs w:val="1"/>
          <w:i w:val="1"/>
          <w:iCs w:val="1"/>
          <w:color w:val="auto"/>
        </w:rPr>
        <w:t>clause (b)</w:t>
      </w:r>
      <w:r>
        <w:rPr>
          <w:rFonts w:ascii="Times New Roman" w:cs="Times New Roman" w:eastAsia="Times New Roman" w:hAnsi="Times New Roman"/>
          <w:sz w:val="20"/>
          <w:szCs w:val="20"/>
          <w:color w:val="auto"/>
        </w:rPr>
        <w:t xml:space="preserve">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56"/>
        <w:spacing w:after="0" w:line="220" w:lineRule="auto"/>
        <w:tabs>
          <w:tab w:leader="none" w:pos="107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Failure to Satisfy Conditions Precedent</w:t>
      </w:r>
      <w:r>
        <w:rPr>
          <w:rFonts w:ascii="Times New Roman" w:cs="Times New Roman" w:eastAsia="Times New Roman" w:hAnsi="Times New Roman"/>
          <w:sz w:val="20"/>
          <w:szCs w:val="20"/>
          <w:color w:val="auto"/>
        </w:rPr>
        <w:t>. If any Lender makes available to the Administrative Agent funds for any Loan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made by such Lender as provided in the foregoing provisions of this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0"/>
          <w:szCs w:val="20"/>
          <w:b w:val="1"/>
          <w:bCs w:val="1"/>
          <w:i w:val="1"/>
          <w:iCs w:val="1"/>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09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Obligations of Lenders Several</w:t>
      </w:r>
      <w:r>
        <w:rPr>
          <w:rFonts w:ascii="Times New Roman" w:cs="Times New Roman" w:eastAsia="Times New Roman" w:hAnsi="Times New Roman"/>
          <w:sz w:val="20"/>
          <w:szCs w:val="20"/>
          <w:color w:val="auto"/>
        </w:rPr>
        <w:t>. The obligations of the Lenders hereunder to make Revolving Loans, to fund participations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Letters of Credit and Swingline Loans and to make payments pursuant to </w:t>
      </w:r>
      <w:r>
        <w:rPr>
          <w:rFonts w:ascii="Times New Roman" w:cs="Times New Roman" w:eastAsia="Times New Roman" w:hAnsi="Times New Roman"/>
          <w:sz w:val="20"/>
          <w:szCs w:val="20"/>
          <w:b w:val="1"/>
          <w:bCs w:val="1"/>
          <w:i w:val="1"/>
          <w:iCs w:val="1"/>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b w:val="1"/>
          <w:bCs w:val="1"/>
          <w:i w:val="1"/>
          <w:iCs w:val="1"/>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b w:val="1"/>
          <w:bCs w:val="1"/>
          <w:i w:val="1"/>
          <w:iCs w:val="1"/>
          <w:color w:val="auto"/>
        </w:rPr>
        <w:t>Section 11.04(c)</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27" w:lineRule="auto"/>
        <w:tabs>
          <w:tab w:leader="none" w:pos="113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place or manner or to constitute a representation by any Lender that it has obtained or will obtain the funds for any Loan in any particular place or manner.</w:t>
      </w:r>
    </w:p>
    <w:p>
      <w:pPr>
        <w:spacing w:after="0" w:line="157" w:lineRule="exact"/>
        <w:rPr>
          <w:rFonts w:ascii="Times New Roman" w:cs="Times New Roman" w:eastAsia="Times New Roman" w:hAnsi="Times New Roman"/>
          <w:sz w:val="20"/>
          <w:szCs w:val="20"/>
          <w:color w:val="auto"/>
        </w:rPr>
      </w:pPr>
    </w:p>
    <w:p>
      <w:pPr>
        <w:jc w:val="both"/>
        <w:ind w:firstLine="656"/>
        <w:spacing w:after="0" w:line="211" w:lineRule="auto"/>
        <w:tabs>
          <w:tab w:leader="none" w:pos="109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 Rata Treatment</w:t>
      </w:r>
      <w:r>
        <w:rPr>
          <w:rFonts w:ascii="Times New Roman" w:cs="Times New Roman" w:eastAsia="Times New Roman" w:hAnsi="Times New Roman"/>
          <w:sz w:val="20"/>
          <w:szCs w:val="20"/>
          <w:color w:val="auto"/>
        </w:rPr>
        <w:t>. Except to the extent otherwise provided herein: (i) each Borrowing (other than Swingline Borrowings)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made from the Appropriate Lenders, each payment of fees under </w:t>
      </w:r>
      <w:r>
        <w:rPr>
          <w:rFonts w:ascii="Times New Roman" w:cs="Times New Roman" w:eastAsia="Times New Roman" w:hAnsi="Times New Roman"/>
          <w:sz w:val="20"/>
          <w:szCs w:val="20"/>
          <w:b w:val="1"/>
          <w:bCs w:val="1"/>
          <w:i w:val="1"/>
          <w:iCs w:val="1"/>
          <w:color w:val="auto"/>
        </w:rPr>
        <w:t>Section 2.09</w:t>
      </w:r>
      <w:r>
        <w:rPr>
          <w:rFonts w:ascii="Times New Roman" w:cs="Times New Roman" w:eastAsia="Times New Roman" w:hAnsi="Times New Roman"/>
          <w:sz w:val="20"/>
          <w:szCs w:val="20"/>
          <w:color w:val="auto"/>
        </w:rPr>
        <w:t xml:space="preserve"> and of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 xml:space="preserve"> shall be made for account of the Appropriate Lenders, and each termination or reduction of the amount of the Commitments shall be applied to the respective Commitments of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6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b w:val="1"/>
          <w:bCs w:val="1"/>
          <w:color w:val="auto"/>
        </w:rPr>
        <w:t>Sharing of Payments by Lenders</w:t>
      </w:r>
      <w:r>
        <w:rPr>
          <w:rFonts w:ascii="Times New Roman" w:cs="Times New Roman" w:eastAsia="Times New Roman" w:hAnsi="Times New Roman"/>
          <w:sz w:val="19"/>
          <w:szCs w:val="19"/>
          <w:color w:val="auto"/>
        </w:rPr>
        <w:t>. If any Lender shall, by exercising any right of setoff or counterclaim or otherwise, obtain</w:t>
      </w:r>
    </w:p>
    <w:p>
      <w:pPr>
        <w:spacing w:after="0" w:line="4"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payment in respect of (a) Obligations in respect of any of the Facilities due and payable to such Lender hereunder and under the other Loan Documents at such time in excess of its ratable share (according to the proportion of (i) the amount of such Obligations due and payable to</w:t>
      </w:r>
    </w:p>
    <w:p>
      <w:pPr>
        <w:spacing w:after="0" w:line="211" w:lineRule="auto"/>
        <w:rPr>
          <w:sz w:val="20"/>
          <w:szCs w:val="20"/>
          <w:color w:val="auto"/>
        </w:rPr>
      </w:pPr>
      <w:r>
        <w:rPr>
          <w:rFonts w:ascii="Times New Roman" w:cs="Times New Roman" w:eastAsia="Times New Roman" w:hAnsi="Times New Roman"/>
          <w:sz w:val="20"/>
          <w:szCs w:val="20"/>
          <w:color w:val="auto"/>
        </w:rPr>
        <w:t>such Lender at such time to (ii) the aggregate amount of the Obligations in respect of the Facilities due and payable to all Lenders hereunder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under the other Loan Documents at such time) of payments on account of the Obligations in respect of the Facilities due and payable to all Lenders hereunder and under the other Loan Documents at such time obtained by all the Lenders at such time or (b) Obligations in respect</w:t>
      </w:r>
    </w:p>
    <w:p>
      <w:pPr>
        <w:spacing w:after="0" w:line="222" w:lineRule="auto"/>
        <w:rPr>
          <w:sz w:val="20"/>
          <w:szCs w:val="20"/>
          <w:color w:val="auto"/>
        </w:rPr>
      </w:pPr>
      <w:r>
        <w:rPr>
          <w:rFonts w:ascii="Times New Roman" w:cs="Times New Roman" w:eastAsia="Times New Roman" w:hAnsi="Times New Roman"/>
          <w:sz w:val="19"/>
          <w:szCs w:val="19"/>
          <w:color w:val="auto"/>
        </w:rPr>
        <w:t>of any of the Facilities owing (but not due and payable) to such Lender hereunder and under the other Loan Documents at such time in excess</w:t>
      </w:r>
    </w:p>
    <w:p>
      <w:pPr>
        <w:spacing w:after="0" w:line="215" w:lineRule="auto"/>
        <w:rPr>
          <w:sz w:val="20"/>
          <w:szCs w:val="20"/>
          <w:color w:val="auto"/>
        </w:rPr>
      </w:pPr>
      <w:r>
        <w:rPr>
          <w:rFonts w:ascii="Times New Roman" w:cs="Times New Roman" w:eastAsia="Times New Roman" w:hAnsi="Times New Roman"/>
          <w:sz w:val="19"/>
          <w:szCs w:val="19"/>
          <w:color w:val="auto"/>
        </w:rPr>
        <w:t>of its ratable share (according to the proportion of (i) the amount of such Obligations owing (but not due and payable) to such Lender at such time to (ii) the aggregate amount of the Obligations in respect of the Facilities owing (but not due and payable) to all Lenders hereunder and</w:t>
      </w:r>
    </w:p>
    <w:p>
      <w:pPr>
        <w:spacing w:after="0" w:line="211" w:lineRule="auto"/>
        <w:rPr>
          <w:sz w:val="20"/>
          <w:szCs w:val="20"/>
          <w:color w:val="auto"/>
        </w:rPr>
      </w:pPr>
      <w:r>
        <w:rPr>
          <w:rFonts w:ascii="Times New Roman" w:cs="Times New Roman" w:eastAsia="Times New Roman" w:hAnsi="Times New Roman"/>
          <w:sz w:val="20"/>
          <w:szCs w:val="20"/>
          <w:color w:val="auto"/>
        </w:rPr>
        <w:t>under the other Loan Documents at such time) of payments on account of the Obligations in respect of the Facilities owing (but not due and</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payable) to all Lenders hereunder and under the other Loan Documents at such time obtained by all of the Lenders at such time, then, in each case under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above, the Lender receiving such greater proportion shall (A) notify the Administrative Agent of such fact, and</w:t>
      </w:r>
    </w:p>
    <w:p>
      <w:pPr>
        <w:ind w:firstLine="8"/>
        <w:spacing w:after="0" w:line="228" w:lineRule="auto"/>
        <w:tabs>
          <w:tab w:leader="none" w:pos="32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(for cash at face value) participations in the Loans and sub-participations in L/C Obligations and Swingline Loans of the other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make such other adjustments as shall be equitable, so that the benefit of all such payments shall be shared by the Lenders ratably in</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62" w:lineRule="exact"/>
        <w:rPr>
          <w:sz w:val="20"/>
          <w:szCs w:val="20"/>
          <w:color w:val="auto"/>
        </w:rPr>
      </w:pPr>
    </w:p>
    <w:p>
      <w:pPr>
        <w:jc w:val="both"/>
        <w:ind w:left="660" w:firstLine="644"/>
        <w:spacing w:after="0" w:line="226" w:lineRule="auto"/>
        <w:tabs>
          <w:tab w:leader="none" w:pos="195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6"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5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b w:val="1"/>
          <w:bCs w:val="1"/>
          <w:i w:val="1"/>
          <w:iCs w:val="1"/>
          <w:color w:val="auto"/>
        </w:rPr>
        <w:t>Section 2.13</w:t>
      </w:r>
      <w:r>
        <w:rPr>
          <w:rFonts w:ascii="Times New Roman" w:cs="Times New Roman" w:eastAsia="Times New Roman" w:hAnsi="Times New Roman"/>
          <w:sz w:val="20"/>
          <w:szCs w:val="20"/>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 w:cs="Times New Roman" w:eastAsia="Times New Roman" w:hAnsi="Times New Roman"/>
          <w:sz w:val="20"/>
          <w:szCs w:val="20"/>
          <w:b w:val="1"/>
          <w:bCs w:val="1"/>
          <w:i w:val="1"/>
          <w:iCs w:val="1"/>
          <w:color w:val="auto"/>
        </w:rPr>
        <w:t>Section 2.13</w:t>
      </w:r>
      <w:r>
        <w:rPr>
          <w:rFonts w:ascii="Times New Roman" w:cs="Times New Roman" w:eastAsia="Times New Roman" w:hAnsi="Times New Roman"/>
          <w:sz w:val="20"/>
          <w:szCs w:val="20"/>
          <w:color w:val="auto"/>
        </w:rPr>
        <w:t xml:space="preserve"> shall apply).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w:t>
      </w:r>
    </w:p>
    <w:p>
      <w:pPr>
        <w:ind w:left="20"/>
        <w:spacing w:after="0" w:line="221" w:lineRule="auto"/>
        <w:rPr>
          <w:sz w:val="20"/>
          <w:szCs w:val="20"/>
          <w:color w:val="auto"/>
        </w:rPr>
      </w:pPr>
      <w:r>
        <w:rPr>
          <w:rFonts w:ascii="Times New Roman" w:cs="Times New Roman" w:eastAsia="Times New Roman" w:hAnsi="Times New Roman"/>
          <w:sz w:val="20"/>
          <w:szCs w:val="20"/>
          <w:color w:val="auto"/>
        </w:rPr>
        <w:t>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b w:val="1"/>
          <w:bCs w:val="1"/>
          <w:color w:val="auto"/>
        </w:rPr>
        <w:t>Cash Collateral</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Obligation to Cash Collateralize</w:t>
      </w:r>
      <w:r>
        <w:rPr>
          <w:rFonts w:ascii="Times New Roman" w:cs="Times New Roman" w:eastAsia="Times New Roman" w:hAnsi="Times New Roman"/>
          <w:sz w:val="20"/>
          <w:szCs w:val="20"/>
          <w:color w:val="auto"/>
        </w:rPr>
        <w:t>. If: (i) as of the Letter of Credit Cash Collateralization Date, any L/C Obligations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reason remains outstanding, or (ii) at any time there shall exist a Defaulting Lender; then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20"/>
          <w:szCs w:val="20"/>
          <w:b w:val="1"/>
          <w:bCs w:val="1"/>
          <w:i w:val="1"/>
          <w:iCs w:val="1"/>
          <w:color w:val="auto"/>
        </w:rPr>
        <w:t>Section 2.15(a)(iv)</w:t>
      </w:r>
      <w:r>
        <w:rPr>
          <w:rFonts w:ascii="Times New Roman" w:cs="Times New Roman" w:eastAsia="Times New Roman" w:hAnsi="Times New Roman"/>
          <w:sz w:val="20"/>
          <w:szCs w:val="20"/>
          <w:color w:val="auto"/>
        </w:rPr>
        <w:t xml:space="preserve"> and any Cash Collateral provided by such Defaulting Lender) in an amount not less than the Minimum Collateral Amount. Additionally, if the Administrative Agent notifies the Borrower at any time that the Outstanding Amount of all L/C Obligations at such time exceeds 105% of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spacing w:after="0" w:line="14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Grant of Security Interest</w:t>
      </w:r>
      <w:r>
        <w:rPr>
          <w:rFonts w:ascii="Times New Roman" w:cs="Times New Roman" w:eastAsia="Times New Roman" w:hAnsi="Times New Roman"/>
          <w:sz w:val="19"/>
          <w:szCs w:val="19"/>
          <w:color w:val="auto"/>
        </w:rPr>
        <w:t>. The Borrower, and to the extent provided by any Defaulting Lender, such Defaulting 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9"/>
          <w:szCs w:val="19"/>
          <w:b w:val="1"/>
          <w:bCs w:val="1"/>
          <w:i w:val="1"/>
          <w:iCs w:val="1"/>
          <w:color w:val="auto"/>
        </w:rPr>
        <w:t>Section 2.14(c)</w:t>
      </w:r>
      <w:r>
        <w:rPr>
          <w:rFonts w:ascii="Times New Roman" w:cs="Times New Roman" w:eastAsia="Times New Roman" w:hAnsi="Times New Roman"/>
          <w:sz w:val="19"/>
          <w:szCs w:val="19"/>
          <w:color w:val="auto"/>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19"/>
          <w:szCs w:val="19"/>
          <w:b w:val="1"/>
          <w:bCs w:val="1"/>
          <w:i w:val="1"/>
          <w:iCs w:val="1"/>
          <w:color w:val="auto"/>
        </w:rPr>
        <w:t>Section 2.15(a)(v)</w:t>
      </w:r>
      <w:r>
        <w:rPr>
          <w:rFonts w:ascii="Times New Roman" w:cs="Times New Roman" w:eastAsia="Times New Roman" w:hAnsi="Times New Roman"/>
          <w:sz w:val="19"/>
          <w:szCs w:val="19"/>
          <w:color w:val="auto"/>
        </w:rPr>
        <w:t xml:space="preserve">, after giving effect to </w:t>
      </w:r>
      <w:r>
        <w:rPr>
          <w:rFonts w:ascii="Times New Roman" w:cs="Times New Roman" w:eastAsia="Times New Roman" w:hAnsi="Times New Roman"/>
          <w:sz w:val="19"/>
          <w:szCs w:val="19"/>
          <w:b w:val="1"/>
          <w:bCs w:val="1"/>
          <w:i w:val="1"/>
          <w:iCs w:val="1"/>
          <w:color w:val="auto"/>
        </w:rPr>
        <w:t>Section 2.15(a)(v)</w:t>
      </w:r>
      <w:r>
        <w:rPr>
          <w:rFonts w:ascii="Times New Roman" w:cs="Times New Roman" w:eastAsia="Times New Roman" w:hAnsi="Times New Roman"/>
          <w:sz w:val="19"/>
          <w:szCs w:val="19"/>
          <w:color w:val="auto"/>
        </w:rPr>
        <w:t xml:space="preserve"> and any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provided by the Defaulting Lender). All Cash Collateral (other than credit support not constituting funds subject to deposit) shall be</w:t>
      </w:r>
    </w:p>
    <w:p>
      <w:pPr>
        <w:spacing w:after="0" w:line="221" w:lineRule="auto"/>
        <w:rPr>
          <w:sz w:val="20"/>
          <w:szCs w:val="20"/>
          <w:color w:val="auto"/>
        </w:rPr>
      </w:pPr>
      <w:r>
        <w:rPr>
          <w:rFonts w:ascii="Times New Roman" w:cs="Times New Roman" w:eastAsia="Times New Roman" w:hAnsi="Times New Roman"/>
          <w:sz w:val="20"/>
          <w:szCs w:val="20"/>
          <w:color w:val="auto"/>
        </w:rPr>
        <w:t>maintained at Bank of America. The Borrower shall pay on demand therefor from time to time all customary account opening, activity and other administrative fees and charges in connection with the maintenance and disbursement of Cash Collateral.</w:t>
      </w:r>
    </w:p>
    <w:p>
      <w:pPr>
        <w:spacing w:after="0" w:line="158" w:lineRule="exact"/>
        <w:rPr>
          <w:sz w:val="20"/>
          <w:szCs w:val="20"/>
          <w:color w:val="auto"/>
        </w:rPr>
      </w:pPr>
    </w:p>
    <w:p>
      <w:pPr>
        <w:jc w:val="both"/>
        <w:ind w:firstLine="656"/>
        <w:spacing w:after="0" w:line="220" w:lineRule="auto"/>
        <w:tabs>
          <w:tab w:leader="none" w:pos="128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w:t>
      </w:r>
      <w:r>
        <w:rPr>
          <w:rFonts w:ascii="Times New Roman" w:cs="Times New Roman" w:eastAsia="Times New Roman" w:hAnsi="Times New Roman"/>
          <w:sz w:val="20"/>
          <w:szCs w:val="20"/>
          <w:color w:val="auto"/>
        </w:rPr>
        <w:t>. Notwithstanding anything to the contrary contained in this Agreement, Cash Collateral provided under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be provided for herein.</w:t>
      </w:r>
    </w:p>
    <w:p>
      <w:pPr>
        <w:spacing w:after="0" w:line="147"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Cash Collateral (or the appropriate portion thereof) provided to reduce Fronting Exposure or to secure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b w:val="1"/>
          <w:bCs w:val="1"/>
          <w:i w:val="1"/>
          <w:iCs w:val="1"/>
          <w:color w:val="auto"/>
        </w:rPr>
        <w:t>Section 11.06(b)(vi)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6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b w:val="1"/>
          <w:bCs w:val="1"/>
          <w:color w:val="auto"/>
        </w:rPr>
        <w:t>Defaulting Lenders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656"/>
        <w:spacing w:after="0" w:line="245" w:lineRule="auto"/>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then, until such time as that Lender is no longer a Defaulting Lender, to the extent permitted by Applicable Law:</w:t>
      </w:r>
    </w:p>
    <w:p>
      <w:pPr>
        <w:spacing w:after="0" w:line="137" w:lineRule="exact"/>
        <w:rPr>
          <w:rFonts w:ascii="Times New Roman" w:cs="Times New Roman" w:eastAsia="Times New Roman" w:hAnsi="Times New Roman"/>
          <w:sz w:val="20"/>
          <w:szCs w:val="20"/>
          <w:color w:val="auto"/>
        </w:rPr>
      </w:pPr>
    </w:p>
    <w:p>
      <w:pPr>
        <w:ind w:left="660" w:firstLine="644"/>
        <w:spacing w:after="0" w:line="245" w:lineRule="auto"/>
        <w:tabs>
          <w:tab w:leader="none" w:pos="195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Waivers and Amendments</w:t>
      </w:r>
      <w:r>
        <w:rPr>
          <w:rFonts w:ascii="Times New Roman" w:cs="Times New Roman" w:eastAsia="Times New Roman" w:hAnsi="Times New Roman"/>
          <w:sz w:val="20"/>
          <w:szCs w:val="20"/>
          <w:color w:val="auto"/>
        </w:rPr>
        <w:t>. Such Defaulting Lender’s right to approve or disapprove any amendment, waiver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 with respect to this Agreement shall be restricted as set forth in the definition of “</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5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Defaulting Lender Waterfall</w:t>
      </w:r>
      <w:r>
        <w:rPr>
          <w:rFonts w:ascii="Times New Roman" w:cs="Times New Roman" w:eastAsia="Times New Roman" w:hAnsi="Times New Roman"/>
          <w:sz w:val="20"/>
          <w:szCs w:val="20"/>
          <w:color w:val="auto"/>
        </w:rPr>
        <w:t>. Any payment of principal, interest, fees or other amounts received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Administrative Agent for the account of such Defaulting Lender (whether voluntary or mandatory, at maturity, pursuant to </w:t>
      </w:r>
      <w:r>
        <w:rPr>
          <w:rFonts w:ascii="Times New Roman" w:cs="Times New Roman" w:eastAsia="Times New Roman" w:hAnsi="Times New Roman"/>
          <w:sz w:val="20"/>
          <w:szCs w:val="20"/>
          <w:b w:val="1"/>
          <w:bCs w:val="1"/>
          <w:i w:val="1"/>
          <w:iCs w:val="1"/>
          <w:color w:val="auto"/>
        </w:rPr>
        <w:t xml:space="preserve">Article VIII </w:t>
      </w:r>
      <w:r>
        <w:rPr>
          <w:rFonts w:ascii="Times New Roman" w:cs="Times New Roman" w:eastAsia="Times New Roman" w:hAnsi="Times New Roman"/>
          <w:sz w:val="20"/>
          <w:szCs w:val="20"/>
          <w:color w:val="auto"/>
        </w:rPr>
        <w:t>or otherwise) or received by the Administrative Agent from a Defaulting Lender pursuant to</w:t>
      </w:r>
      <w:r>
        <w:rPr>
          <w:rFonts w:ascii="Times New Roman" w:cs="Times New Roman" w:eastAsia="Times New Roman" w:hAnsi="Times New Roman"/>
          <w:sz w:val="20"/>
          <w:szCs w:val="20"/>
          <w:b w:val="1"/>
          <w:bCs w:val="1"/>
          <w:i w:val="1"/>
          <w:iCs w:val="1"/>
          <w:color w:val="auto"/>
        </w:rPr>
        <w:t xml:space="preserve"> Section 11.08 </w:t>
      </w:r>
      <w:r>
        <w:rPr>
          <w:rFonts w:ascii="Times New Roman" w:cs="Times New Roman" w:eastAsia="Times New Roman" w:hAnsi="Times New Roman"/>
          <w:sz w:val="20"/>
          <w:szCs w:val="20"/>
          <w:color w:val="auto"/>
        </w:rPr>
        <w:t>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the Swingline Lender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Cash Collateralize the L/C Issuer</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Fronting Exposure with respect to such Defaulting Lender in accordance with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to the payment of any amounts owing to the Lenders, the L/C Issuer or Swingline Lender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 any judgment of a court of competent jurisdiction obtained by any Lender, the L/C Issuer or the Swingline Lender against such</w:t>
      </w: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so long as no Default or Event of Default exists, to the payment of any amounts owing to the Borrower as a result of any judgment of a court of</w:t>
      </w:r>
    </w:p>
    <w:p>
      <w:pPr>
        <w:ind w:left="640"/>
        <w:spacing w:after="0" w:line="223" w:lineRule="auto"/>
        <w:rPr>
          <w:sz w:val="20"/>
          <w:szCs w:val="20"/>
          <w:color w:val="auto"/>
        </w:rPr>
      </w:pPr>
      <w:r>
        <w:rPr>
          <w:rFonts w:ascii="Times New Roman" w:cs="Times New Roman" w:eastAsia="Times New Roman" w:hAnsi="Times New Roman"/>
          <w:sz w:val="19"/>
          <w:szCs w:val="19"/>
          <w:color w:val="auto"/>
        </w:rPr>
        <w:t>competent jurisdiction obtained by the Borrower against such Defaulting Lender as a result of such Defaulting Lender’s breach of its</w:t>
      </w: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w:t>
      </w:r>
    </w:p>
    <w:p>
      <w:pPr>
        <w:spacing w:after="0" w:line="1" w:lineRule="exact"/>
        <w:rPr>
          <w:sz w:val="20"/>
          <w:szCs w:val="20"/>
          <w:color w:val="auto"/>
        </w:rPr>
      </w:pPr>
    </w:p>
    <w:p>
      <w:pPr>
        <w:jc w:val="both"/>
        <w:ind w:left="640" w:hanging="4"/>
        <w:spacing w:after="0" w:line="210" w:lineRule="auto"/>
        <w:tabs>
          <w:tab w:leader="none" w:pos="92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Obligations owed to, such Defaulting Lender until such time as all Loans and funded and unfunded participations in L/C Obligations and Swingline Loans are held by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Commitments hereunder without giving effect to </w:t>
      </w:r>
      <w:r>
        <w:rPr>
          <w:rFonts w:ascii="Times New Roman" w:cs="Times New Roman" w:eastAsia="Times New Roman" w:hAnsi="Times New Roman"/>
          <w:sz w:val="20"/>
          <w:szCs w:val="20"/>
          <w:b w:val="1"/>
          <w:bCs w:val="1"/>
          <w:i w:val="1"/>
          <w:iCs w:val="1"/>
          <w:color w:val="auto"/>
        </w:rPr>
        <w:t>Section 2.15(a)(v)</w:t>
      </w:r>
      <w:r>
        <w:rPr>
          <w:rFonts w:ascii="Times New Roman" w:cs="Times New Roman" w:eastAsia="Times New Roman" w:hAnsi="Times New Roman"/>
          <w:sz w:val="20"/>
          <w:szCs w:val="20"/>
          <w:color w:val="auto"/>
        </w:rPr>
        <w:t>. Any payments, prepayments or other amounts paid or payable to a Defaulting Lender that are applied (or held)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pay amounts owed by a Defaulting Lender or to post Cash Collateral pursuant to this </w:t>
      </w:r>
      <w:r>
        <w:rPr>
          <w:rFonts w:ascii="Times New Roman" w:cs="Times New Roman" w:eastAsia="Times New Roman" w:hAnsi="Times New Roman"/>
          <w:sz w:val="20"/>
          <w:szCs w:val="20"/>
          <w:b w:val="1"/>
          <w:bCs w:val="1"/>
          <w:i w:val="1"/>
          <w:iCs w:val="1"/>
          <w:color w:val="auto"/>
        </w:rPr>
        <w:t>Section 2.15(a)(ii)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60" w:lineRule="exact"/>
        <w:rPr>
          <w:rFonts w:ascii="Times New Roman" w:cs="Times New Roman" w:eastAsia="Times New Roman" w:hAnsi="Times New Roman"/>
          <w:sz w:val="20"/>
          <w:szCs w:val="20"/>
          <w:color w:val="auto"/>
        </w:rPr>
      </w:pPr>
    </w:p>
    <w:p>
      <w:pPr>
        <w:ind w:left="1940" w:hanging="656"/>
        <w:spacing w:after="0"/>
        <w:tabs>
          <w:tab w:leader="none" w:pos="19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Fees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280" w:firstLine="652"/>
        <w:spacing w:after="0" w:line="227" w:lineRule="auto"/>
        <w:tabs>
          <w:tab w:leader="none" w:pos="2567"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 No Defaulting Lender shall be entitled to receive any fee payable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which that Lender is a Defaulting Lender (and the Borrower shall not be required to pay any such fee that otherwise would have been required to have been paid to that Defaulting Lender).</w:t>
      </w:r>
    </w:p>
    <w:p>
      <w:pPr>
        <w:spacing w:after="0" w:line="143" w:lineRule="exact"/>
        <w:rPr>
          <w:rFonts w:ascii="Times New Roman" w:cs="Times New Roman" w:eastAsia="Times New Roman" w:hAnsi="Times New Roman"/>
          <w:sz w:val="20"/>
          <w:szCs w:val="20"/>
          <w:color w:val="auto"/>
        </w:rPr>
      </w:pPr>
    </w:p>
    <w:p>
      <w:pPr>
        <w:jc w:val="both"/>
        <w:ind w:left="1280" w:firstLine="652"/>
        <w:spacing w:after="0" w:line="232" w:lineRule="auto"/>
        <w:tabs>
          <w:tab w:leader="none" w:pos="257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Letter of Credit Fees</w:t>
      </w:r>
      <w:r>
        <w:rPr>
          <w:rFonts w:ascii="Times New Roman" w:cs="Times New Roman" w:eastAsia="Times New Roman" w:hAnsi="Times New Roman"/>
          <w:sz w:val="20"/>
          <w:szCs w:val="20"/>
          <w:color w:val="auto"/>
        </w:rPr>
        <w:t>. Each Defaulting Lender shall be entitled to receive Letter of Credit Fees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period during which that Lender is a Defaulting Lender only to the extent allocable to its Applicable Revolving Percentage of the stated amount of Letters of Credit for which it has provided Cash Collateral pursuant to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w:t>
      </w:r>
    </w:p>
    <w:p>
      <w:pPr>
        <w:spacing w:after="0" w:line="143" w:lineRule="exact"/>
        <w:rPr>
          <w:rFonts w:ascii="Times New Roman" w:cs="Times New Roman" w:eastAsia="Times New Roman" w:hAnsi="Times New Roman"/>
          <w:sz w:val="20"/>
          <w:szCs w:val="20"/>
          <w:color w:val="auto"/>
        </w:rPr>
      </w:pPr>
    </w:p>
    <w:p>
      <w:pPr>
        <w:jc w:val="both"/>
        <w:ind w:left="1280" w:firstLine="652"/>
        <w:spacing w:after="0" w:line="216" w:lineRule="auto"/>
        <w:tabs>
          <w:tab w:leader="none" w:pos="257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Defaulting Lender Fees</w:t>
      </w:r>
      <w:r>
        <w:rPr>
          <w:rFonts w:ascii="Times New Roman" w:cs="Times New Roman" w:eastAsia="Times New Roman" w:hAnsi="Times New Roman"/>
          <w:sz w:val="20"/>
          <w:szCs w:val="20"/>
          <w:color w:val="auto"/>
        </w:rPr>
        <w:t>. With respect to any Letter of Credit Fee not required to be paid to any Defaulting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 pursuant to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20"/>
          <w:szCs w:val="20"/>
          <w:b w:val="1"/>
          <w:bCs w:val="1"/>
          <w:i w:val="1"/>
          <w:iCs w:val="1"/>
          <w:color w:val="auto"/>
        </w:rPr>
        <w:t>clause (iv)</w:t>
      </w:r>
      <w:r>
        <w:rPr>
          <w:rFonts w:ascii="Times New Roman" w:cs="Times New Roman" w:eastAsia="Times New Roman" w:hAnsi="Times New Roman"/>
          <w:sz w:val="20"/>
          <w:szCs w:val="20"/>
          <w:color w:val="auto"/>
        </w:rPr>
        <w:t xml:space="preserve"> below, (2) pay to the L/C Issuer and the Swingline Lender, as applicable, the amount of any such fee otherwise payable to such Defaulting Lender to the extent allocable to such L/C Issuer’s or Swingline Lender’s Fronting Exposure to such Defaulting Lender, and (3) not be required to pay the remaining amount of any such fee.</w:t>
      </w:r>
    </w:p>
    <w:p>
      <w:pPr>
        <w:spacing w:after="0" w:line="157" w:lineRule="exact"/>
        <w:rPr>
          <w:rFonts w:ascii="Times New Roman" w:cs="Times New Roman" w:eastAsia="Times New Roman" w:hAnsi="Times New Roman"/>
          <w:sz w:val="20"/>
          <w:szCs w:val="20"/>
          <w:color w:val="auto"/>
        </w:rPr>
      </w:pPr>
    </w:p>
    <w:p>
      <w:pPr>
        <w:jc w:val="both"/>
        <w:ind w:left="640" w:firstLine="644"/>
        <w:spacing w:after="0" w:line="223" w:lineRule="auto"/>
        <w:tabs>
          <w:tab w:leader="none" w:pos="1925"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Reallocation of Applicable Revolving Percentages to Reduce Fronting Exposure</w:t>
      </w:r>
      <w:r>
        <w:rPr>
          <w:rFonts w:ascii="Times New Roman" w:cs="Times New Roman" w:eastAsia="Times New Roman" w:hAnsi="Times New Roman"/>
          <w:sz w:val="20"/>
          <w:szCs w:val="20"/>
          <w:color w:val="auto"/>
        </w:rPr>
        <w:t>. All or any part 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Revolving Exposure of any Non-Defaulting Lender to exceed such Non-Defaulting Lender’s Revolving Commitment. Subject to</w:t>
      </w:r>
    </w:p>
    <w:p>
      <w:pPr>
        <w:ind w:left="660"/>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Section 11.20</w:t>
      </w:r>
      <w:r>
        <w:rPr>
          <w:rFonts w:ascii="Times New Roman" w:cs="Times New Roman" w:eastAsia="Times New Roman" w:hAnsi="Times New Roman"/>
          <w:sz w:val="19"/>
          <w:szCs w:val="19"/>
          <w:color w:val="auto"/>
        </w:rPr>
        <w:t>, no reallocation hereunder shall constitute a waiver or release of any claim of any party hereunder against a Defaulting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Lender arising from that Lender having become a Defaulting Lender, including any claim of a Non-Defaulting Lender as a result of</w:t>
      </w:r>
    </w:p>
    <w:p>
      <w:pPr>
        <w:ind w:left="660"/>
        <w:spacing w:after="0"/>
        <w:rPr>
          <w:sz w:val="20"/>
          <w:szCs w:val="20"/>
          <w:color w:val="auto"/>
        </w:rPr>
      </w:pPr>
      <w:r>
        <w:rPr>
          <w:rFonts w:ascii="Times New Roman" w:cs="Times New Roman" w:eastAsia="Times New Roman" w:hAnsi="Times New Roman"/>
          <w:sz w:val="20"/>
          <w:szCs w:val="20"/>
          <w:color w:val="auto"/>
        </w:rPr>
        <w:t>such Non-Defaulting Lender’s increased exposure following such reallocation.</w:t>
      </w:r>
    </w:p>
    <w:p>
      <w:pPr>
        <w:spacing w:after="0" w:line="163" w:lineRule="exact"/>
        <w:rPr>
          <w:sz w:val="20"/>
          <w:szCs w:val="20"/>
          <w:color w:val="auto"/>
        </w:rPr>
      </w:pPr>
    </w:p>
    <w:p>
      <w:pPr>
        <w:jc w:val="both"/>
        <w:ind w:left="660" w:firstLine="644"/>
        <w:spacing w:after="0" w:line="223" w:lineRule="auto"/>
        <w:tabs>
          <w:tab w:leader="none" w:pos="194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Collateral, Repayment of Swingline Loans</w:t>
      </w:r>
      <w:r>
        <w:rPr>
          <w:rFonts w:ascii="Times New Roman" w:cs="Times New Roman" w:eastAsia="Times New Roman" w:hAnsi="Times New Roman"/>
          <w:sz w:val="20"/>
          <w:szCs w:val="20"/>
          <w:color w:val="auto"/>
        </w:rPr>
        <w:t>. If the reallocation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 (a)(iv)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cannot,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can only partially, be effected, the Borrower shall, without prejudice to any right or remedy available to it hereunder or under Applicable Law, (A)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(B)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Cash Collateralize the L/C Issuer’</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Fronting Exposure in accordance with the procedures set forth in </w:t>
      </w:r>
      <w:r>
        <w:rPr>
          <w:rFonts w:ascii="Times New Roman" w:cs="Times New Roman" w:eastAsia="Times New Roman" w:hAnsi="Times New Roman"/>
          <w:sz w:val="20"/>
          <w:szCs w:val="20"/>
          <w:b w:val="1"/>
          <w:bCs w:val="1"/>
          <w:i w:val="1"/>
          <w:iCs w:val="1"/>
          <w:color w:val="auto"/>
        </w:rPr>
        <w:t>Section 2.14</w:t>
      </w:r>
      <w:r>
        <w:rPr>
          <w:rFonts w:ascii="Times New Roman" w:cs="Times New Roman" w:eastAsia="Times New Roman" w:hAnsi="Times New Roman"/>
          <w:sz w:val="20"/>
          <w:szCs w:val="20"/>
          <w:color w:val="auto"/>
        </w:rPr>
        <w:t>.</w:t>
      </w:r>
    </w:p>
    <w:p>
      <w:pPr>
        <w:spacing w:after="0" w:line="144" w:lineRule="exact"/>
        <w:rPr>
          <w:rFonts w:ascii="Times New Roman" w:cs="Times New Roman" w:eastAsia="Times New Roman" w:hAnsi="Times New Roman"/>
          <w:sz w:val="20"/>
          <w:szCs w:val="20"/>
          <w:color w:val="auto"/>
        </w:rPr>
      </w:pPr>
    </w:p>
    <w:p>
      <w:pPr>
        <w:jc w:val="both"/>
        <w:ind w:firstLine="656"/>
        <w:spacing w:after="0" w:line="224" w:lineRule="auto"/>
        <w:tabs>
          <w:tab w:leader="none" w:pos="128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Defaulting Lender Cure</w:t>
      </w:r>
      <w:r>
        <w:rPr>
          <w:rFonts w:ascii="Times New Roman" w:cs="Times New Roman" w:eastAsia="Times New Roman" w:hAnsi="Times New Roman"/>
          <w:sz w:val="19"/>
          <w:szCs w:val="19"/>
          <w:color w:val="auto"/>
        </w:rPr>
        <w:t>. If the Borrower, the Administrative Agent, the Swingline Lender and the L/C Issuer agree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Commitments (without giving effect to </w:t>
      </w:r>
      <w:r>
        <w:rPr>
          <w:rFonts w:ascii="Times New Roman" w:cs="Times New Roman" w:eastAsia="Times New Roman" w:hAnsi="Times New Roman"/>
          <w:sz w:val="19"/>
          <w:szCs w:val="19"/>
          <w:b w:val="1"/>
          <w:bCs w:val="1"/>
          <w:i w:val="1"/>
          <w:iCs w:val="1"/>
          <w:color w:val="auto"/>
        </w:rPr>
        <w:t>Section 2.15(a)(iv)</w:t>
      </w:r>
      <w:r>
        <w:rPr>
          <w:rFonts w:ascii="Times New Roman" w:cs="Times New Roman" w:eastAsia="Times New Roman" w:hAnsi="Times New Roman"/>
          <w:sz w:val="19"/>
          <w:szCs w:val="19"/>
          <w:color w:val="auto"/>
        </w:rPr>
        <w:t>),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1" w:lineRule="exact"/>
        <w:rPr>
          <w:rFonts w:ascii="Times New Roman" w:cs="Times New Roman" w:eastAsia="Times New Roman" w:hAnsi="Times New Roman"/>
          <w:sz w:val="19"/>
          <w:szCs w:val="19"/>
          <w:color w:val="auto"/>
        </w:rPr>
      </w:pPr>
    </w:p>
    <w:p>
      <w:pPr>
        <w:jc w:val="both"/>
        <w:ind w:firstLine="656"/>
        <w:spacing w:after="0" w:line="223" w:lineRule="auto"/>
        <w:tabs>
          <w:tab w:leader="none" w:pos="128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144"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b w:val="1"/>
          <w:bCs w:val="1"/>
          <w:color w:val="auto"/>
        </w:rPr>
        <w:t>Increase in Revolving Facility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7" w:lineRule="auto"/>
        <w:tabs>
          <w:tab w:leader="none" w:pos="128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Request for Increase</w:t>
      </w:r>
      <w:r>
        <w:rPr>
          <w:rFonts w:ascii="Times New Roman" w:cs="Times New Roman" w:eastAsia="Times New Roman" w:hAnsi="Times New Roman"/>
          <w:sz w:val="20"/>
          <w:szCs w:val="20"/>
          <w:color w:val="auto"/>
        </w:rPr>
        <w:t>. Provided there exists no Default, upon notice to the Administrative Agent (which shall promptly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notify the Lenders), the Borrower may from time to time, request an increase in the Revolving Facility by an amount (for all such requests) not exceeding $50,000,000 (an “</w:t>
      </w:r>
      <w:r>
        <w:rPr>
          <w:rFonts w:ascii="Times New Roman" w:cs="Times New Roman" w:eastAsia="Times New Roman" w:hAnsi="Times New Roman"/>
          <w:sz w:val="20"/>
          <w:szCs w:val="20"/>
          <w:b w:val="1"/>
          <w:bCs w:val="1"/>
          <w:i w:val="1"/>
          <w:iCs w:val="1"/>
          <w:color w:val="auto"/>
        </w:rPr>
        <w:t>Incremental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such request for an Incremental Facility shall be in a minimum amount of $15,000,000, or if less, the then remaining portion of the increase, (ii) the Borrower may make a maximum of four such requests, and (iii) in the case of any such request for an Incremental Facility each Lender that is not, at such time, a Defaulting Lender, shall have an exclusive right (at its sole election) to increase its respective Revolving Commitment on a pro-rata basis with all Lenders.</w:t>
      </w:r>
    </w:p>
    <w:p>
      <w:pPr>
        <w:spacing w:after="0" w:line="156"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Lender Elections to Increase</w:t>
      </w:r>
      <w:r>
        <w:rPr>
          <w:rFonts w:ascii="Times New Roman" w:cs="Times New Roman" w:eastAsia="Times New Roman" w:hAnsi="Times New Roman"/>
          <w:sz w:val="20"/>
          <w:szCs w:val="20"/>
          <w:color w:val="auto"/>
        </w:rPr>
        <w:t>. Each Lender shall notify the Administrative Agent within such time period whether or not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to increase its Revolving Commitment and, if so, whether by an amount equal to, greater than, or less than its Applicable Revolving Percentage of such requested increase. Any Lender not responding within such time period shall be deemed to have declined to increase its Revolving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0" w:firstLine="642"/>
        <w:spacing w:after="0" w:line="215" w:lineRule="auto"/>
        <w:tabs>
          <w:tab w:leader="none" w:pos="1306"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Notification by Administrative Agent; Additional Lenders</w:t>
      </w:r>
      <w:r>
        <w:rPr>
          <w:rFonts w:ascii="Times New Roman" w:cs="Times New Roman" w:eastAsia="Times New Roman" w:hAnsi="Times New Roman"/>
          <w:sz w:val="20"/>
          <w:szCs w:val="20"/>
          <w:color w:val="auto"/>
        </w:rPr>
        <w:t>. The Administrative Agent shall notify the Borrower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 of the Lenders’ responses to each request made hereunder. To achieve the full amount of a requested increase, and subject to the approval of the Administrative Agent, the L/C Issuer and the Swingline Lender, if and only after the Lenders are offered an exclusive right to increase their respective Commitments under an Incremental Facility and one of more of such Lenders elect not to increase their Revolving Commitment in connection with such Incremental Facility and the then-existing Lenders have not increased their Revolving Commitments in connection with such Incremental Facility up to the amount requested by the Borrower under </w:t>
      </w:r>
      <w:r>
        <w:rPr>
          <w:rFonts w:ascii="Times New Roman" w:cs="Times New Roman" w:eastAsia="Times New Roman" w:hAnsi="Times New Roman"/>
          <w:sz w:val="20"/>
          <w:szCs w:val="20"/>
          <w:i w:val="1"/>
          <w:iCs w:val="1"/>
          <w:color w:val="auto"/>
        </w:rPr>
        <w:t>clause (a)</w:t>
      </w:r>
      <w:r>
        <w:rPr>
          <w:rFonts w:ascii="Times New Roman" w:cs="Times New Roman" w:eastAsia="Times New Roman" w:hAnsi="Times New Roman"/>
          <w:sz w:val="20"/>
          <w:szCs w:val="20"/>
          <w:color w:val="auto"/>
        </w:rPr>
        <w:t xml:space="preserve"> above, the Borrower may invite additional Eligible Assignees to become Lenders pursuant to a joinder agreement (“</w:t>
      </w:r>
      <w:r>
        <w:rPr>
          <w:rFonts w:ascii="Times New Roman" w:cs="Times New Roman" w:eastAsia="Times New Roman" w:hAnsi="Times New Roman"/>
          <w:sz w:val="20"/>
          <w:szCs w:val="20"/>
          <w:b w:val="1"/>
          <w:bCs w:val="1"/>
          <w:i w:val="1"/>
          <w:iCs w:val="1"/>
          <w:color w:val="auto"/>
        </w:rPr>
        <w:t>New Lenders</w:t>
      </w:r>
      <w:r>
        <w:rPr>
          <w:rFonts w:ascii="Times New Roman" w:cs="Times New Roman" w:eastAsia="Times New Roman" w:hAnsi="Times New Roman"/>
          <w:sz w:val="20"/>
          <w:szCs w:val="20"/>
          <w:color w:val="auto"/>
        </w:rPr>
        <w:t>”) in form and substance satisfactory to the Administrative Agent and its counsel.</w:t>
      </w:r>
    </w:p>
    <w:p>
      <w:pPr>
        <w:spacing w:after="0" w:line="147"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 Date and Allocations</w:t>
      </w:r>
      <w:r>
        <w:rPr>
          <w:rFonts w:ascii="Times New Roman" w:cs="Times New Roman" w:eastAsia="Times New Roman" w:hAnsi="Times New Roman"/>
          <w:sz w:val="20"/>
          <w:szCs w:val="20"/>
          <w:color w:val="auto"/>
        </w:rPr>
        <w:t>. If the Revolving Facility is increased in accordance with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and the Borrower shall determine the effective date (the “</w:t>
      </w:r>
      <w:r>
        <w:rPr>
          <w:rFonts w:ascii="Times New Roman" w:cs="Times New Roman" w:eastAsia="Times New Roman" w:hAnsi="Times New Roman"/>
          <w:sz w:val="20"/>
          <w:szCs w:val="20"/>
          <w:b w:val="1"/>
          <w:bCs w:val="1"/>
          <w:i w:val="1"/>
          <w:iCs w:val="1"/>
          <w:color w:val="auto"/>
        </w:rPr>
        <w:t>Revolving Increase Effective Date</w:t>
      </w:r>
      <w:r>
        <w:rPr>
          <w:rFonts w:ascii="Times New Roman" w:cs="Times New Roman" w:eastAsia="Times New Roman" w:hAnsi="Times New Roman"/>
          <w:sz w:val="20"/>
          <w:szCs w:val="20"/>
          <w:color w:val="auto"/>
        </w:rPr>
        <w:t>”) and the final allocation of such increase. The Administrative Agent shall promptly notify the Borrower and the Lenders and the New Lenders of the final allocation of such increase and the Revolving Increase Effective Date.</w:t>
      </w:r>
    </w:p>
    <w:p>
      <w:pPr>
        <w:spacing w:after="0" w:line="157"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Conditions to Effectiveness of Increase</w:t>
      </w:r>
      <w:r>
        <w:rPr>
          <w:rFonts w:ascii="Times New Roman" w:cs="Times New Roman" w:eastAsia="Times New Roman" w:hAnsi="Times New Roman"/>
          <w:sz w:val="20"/>
          <w:szCs w:val="20"/>
          <w:color w:val="auto"/>
        </w:rPr>
        <w:t>. As a condition precedent to such increase, the Borrower shall deliver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Administrative Agent a certificate of each Loan Party dated as of the Revolving Increase Effective Date (in sufficient copies for each Lender) signed by a Responsible Officer of such Loan Party (i) certifying and attaching the resolutions adopted by such Loan Party approving or consenting to such increase, and (ii) in the case of the Borrower, certifying that, before and after giving effect to such increase, (A) the representations and warranties contained in </w:t>
      </w:r>
      <w:r>
        <w:rPr>
          <w:rFonts w:ascii="Times New Roman" w:cs="Times New Roman" w:eastAsia="Times New Roman" w:hAnsi="Times New Roman"/>
          <w:sz w:val="20"/>
          <w:szCs w:val="20"/>
          <w:b w:val="1"/>
          <w:bCs w:val="1"/>
          <w:i w:val="1"/>
          <w:iCs w:val="1"/>
          <w:color w:val="auto"/>
        </w:rPr>
        <w:t>Article V</w:t>
      </w:r>
      <w:r>
        <w:rPr>
          <w:rFonts w:ascii="Times New Roman" w:cs="Times New Roman" w:eastAsia="Times New Roman" w:hAnsi="Times New Roman"/>
          <w:sz w:val="20"/>
          <w:szCs w:val="20"/>
          <w:color w:val="auto"/>
        </w:rPr>
        <w:t xml:space="preserve"> and the other Loan Documents are true and correct, on and as of the Revolving Increase Effective Date, and except that for purposes of this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b w:val="1"/>
          <w:bCs w:val="1"/>
          <w:i w:val="1"/>
          <w:iCs w:val="1"/>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i w:val="1"/>
          <w:iCs w:val="1"/>
          <w:color w:val="auto"/>
        </w:rPr>
        <w:t xml:space="preserve">Section 5.05 </w:t>
      </w:r>
      <w:r>
        <w:rPr>
          <w:rFonts w:ascii="Times New Roman" w:cs="Times New Roman" w:eastAsia="Times New Roman" w:hAnsi="Times New Roman"/>
          <w:sz w:val="20"/>
          <w:szCs w:val="20"/>
          <w:color w:val="auto"/>
        </w:rPr>
        <w:t>shall be deemed to refer to the most recent statements furnished pursuant to</w:t>
      </w:r>
      <w:r>
        <w:rPr>
          <w:rFonts w:ascii="Times New Roman" w:cs="Times New Roman" w:eastAsia="Times New Roman" w:hAnsi="Times New Roman"/>
          <w:sz w:val="20"/>
          <w:szCs w:val="20"/>
          <w:b w:val="1"/>
          <w:bCs w:val="1"/>
          <w:i w:val="1"/>
          <w:iCs w:val="1"/>
          <w:color w:val="auto"/>
        </w:rPr>
        <w:t xml:space="preserve"> clauses (a)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(b)</w:t>
      </w:r>
      <w:r>
        <w:rPr>
          <w:rFonts w:ascii="Times New Roman" w:cs="Times New Roman" w:eastAsia="Times New Roman" w:hAnsi="Times New Roman"/>
          <w:sz w:val="20"/>
          <w:szCs w:val="20"/>
          <w:color w:val="auto"/>
        </w:rPr>
        <w:t>, respectively, of</w:t>
      </w:r>
      <w:r>
        <w:rPr>
          <w:rFonts w:ascii="Times New Roman" w:cs="Times New Roman" w:eastAsia="Times New Roman" w:hAnsi="Times New Roman"/>
          <w:sz w:val="20"/>
          <w:szCs w:val="20"/>
          <w:b w:val="1"/>
          <w:bCs w:val="1"/>
          <w:i w:val="1"/>
          <w:iCs w:val="1"/>
          <w:color w:val="auto"/>
        </w:rPr>
        <w:t xml:space="preserve"> Section 6.01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and (B) both before and after giving effect to the Incremental Facility, no Default exists. The Borrower shall deliver or cause to be delivered any other customary documents (including, without limitation, legal opinions) as reasonably requested by the Administrative Agent in connection with any Incremental Facility. The Borrower shall prepay any Revolving Loans outstanding on the Revolving Increase Effective Date (and pay any additional amounts required pursuant to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xml:space="preserve">) to the extent necessary to keep the outstanding Revolving Loans ratable with any revised Applicable Revolving Percentages arising from any nonratable increase in the Revolving Commitments under this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i w:val="1"/>
          <w:iCs w:val="1"/>
          <w:color w:val="auto"/>
        </w:rPr>
        <w:t>.</w:t>
      </w:r>
    </w:p>
    <w:p>
      <w:pPr>
        <w:spacing w:after="0" w:line="15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Conflicting Provisions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supersede any provisions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2.13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11.01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contrary.</w:t>
      </w:r>
    </w:p>
    <w:p>
      <w:pPr>
        <w:spacing w:after="0" w:line="188"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Incremental Facility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specifically set forth herein, all of the other terms and conditions applicable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Incremental Facility shall be identical to the terms and conditions applicable to the Revolving Facility.</w:t>
      </w:r>
    </w:p>
    <w:p>
      <w:pPr>
        <w:spacing w:after="0" w:line="137"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YIELD PROTECTION AND ILLEGALITY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656"/>
        <w:spacing w:after="0" w:line="235" w:lineRule="auto"/>
        <w:tabs>
          <w:tab w:leader="none" w:pos="128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the term “Applicable Law” includes FATCA and the term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any L/C Issuer.</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Free of Taxes; Obligation to Withhold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Payments on Account of Taxes</w:t>
      </w:r>
      <w:r>
        <w:rPr>
          <w:rFonts w:ascii="Times New Roman" w:cs="Times New Roman" w:eastAsia="Times New Roman" w:hAnsi="Times New Roman"/>
          <w:sz w:val="20"/>
          <w:szCs w:val="20"/>
          <w:color w:val="auto"/>
        </w:rPr>
        <w:t>. Any and all payments by or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of any obligation of any Loan Party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be made without deduction or withholding for any Taxes, except as required by Applicable Laws. If any Applicable Laws (as</w:t>
      </w:r>
    </w:p>
    <w:p>
      <w:pPr>
        <w:spacing w:after="0" w:line="204" w:lineRule="auto"/>
        <w:rPr>
          <w:sz w:val="20"/>
          <w:szCs w:val="20"/>
          <w:color w:val="auto"/>
        </w:rPr>
      </w:pPr>
      <w:r>
        <w:rPr>
          <w:rFonts w:ascii="Times New Roman" w:cs="Times New Roman" w:eastAsia="Times New Roman" w:hAnsi="Times New Roman"/>
          <w:sz w:val="20"/>
          <w:szCs w:val="20"/>
          <w:color w:val="auto"/>
        </w:rPr>
        <w:t>determined in the good faith discretion of an applicable Withholding Agent) require the deduction or withholding of any Tax from any such payment by a Withholding Agent, then the applicable Withholding Agent shall be entitled to make such deduction or withholding and shall</w:t>
      </w:r>
    </w:p>
    <w:p>
      <w:pPr>
        <w:spacing w:after="0" w:line="223" w:lineRule="auto"/>
        <w:rPr>
          <w:sz w:val="20"/>
          <w:szCs w:val="20"/>
          <w:color w:val="auto"/>
        </w:rPr>
      </w:pPr>
      <w:r>
        <w:rPr>
          <w:rFonts w:ascii="Times New Roman" w:cs="Times New Roman" w:eastAsia="Times New Roman" w:hAnsi="Times New Roman"/>
          <w:sz w:val="19"/>
          <w:szCs w:val="19"/>
          <w:color w:val="auto"/>
        </w:rPr>
        <w:t>timely pay the full amount deducted or withheld to the relevant Governmental Authority in accordance with Applicable Law and, if such Tax</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9"/>
          <w:szCs w:val="19"/>
          <w:b w:val="1"/>
          <w:bCs w:val="1"/>
          <w:i w:val="1"/>
          <w:iCs w:val="1"/>
          <w:color w:val="auto"/>
        </w:rPr>
        <w:t>Section 3.01</w:t>
      </w:r>
      <w:r>
        <w:rPr>
          <w:rFonts w:ascii="Times New Roman" w:cs="Times New Roman" w:eastAsia="Times New Roman" w:hAnsi="Times New Roman"/>
          <w:sz w:val="19"/>
          <w:szCs w:val="19"/>
          <w:color w:val="auto"/>
        </w:rPr>
        <w:t>) the</w:t>
      </w:r>
    </w:p>
    <w:p>
      <w:pPr>
        <w:spacing w:after="0"/>
        <w:rPr>
          <w:sz w:val="20"/>
          <w:szCs w:val="20"/>
          <w:color w:val="auto"/>
        </w:rPr>
      </w:pPr>
      <w:r>
        <w:rPr>
          <w:rFonts w:ascii="Times New Roman" w:cs="Times New Roman" w:eastAsia="Times New Roman" w:hAnsi="Times New Roman"/>
          <w:sz w:val="20"/>
          <w:szCs w:val="20"/>
          <w:color w:val="auto"/>
        </w:rPr>
        <w:t>applicable Recipient receives an amount equal to the sum it would have received had no such withholding or deduction been made.</w:t>
      </w:r>
    </w:p>
    <w:p>
      <w:pPr>
        <w:spacing w:after="0" w:line="163" w:lineRule="exact"/>
        <w:rPr>
          <w:sz w:val="20"/>
          <w:szCs w:val="20"/>
          <w:color w:val="auto"/>
        </w:rPr>
      </w:pPr>
    </w:p>
    <w:p>
      <w:pPr>
        <w:ind w:right="20" w:firstLine="656"/>
        <w:spacing w:after="0" w:line="235"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Applicable Law, or at the option of the Administrative Agent timely reimburse it for the payment of, any Other Taxes.</w:t>
      </w:r>
    </w:p>
    <w:p>
      <w:pPr>
        <w:spacing w:after="0" w:line="15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Indemnifications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07" w:lineRule="auto"/>
        <w:tabs>
          <w:tab w:leader="none" w:pos="1954"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Each of the Loan Parties shall also, and does hereby, jointly and severally indemnify the Administrative Agent, and shall make payment in respect thereof within 10 days after demand therefor, for any amount which a Lender for any reason fails to pay indefeasibly to the Administrative Agent as required pursuant to </w:t>
      </w:r>
      <w:r>
        <w:rPr>
          <w:rFonts w:ascii="Times New Roman" w:cs="Times New Roman" w:eastAsia="Times New Roman" w:hAnsi="Times New Roman"/>
          <w:sz w:val="20"/>
          <w:szCs w:val="20"/>
          <w:b w:val="1"/>
          <w:bCs w:val="1"/>
          <w:i w:val="1"/>
          <w:iCs w:val="1"/>
          <w:color w:val="auto"/>
        </w:rPr>
        <w:t>Section 3.01(d)</w:t>
      </w:r>
    </w:p>
    <w:p>
      <w:pPr>
        <w:spacing w:after="0" w:line="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2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below.</w:t>
      </w:r>
    </w:p>
    <w:p>
      <w:pPr>
        <w:spacing w:after="0" w:line="166" w:lineRule="exact"/>
        <w:rPr>
          <w:rFonts w:ascii="Times New Roman" w:cs="Times New Roman" w:eastAsia="Times New Roman" w:hAnsi="Times New Roman"/>
          <w:sz w:val="20"/>
          <w:szCs w:val="20"/>
          <w:b w:val="1"/>
          <w:bCs w:val="1"/>
          <w:i w:val="1"/>
          <w:iCs w:val="1"/>
          <w:color w:val="auto"/>
        </w:rPr>
      </w:pPr>
    </w:p>
    <w:p>
      <w:pPr>
        <w:jc w:val="both"/>
        <w:ind w:left="660" w:firstLine="644"/>
        <w:spacing w:after="0" w:line="211" w:lineRule="auto"/>
        <w:tabs>
          <w:tab w:leader="none" w:pos="1955"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and does hereby, severally indemnify and shall make payment in respect thereof within 10 days after demand therefor, (A) the Administrative Agent against any Indemnified Taxes attributable to such Lender, (B) the Administrative Agent any Taxes attributable to such Lender’s failure to comply with the provisions of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xml:space="preserve">) relating to the maintenance of a Participant Register and (C) the Administrative Agent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ii</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Evidence of Payments</w:t>
      </w:r>
      <w:r>
        <w:rPr>
          <w:rFonts w:ascii="Times New Roman" w:cs="Times New Roman" w:eastAsia="Times New Roman" w:hAnsi="Times New Roman"/>
          <w:sz w:val="20"/>
          <w:szCs w:val="20"/>
          <w:color w:val="auto"/>
        </w:rPr>
        <w:t>. As soon as practicable after any payment of Taxes by any Loan Party to a Governmental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provided in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evidencing such payment, a copy of any return reporting such payment or other evidence of such payment reasonably satisfactory to the Administrative Agent.</w:t>
      </w:r>
    </w:p>
    <w:p>
      <w:pPr>
        <w:spacing w:after="0" w:line="144"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Status of Lenders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Tax Documentation</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4"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b w:val="1"/>
          <w:bCs w:val="1"/>
          <w:i w:val="1"/>
          <w:iCs w:val="1"/>
          <w:color w:val="auto"/>
        </w:rPr>
        <w:t>Section 3.01(f)(ii)(A)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7"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27" w:lineRule="auto"/>
        <w:tabs>
          <w:tab w:leader="none" w:pos="3244" w:val="left"/>
        </w:tabs>
        <w:numPr>
          <w:ilvl w:val="3"/>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64" w:lineRule="exact"/>
        <w:rPr>
          <w:rFonts w:ascii="Times New Roman" w:cs="Times New Roman" w:eastAsia="Times New Roman" w:hAnsi="Times New Roman"/>
          <w:sz w:val="19"/>
          <w:szCs w:val="19"/>
          <w:color w:val="auto"/>
        </w:rPr>
      </w:pPr>
    </w:p>
    <w:p>
      <w:pPr>
        <w:ind w:left="3240" w:hanging="640"/>
        <w:spacing w:after="0"/>
        <w:tabs>
          <w:tab w:leader="none" w:pos="3240" w:val="left"/>
        </w:tabs>
        <w:numPr>
          <w:ilvl w:val="3"/>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188" w:lineRule="exact"/>
        <w:rPr>
          <w:rFonts w:ascii="Times New Roman" w:cs="Times New Roman" w:eastAsia="Times New Roman" w:hAnsi="Times New Roman"/>
          <w:sz w:val="20"/>
          <w:szCs w:val="20"/>
          <w:color w:val="auto"/>
        </w:rPr>
      </w:pPr>
    </w:p>
    <w:p>
      <w:pPr>
        <w:ind w:left="1960" w:firstLine="640"/>
        <w:spacing w:after="0" w:line="233" w:lineRule="auto"/>
        <w:tabs>
          <w:tab w:leader="none" w:pos="3244" w:val="left"/>
        </w:tabs>
        <w:numPr>
          <w:ilvl w:val="3"/>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w:t>
      </w:r>
      <w:r>
        <w:rPr>
          <w:rFonts w:ascii="Times New Roman" w:cs="Times New Roman" w:eastAsia="Times New Roman" w:hAnsi="Times New Roman"/>
          <w:sz w:val="20"/>
          <w:szCs w:val="20"/>
          <w:i w:val="1"/>
          <w:iCs w:val="1"/>
          <w:color w:val="auto"/>
        </w:rPr>
        <w:t xml:space="preserve">Section 881(c) </w:t>
      </w:r>
      <w:r>
        <w:rPr>
          <w:rFonts w:ascii="Times New Roman" w:cs="Times New Roman" w:eastAsia="Times New Roman" w:hAnsi="Times New Roman"/>
          <w:sz w:val="20"/>
          <w:szCs w:val="20"/>
          <w:color w:val="auto"/>
        </w:rPr>
        <w:t>of the Code, (x) a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 xml:space="preserve">substantially in the form of </w:t>
      </w:r>
      <w:r>
        <w:rPr>
          <w:rFonts w:ascii="Times New Roman" w:cs="Times New Roman" w:eastAsia="Times New Roman" w:hAnsi="Times New Roman"/>
          <w:sz w:val="19"/>
          <w:szCs w:val="19"/>
          <w:b w:val="1"/>
          <w:bCs w:val="1"/>
          <w:i w:val="1"/>
          <w:iCs w:val="1"/>
          <w:color w:val="auto"/>
        </w:rPr>
        <w:t>Exhibit M-1</w:t>
      </w:r>
      <w:r>
        <w:rPr>
          <w:rFonts w:ascii="Times New Roman" w:cs="Times New Roman" w:eastAsia="Times New Roman" w:hAnsi="Times New Roman"/>
          <w:sz w:val="19"/>
          <w:szCs w:val="19"/>
          <w:color w:val="auto"/>
        </w:rPr>
        <w:t xml:space="preserve"> to the effect that such Foreign Lender is not a “</w:t>
      </w:r>
      <w:r>
        <w:rPr>
          <w:rFonts w:ascii="Times New Roman" w:cs="Times New Roman" w:eastAsia="Times New Roman" w:hAnsi="Times New Roman"/>
          <w:sz w:val="19"/>
          <w:szCs w:val="19"/>
          <w:i w:val="1"/>
          <w:iCs w:val="1"/>
          <w:color w:val="auto"/>
        </w:rPr>
        <w:t>bank</w:t>
      </w:r>
      <w:r>
        <w:rPr>
          <w:rFonts w:ascii="Times New Roman" w:cs="Times New Roman" w:eastAsia="Times New Roman" w:hAnsi="Times New Roman"/>
          <w:sz w:val="19"/>
          <w:szCs w:val="19"/>
          <w:color w:val="auto"/>
        </w:rPr>
        <w:t>” within the meaning of</w:t>
      </w:r>
    </w:p>
    <w:p>
      <w:pPr>
        <w:ind w:left="1960"/>
        <w:spacing w:after="0" w:line="207" w:lineRule="auto"/>
        <w:rPr>
          <w:sz w:val="20"/>
          <w:szCs w:val="20"/>
          <w:color w:val="auto"/>
        </w:rPr>
      </w:pPr>
      <w:r>
        <w:rPr>
          <w:rFonts w:ascii="Times New Roman" w:cs="Times New Roman" w:eastAsia="Times New Roman" w:hAnsi="Times New Roman"/>
          <w:sz w:val="20"/>
          <w:szCs w:val="20"/>
          <w:i w:val="1"/>
          <w:iCs w:val="1"/>
          <w:color w:val="auto"/>
        </w:rPr>
        <w:t xml:space="preserve">Section 881(c)(3)(A) </w:t>
      </w:r>
      <w:r>
        <w:rPr>
          <w:rFonts w:ascii="Times New Roman" w:cs="Times New Roman" w:eastAsia="Times New Roman" w:hAnsi="Times New Roman"/>
          <w:sz w:val="20"/>
          <w:szCs w:val="20"/>
          <w:color w:val="auto"/>
        </w:rPr>
        <w:t>of the Code, a “</w:t>
      </w:r>
      <w:r>
        <w:rPr>
          <w:rFonts w:ascii="Times New Roman" w:cs="Times New Roman" w:eastAsia="Times New Roman" w:hAnsi="Times New Roman"/>
          <w:sz w:val="20"/>
          <w:szCs w:val="20"/>
          <w:i w:val="1"/>
          <w:iCs w:val="1"/>
          <w:color w:val="auto"/>
        </w:rPr>
        <w:t>10 percent shareholder</w:t>
      </w:r>
      <w:r>
        <w:rPr>
          <w:rFonts w:ascii="Times New Roman" w:cs="Times New Roman" w:eastAsia="Times New Roman" w:hAnsi="Times New Roman"/>
          <w:sz w:val="20"/>
          <w:szCs w:val="20"/>
          <w:color w:val="auto"/>
        </w:rPr>
        <w:t>” of the Borrower within the meaning of</w:t>
      </w:r>
      <w:r>
        <w:rPr>
          <w:rFonts w:ascii="Times New Roman" w:cs="Times New Roman" w:eastAsia="Times New Roman" w:hAnsi="Times New Roman"/>
          <w:sz w:val="20"/>
          <w:szCs w:val="20"/>
          <w:i w:val="1"/>
          <w:iCs w:val="1"/>
          <w:color w:val="auto"/>
        </w:rPr>
        <w:t xml:space="preserve"> Section 881(c)</w:t>
      </w:r>
    </w:p>
    <w:p>
      <w:pPr>
        <w:spacing w:after="0" w:line="1" w:lineRule="exact"/>
        <w:rPr>
          <w:sz w:val="20"/>
          <w:szCs w:val="20"/>
          <w:color w:val="auto"/>
        </w:rPr>
      </w:pPr>
    </w:p>
    <w:p>
      <w:pPr>
        <w:ind w:left="1960"/>
        <w:spacing w:after="0" w:line="228" w:lineRule="auto"/>
        <w:rPr>
          <w:sz w:val="20"/>
          <w:szCs w:val="20"/>
          <w:color w:val="auto"/>
        </w:rPr>
      </w:pPr>
      <w:r>
        <w:rPr>
          <w:rFonts w:ascii="Times New Roman" w:cs="Times New Roman" w:eastAsia="Times New Roman" w:hAnsi="Times New Roman"/>
          <w:sz w:val="20"/>
          <w:szCs w:val="20"/>
          <w:i w:val="1"/>
          <w:iCs w:val="1"/>
          <w:color w:val="auto"/>
        </w:rPr>
        <w:t xml:space="preserve">(3)(B) </w:t>
      </w:r>
      <w:r>
        <w:rPr>
          <w:rFonts w:ascii="Times New Roman" w:cs="Times New Roman" w:eastAsia="Times New Roman" w:hAnsi="Times New Roman"/>
          <w:sz w:val="20"/>
          <w:szCs w:val="20"/>
          <w:color w:val="auto"/>
        </w:rPr>
        <w:t>of the Code, or a “</w:t>
      </w:r>
      <w:r>
        <w:rPr>
          <w:rFonts w:ascii="Times New Roman" w:cs="Times New Roman" w:eastAsia="Times New Roman" w:hAnsi="Times New Roman"/>
          <w:sz w:val="20"/>
          <w:szCs w:val="20"/>
          <w:i w:val="1"/>
          <w:iCs w:val="1"/>
          <w:color w:val="auto"/>
        </w:rPr>
        <w:t>controlled foreign corporation</w:t>
      </w:r>
      <w:r>
        <w:rPr>
          <w:rFonts w:ascii="Times New Roman" w:cs="Times New Roman" w:eastAsia="Times New Roman" w:hAnsi="Times New Roman"/>
          <w:sz w:val="20"/>
          <w:szCs w:val="20"/>
          <w:color w:val="auto"/>
        </w:rPr>
        <w:t>” described in</w:t>
      </w:r>
      <w:r>
        <w:rPr>
          <w:rFonts w:ascii="Times New Roman" w:cs="Times New Roman" w:eastAsia="Times New Roman" w:hAnsi="Times New Roman"/>
          <w:sz w:val="20"/>
          <w:szCs w:val="20"/>
          <w:i w:val="1"/>
          <w:iCs w:val="1"/>
          <w:color w:val="auto"/>
        </w:rPr>
        <w:t xml:space="preserve"> Section 881(c)(3)(C) </w:t>
      </w:r>
      <w:r>
        <w:rPr>
          <w:rFonts w:ascii="Times New Roman" w:cs="Times New Roman" w:eastAsia="Times New Roman" w:hAnsi="Times New Roman"/>
          <w:sz w:val="20"/>
          <w:szCs w:val="20"/>
          <w:color w:val="auto"/>
        </w:rPr>
        <w:t>of the Code (a “</w:t>
      </w:r>
      <w:r>
        <w:rPr>
          <w:rFonts w:ascii="Times New Roman" w:cs="Times New Roman" w:eastAsia="Times New Roman" w:hAnsi="Times New Roman"/>
          <w:sz w:val="20"/>
          <w:szCs w:val="20"/>
          <w:b w:val="1"/>
          <w:bCs w:val="1"/>
          <w:i w:val="1"/>
          <w:iCs w:val="1"/>
          <w:color w:val="auto"/>
        </w:rPr>
        <w:t>U.S.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and (y) executed copies of IRS Form W-8BEN-E (or W-8BEN, as applicable); or</w:t>
      </w:r>
    </w:p>
    <w:p>
      <w:pPr>
        <w:spacing w:after="0" w:line="162" w:lineRule="exact"/>
        <w:rPr>
          <w:sz w:val="20"/>
          <w:szCs w:val="20"/>
          <w:color w:val="auto"/>
        </w:rPr>
      </w:pPr>
    </w:p>
    <w:p>
      <w:pPr>
        <w:jc w:val="both"/>
        <w:ind w:left="1960" w:firstLine="640"/>
        <w:spacing w:after="0" w:line="215" w:lineRule="auto"/>
        <w:tabs>
          <w:tab w:leader="none" w:pos="3244" w:val="left"/>
        </w:tabs>
        <w:numPr>
          <w:ilvl w:val="3"/>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0"/>
          <w:szCs w:val="20"/>
          <w:b w:val="1"/>
          <w:bCs w:val="1"/>
          <w:i w:val="1"/>
          <w:iCs w:val="1"/>
          <w:color w:val="auto"/>
        </w:rPr>
        <w:t>Exhibit M-2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Exhibit M-3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b w:val="1"/>
          <w:bCs w:val="1"/>
          <w:i w:val="1"/>
          <w:iCs w:val="1"/>
          <w:color w:val="auto"/>
        </w:rPr>
        <w:t>Exhibit M-4</w:t>
      </w:r>
      <w:r>
        <w:rPr>
          <w:rFonts w:ascii="Times New Roman" w:cs="Times New Roman" w:eastAsia="Times New Roman" w:hAnsi="Times New Roman"/>
          <w:sz w:val="20"/>
          <w:szCs w:val="20"/>
          <w:color w:val="auto"/>
        </w:rPr>
        <w:t xml:space="preserve"> on behalf of each such direct and indirect partner;</w:t>
      </w:r>
    </w:p>
    <w:p>
      <w:pPr>
        <w:spacing w:after="0" w:line="150"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21" w:lineRule="auto"/>
        <w:tabs>
          <w:tab w:leader="none" w:pos="2587" w:val="left"/>
        </w:tabs>
        <w:numPr>
          <w:ilvl w:val="2"/>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w:t>
      </w:r>
      <w:r>
        <w:rPr>
          <w:rFonts w:ascii="Times New Roman" w:cs="Times New Roman" w:eastAsia="Times New Roman" w:hAnsi="Times New Roman"/>
          <w:sz w:val="19"/>
          <w:szCs w:val="19"/>
          <w:i w:val="1"/>
          <w:iCs w:val="1"/>
          <w:color w:val="auto"/>
        </w:rPr>
        <w:t>Section 1471(b)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1472(b)</w:t>
      </w:r>
      <w:r>
        <w:rPr>
          <w:rFonts w:ascii="Times New Roman" w:cs="Times New Roman" w:eastAsia="Times New Roman" w:hAnsi="Times New Roman"/>
          <w:sz w:val="19"/>
          <w:szCs w:val="19"/>
          <w:color w:val="auto"/>
        </w:rPr>
        <w:t xml:space="preserve">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w:t>
      </w:r>
      <w:r>
        <w:rPr>
          <w:rFonts w:ascii="Times New Roman" w:cs="Times New Roman" w:eastAsia="Times New Roman" w:hAnsi="Times New Roman"/>
          <w:sz w:val="19"/>
          <w:szCs w:val="19"/>
          <w:i w:val="1"/>
          <w:iCs w:val="1"/>
          <w:color w:val="auto"/>
        </w:rPr>
        <w:t>Section 1471(b)</w:t>
      </w:r>
    </w:p>
    <w:p>
      <w:pPr>
        <w:spacing w:after="0" w:line="1" w:lineRule="exact"/>
        <w:rPr>
          <w:rFonts w:ascii="Times New Roman" w:cs="Times New Roman" w:eastAsia="Times New Roman" w:hAnsi="Times New Roman"/>
          <w:sz w:val="19"/>
          <w:szCs w:val="19"/>
          <w:color w:val="auto"/>
        </w:rPr>
      </w:pPr>
    </w:p>
    <w:p>
      <w:pPr>
        <w:jc w:val="both"/>
        <w:ind w:left="1300"/>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 xml:space="preserve">(3)(C)(i) </w:t>
      </w:r>
      <w:r>
        <w:rPr>
          <w:rFonts w:ascii="Times New Roman" w:cs="Times New Roman" w:eastAsia="Times New Roman" w:hAnsi="Times New Roman"/>
          <w:sz w:val="20"/>
          <w:szCs w:val="20"/>
          <w:color w:val="auto"/>
        </w:rPr>
        <w:t>of the Code) and such additional documentation reasonably requested by the Borrower or the Administrative Agent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 w:cs="Times New Roman" w:eastAsia="Times New Roman" w:hAnsi="Times New Roman"/>
          <w:sz w:val="20"/>
          <w:szCs w:val="20"/>
          <w:b w:val="1"/>
          <w:bCs w:val="1"/>
          <w:i w:val="1"/>
          <w:iCs w:val="1"/>
          <w:color w:val="auto"/>
        </w:rPr>
        <w:t>clause (f)(ii)(D)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FATCA</w:t>
      </w:r>
      <w:r>
        <w:rPr>
          <w:rFonts w:ascii="Times New Roman" w:cs="Times New Roman" w:eastAsia="Times New Roman" w:hAnsi="Times New Roman"/>
          <w:sz w:val="20"/>
          <w:szCs w:val="20"/>
          <w:color w:val="auto"/>
        </w:rPr>
        <w:t>” shall include any amendments made to FATCA after the date of this Agreement.</w:t>
      </w:r>
    </w:p>
    <w:p>
      <w:pPr>
        <w:spacing w:after="0" w:line="145" w:lineRule="exact"/>
        <w:rPr>
          <w:rFonts w:ascii="Times New Roman" w:cs="Times New Roman" w:eastAsia="Times New Roman" w:hAnsi="Times New Roman"/>
          <w:sz w:val="19"/>
          <w:szCs w:val="19"/>
          <w:color w:val="auto"/>
        </w:rPr>
      </w:pPr>
    </w:p>
    <w:p>
      <w:pPr>
        <w:jc w:val="both"/>
        <w:ind w:left="660" w:firstLine="644"/>
        <w:spacing w:after="0" w:line="232" w:lineRule="auto"/>
        <w:tabs>
          <w:tab w:leader="none" w:pos="1956"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43"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Treatment of Certain Refunds</w:t>
      </w:r>
      <w:r>
        <w:rPr>
          <w:rFonts w:ascii="Times New Roman" w:cs="Times New Roman" w:eastAsia="Times New Roman" w:hAnsi="Times New Roman"/>
          <w:sz w:val="20"/>
          <w:szCs w:val="20"/>
          <w:color w:val="auto"/>
        </w:rPr>
        <w:t>. Unless required by Applicable Laws, at no time shall the Administrative Agent have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to file for or otherwise pursue on behalf of a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any obligation to pay to any Lender, any refund of Taxes withheld or deducted from funds paid for the account of such Lender. If any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9"/>
          <w:szCs w:val="19"/>
          <w:b w:val="1"/>
          <w:bCs w:val="1"/>
          <w:i w:val="1"/>
          <w:iCs w:val="1"/>
          <w:color w:val="auto"/>
        </w:rPr>
        <w:t>Section 3.01</w:t>
      </w:r>
      <w:r>
        <w:rPr>
          <w:rFonts w:ascii="Times New Roman" w:cs="Times New Roman" w:eastAsia="Times New Roman" w:hAnsi="Times New Roman"/>
          <w:sz w:val="19"/>
          <w:szCs w:val="19"/>
          <w:color w:val="auto"/>
        </w:rPr>
        <w:t>, it shall pay</w:t>
      </w:r>
    </w:p>
    <w:p>
      <w:pPr>
        <w:spacing w:after="0" w:line="211" w:lineRule="auto"/>
        <w:rPr>
          <w:sz w:val="20"/>
          <w:szCs w:val="20"/>
          <w:color w:val="auto"/>
        </w:rPr>
      </w:pPr>
      <w:r>
        <w:rPr>
          <w:rFonts w:ascii="Times New Roman" w:cs="Times New Roman" w:eastAsia="Times New Roman" w:hAnsi="Times New Roman"/>
          <w:sz w:val="20"/>
          <w:szCs w:val="20"/>
          <w:color w:val="auto"/>
        </w:rPr>
        <w:t>to such Loan Party an amount equal to such refund (but only to the extent of indemnity payments made, or additional amounts paid, by such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Loan Party under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as the case may be, and without interest (other than any interest paid by the relevant Governmental Authority</w:t>
      </w:r>
    </w:p>
    <w:p>
      <w:pPr>
        <w:spacing w:after="0" w:line="211" w:lineRule="auto"/>
        <w:rPr>
          <w:sz w:val="20"/>
          <w:szCs w:val="20"/>
          <w:color w:val="auto"/>
        </w:rPr>
      </w:pPr>
      <w:r>
        <w:rPr>
          <w:rFonts w:ascii="Times New Roman" w:cs="Times New Roman" w:eastAsia="Times New Roman" w:hAnsi="Times New Roman"/>
          <w:sz w:val="20"/>
          <w:szCs w:val="20"/>
          <w:color w:val="auto"/>
        </w:rPr>
        <w:t>with respect to such refund), provided that each Loan Party, upon the request of the Recipient, agrees to repay the amount paid over to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19"/>
          <w:szCs w:val="19"/>
          <w:b w:val="1"/>
          <w:bCs w:val="1"/>
          <w:i w:val="1"/>
          <w:iCs w:val="1"/>
          <w:color w:val="auto"/>
        </w:rPr>
        <w:t>clause (g)</w:t>
      </w:r>
      <w:r>
        <w:rPr>
          <w:rFonts w:ascii="Times New Roman" w:cs="Times New Roman" w:eastAsia="Times New Roman" w:hAnsi="Times New Roman"/>
          <w:sz w:val="19"/>
          <w:szCs w:val="19"/>
          <w:color w:val="auto"/>
        </w:rPr>
        <w:t>, in no</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event will the applicable Recipient be required to pay any amount to such Loan Party pursuant to this </w:t>
      </w:r>
      <w:r>
        <w:rPr>
          <w:rFonts w:ascii="Times New Roman" w:cs="Times New Roman" w:eastAsia="Times New Roman" w:hAnsi="Times New Roman"/>
          <w:sz w:val="19"/>
          <w:szCs w:val="19"/>
          <w:b w:val="1"/>
          <w:bCs w:val="1"/>
          <w:i w:val="1"/>
          <w:iCs w:val="1"/>
          <w:color w:val="auto"/>
        </w:rPr>
        <w:t>clause (g)</w:t>
      </w:r>
      <w:r>
        <w:rPr>
          <w:rFonts w:ascii="Times New Roman" w:cs="Times New Roman" w:eastAsia="Times New Roman" w:hAnsi="Times New Roman"/>
          <w:sz w:val="19"/>
          <w:szCs w:val="19"/>
          <w:color w:val="auto"/>
        </w:rPr>
        <w:t xml:space="preserve"> the payment of which would</w:t>
      </w:r>
    </w:p>
    <w:p>
      <w:pPr>
        <w:spacing w:after="0" w:line="215" w:lineRule="auto"/>
        <w:rPr>
          <w:sz w:val="20"/>
          <w:szCs w:val="20"/>
          <w:color w:val="auto"/>
        </w:rPr>
      </w:pPr>
      <w:r>
        <w:rPr>
          <w:rFonts w:ascii="Times New Roman" w:cs="Times New Roman" w:eastAsia="Times New Roman" w:hAnsi="Times New Roman"/>
          <w:sz w:val="19"/>
          <w:szCs w:val="19"/>
          <w:color w:val="auto"/>
        </w:rPr>
        <w:t>place the Recipient in a less favorable net after-Tax position than such Recipient would have been in if the Tax subject to indemnification and giving rise to such refund had not been deducted, withheld or otherwise imposed and the indemnification payments or additional amounts</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with respect to such Tax had never been paid. This </w:t>
      </w:r>
      <w:r>
        <w:rPr>
          <w:rFonts w:ascii="Times New Roman" w:cs="Times New Roman" w:eastAsia="Times New Roman" w:hAnsi="Times New Roman"/>
          <w:sz w:val="20"/>
          <w:szCs w:val="20"/>
          <w:b w:val="1"/>
          <w:bCs w:val="1"/>
          <w:i w:val="1"/>
          <w:iCs w:val="1"/>
          <w:color w:val="auto"/>
        </w:rPr>
        <w:t>clause (g</w:t>
      </w:r>
      <w:r>
        <w:rPr>
          <w:rFonts w:ascii="Times New Roman" w:cs="Times New Roman" w:eastAsia="Times New Roman" w:hAnsi="Times New Roman"/>
          <w:sz w:val="20"/>
          <w:szCs w:val="20"/>
          <w:color w:val="auto"/>
        </w:rPr>
        <w:t>) shall not be construed to require any Recipient to make available its tax returns (or any other information relating to its Taxes that it deems confidential) to any Loan Party or any other Person.</w:t>
      </w:r>
    </w:p>
    <w:p>
      <w:pPr>
        <w:spacing w:after="0" w:line="145" w:lineRule="exact"/>
        <w:rPr>
          <w:sz w:val="20"/>
          <w:szCs w:val="20"/>
          <w:color w:val="auto"/>
        </w:rPr>
      </w:pPr>
    </w:p>
    <w:p>
      <w:pPr>
        <w:jc w:val="both"/>
        <w:ind w:firstLine="656"/>
        <w:spacing w:after="0" w:line="232" w:lineRule="auto"/>
        <w:tabs>
          <w:tab w:leader="none" w:pos="12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3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b w:val="1"/>
          <w:bCs w:val="1"/>
          <w:color w:val="auto"/>
        </w:rPr>
        <w:t>Illegality</w:t>
      </w:r>
      <w:r>
        <w:rPr>
          <w:rFonts w:ascii="Times New Roman" w:cs="Times New Roman" w:eastAsia="Times New Roman" w:hAnsi="Times New Roman"/>
          <w:sz w:val="19"/>
          <w:szCs w:val="19"/>
          <w:color w:val="auto"/>
        </w:rPr>
        <w:t>. If any Lender determines that any Law has made it unlawful, or that any Governmental Authority has asserted that</w:t>
      </w:r>
    </w:p>
    <w:p>
      <w:pPr>
        <w:spacing w:after="0" w:line="4"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it is unlawful, for any Lender or its applicable Lending Office to make, maintain or fund, or charge interest with respect to, any Credit Extension, or to determine or charge interest rates based upon a Relevant Rate, or any Governmental Authority has imposed material</w:t>
      </w:r>
    </w:p>
    <w:p>
      <w:pPr>
        <w:spacing w:after="0" w:line="211" w:lineRule="auto"/>
        <w:rPr>
          <w:sz w:val="20"/>
          <w:szCs w:val="20"/>
          <w:color w:val="auto"/>
        </w:rPr>
      </w:pPr>
      <w:r>
        <w:rPr>
          <w:rFonts w:ascii="Times New Roman" w:cs="Times New Roman" w:eastAsia="Times New Roman" w:hAnsi="Times New Roman"/>
          <w:sz w:val="20"/>
          <w:szCs w:val="20"/>
          <w:color w:val="auto"/>
        </w:rPr>
        <w:t>restrictions on the authority of such Lender to purchase or sell, or to take deposits of, Dollars or any Alternative Currency in the applicable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interbank market, then, upon notice thereof by such Lender to the Borrower (through the Administrative Agent), (i) any obligation of such Lender to make or maintain Alternative Currency Loans in the affected currency or currencies or, in the case of Loans denominated in</w:t>
      </w:r>
    </w:p>
    <w:p>
      <w:pPr>
        <w:spacing w:after="0" w:line="211" w:lineRule="auto"/>
        <w:rPr>
          <w:sz w:val="20"/>
          <w:szCs w:val="20"/>
          <w:color w:val="auto"/>
        </w:rPr>
      </w:pPr>
      <w:r>
        <w:rPr>
          <w:rFonts w:ascii="Times New Roman" w:cs="Times New Roman" w:eastAsia="Times New Roman" w:hAnsi="Times New Roman"/>
          <w:sz w:val="20"/>
          <w:szCs w:val="20"/>
          <w:color w:val="auto"/>
        </w:rPr>
        <w:t>Dollars, any obligation of such Lender to make or continue BSBY Rate Loans or to convert Base Rate Loans to BSBY Rate Loans, shall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suspended, and (ii) if such notice asserts the illegality of such Lender making or maintaining Base Rate Loans the interest rate on which is determined by reference to the BSBY Rate component of the Base Rate, the interest rate on which Base Rate Loans of such Lender shall, if</w:t>
      </w:r>
    </w:p>
    <w:p>
      <w:pPr>
        <w:spacing w:after="0" w:line="211" w:lineRule="auto"/>
        <w:rPr>
          <w:sz w:val="20"/>
          <w:szCs w:val="20"/>
          <w:color w:val="auto"/>
        </w:rPr>
      </w:pPr>
      <w:r>
        <w:rPr>
          <w:rFonts w:ascii="Times New Roman" w:cs="Times New Roman" w:eastAsia="Times New Roman" w:hAnsi="Times New Roman"/>
          <w:sz w:val="20"/>
          <w:szCs w:val="20"/>
          <w:color w:val="auto"/>
        </w:rPr>
        <w:t>necessary to avoid such illegality, be determined by the Administrative Agent without reference to the BSBY Rate component of the Base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Rate, in each case until such Lender notifies the Administrative Agent and the Borrower that the circumstances giving rise to such determination no longer exist. Upon receipt of such notice, (A) the Borrower shall, upon demand from such Lender (with a copy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prepay all BSBY Rate Loans or Alternative Currency Loans, as applicable in the effected currency or currencies,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if applicable, convert all BSBY Rate Loans of such Lender to Base Rate Loans (the interest rate on which Base Rate Loans of such Lender shall, if necessary to avoid such illegality, be determined by the Administrative Agent without reference to the BSBY Rate component of the</w:t>
      </w:r>
    </w:p>
    <w:p>
      <w:pPr>
        <w:spacing w:after="0" w:line="222" w:lineRule="auto"/>
        <w:rPr>
          <w:sz w:val="20"/>
          <w:szCs w:val="20"/>
          <w:color w:val="auto"/>
        </w:rPr>
      </w:pPr>
      <w:r>
        <w:rPr>
          <w:rFonts w:ascii="Times New Roman" w:cs="Times New Roman" w:eastAsia="Times New Roman" w:hAnsi="Times New Roman"/>
          <w:sz w:val="19"/>
          <w:szCs w:val="19"/>
          <w:color w:val="auto"/>
        </w:rPr>
        <w:t>Base Rate), either on the last day of the Interest Period therefor in the case of BSBY Rate Loans and Alternative Currency Term Rate Loans,</w:t>
      </w:r>
    </w:p>
    <w:p>
      <w:pPr>
        <w:spacing w:after="0" w:line="204" w:lineRule="auto"/>
        <w:rPr>
          <w:sz w:val="20"/>
          <w:szCs w:val="20"/>
          <w:color w:val="auto"/>
        </w:rPr>
      </w:pPr>
      <w:r>
        <w:rPr>
          <w:rFonts w:ascii="Times New Roman" w:cs="Times New Roman" w:eastAsia="Times New Roman" w:hAnsi="Times New Roman"/>
          <w:sz w:val="20"/>
          <w:szCs w:val="20"/>
          <w:color w:val="auto"/>
        </w:rPr>
        <w:t>if such Lender may lawfully continue to maintain such Loans to such day, or immediately, in the case of Alternative Currency Daily Rate Loans or, if such Lender may not lawfully continue to maintain such Loans to such day, BSBY Rate Loans and Alternative Currency Term</w:t>
      </w:r>
    </w:p>
    <w:p>
      <w:pPr>
        <w:spacing w:after="0" w:line="223" w:lineRule="auto"/>
        <w:rPr>
          <w:sz w:val="20"/>
          <w:szCs w:val="20"/>
          <w:color w:val="auto"/>
        </w:rPr>
      </w:pPr>
      <w:r>
        <w:rPr>
          <w:rFonts w:ascii="Times New Roman" w:cs="Times New Roman" w:eastAsia="Times New Roman" w:hAnsi="Times New Roman"/>
          <w:sz w:val="19"/>
          <w:szCs w:val="19"/>
          <w:color w:val="auto"/>
        </w:rPr>
        <w:t>Rate Loans, and (B) if such notice asserts the illegality of such Lender determining or charging interest rates based upon the BSBY Rate, the</w:t>
      </w: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shall during the period of such suspension compute the Base Rate applicable to such Lender without reference to the BSBY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component of the Base Rate until the Administrative Agent is advised in writing by such Lender that it is no longer illegal for such Lender to</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determine or charge interest rates based upon the BSBY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b w:val="1"/>
          <w:bCs w:val="1"/>
          <w:color w:val="auto"/>
        </w:rPr>
        <w:t>Inability to Determine Rates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33" w:lineRule="auto"/>
        <w:tabs>
          <w:tab w:leader="none" w:pos="1286"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Inability to Determine Rates</w:t>
      </w:r>
      <w:r>
        <w:rPr>
          <w:rFonts w:ascii="Times New Roman" w:cs="Times New Roman" w:eastAsia="Times New Roman" w:hAnsi="Times New Roman"/>
          <w:sz w:val="19"/>
          <w:szCs w:val="19"/>
          <w:color w:val="auto"/>
        </w:rPr>
        <w:t xml:space="preserve">. If, in connection with any request for a BSBY Rate Loan or an Alternative Currency Loan, or a conversion of a Base Rate Loan to a BSBY Rate Loan or an Alternative Currency Loan or a continuation of a BSBY Rate Loan or an Alternative Currency Term Rate Loan,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19"/>
          <w:szCs w:val="19"/>
          <w:b w:val="1"/>
          <w:bCs w:val="1"/>
          <w:i w:val="1"/>
          <w:iCs w:val="1"/>
          <w:color w:val="auto"/>
        </w:rPr>
        <w:t>Section 3.03 (b)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Section 3.03 (c)</w:t>
      </w:r>
      <w:r>
        <w:rPr>
          <w:rFonts w:ascii="Times New Roman" w:cs="Times New Roman" w:eastAsia="Times New Roman" w:hAnsi="Times New Roman"/>
          <w:sz w:val="19"/>
          <w:szCs w:val="19"/>
          <w:color w:val="auto"/>
        </w:rPr>
        <w:t xml:space="preserve">, and the circumstances under </w:t>
      </w:r>
      <w:r>
        <w:rPr>
          <w:rFonts w:ascii="Times New Roman" w:cs="Times New Roman" w:eastAsia="Times New Roman" w:hAnsi="Times New Roman"/>
          <w:sz w:val="19"/>
          <w:szCs w:val="19"/>
          <w:b w:val="1"/>
          <w:bCs w:val="1"/>
          <w:i w:val="1"/>
          <w:iCs w:val="1"/>
          <w:color w:val="auto"/>
        </w:rPr>
        <w:t>Section 3.03 (b)(i)</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b w:val="1"/>
          <w:bCs w:val="1"/>
          <w:i w:val="1"/>
          <w:iCs w:val="1"/>
          <w:color w:val="auto"/>
        </w:rPr>
        <w:t>Section 3.03 (c)</w:t>
      </w:r>
      <w:r>
        <w:rPr>
          <w:rFonts w:ascii="Times New Roman" w:cs="Times New Roman" w:eastAsia="Times New Roman" w:hAnsi="Times New Roman"/>
          <w:sz w:val="19"/>
          <w:szCs w:val="19"/>
          <w:color w:val="auto"/>
        </w:rPr>
        <w:t xml:space="preserve"> or the Scheduled Unavailability Date, or the BSBY Scheduled Unavailability Date, has occurred with respect to such Relevant Rate (as applicable), or (B) adequate and reasonable means do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xml:space="preserve"> otherwise exist for determining the Relevant Rate for the applicable Agreed Currency for any determination date(s) or requested Interest Period, as applicable, with respect to a proposed BSBY Rate Loan or Alternative Currency Loan or in connection with an existing or proposed Base Rate Loan, or (ii) the Administrative Agent or the Required Lenders determine, for any reason, that the Relevant Rate with respect to a proposed Loan denominated in an Agreed Currency for any requested Interest Period or determination date(s) (as applicable) does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xml:space="preserve"> adequately and fairly reflect the cost to such Lenders of funding such Loan, then the Administrative Agent will promptly so notify the Borrower and each Lender. Thereafter, (I) the obligation of the Lenders to make or maintain BSBY Rate Loans or Loans in the affected currencies, as applicable, or to convert Base Rate Loans to BSBY Rate Loans or Loans in the affected currencies, as applicable, shall be suspended, in each case, to the extent of the affected BSBY Rate Loans, Alternative Currency Loans or Interest Period or determination date(s), as applicable, and (II) in the event of a determination described in the preceding sentence with respect to the BSBY Rate component of the Base Rate, the utilization of the BSBY Rate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3.03(a)(ii)</w:t>
      </w:r>
      <w:r>
        <w:rPr>
          <w:rFonts w:ascii="Times New Roman" w:cs="Times New Roman" w:eastAsia="Times New Roman" w:hAnsi="Times New Roman"/>
          <w:sz w:val="19"/>
          <w:szCs w:val="19"/>
          <w:color w:val="auto"/>
        </w:rPr>
        <w:t>, until the Administrative Agent upon instruction of the Required Lenders) revokes such notice.</w:t>
      </w:r>
    </w:p>
    <w:p>
      <w:pPr>
        <w:spacing w:after="0" w:line="16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Upon receipt of such notice, (i) the Borrower may revoke any pending request for a Borrowing of, or conversion to or continuation of, BSBY Rate Loans, or for a Borrowing of, or continuation of, Alternative Currency Loans to the extent of the affected Alternative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Currency Loans or Interest Period or determination date(s), as applicable, or, failing that, will be deemed to have converted such request into a request for a Borrowing of Base Rate Loans, and (ii) (A) any outstanding BSBY Rate Loans shall be deemed to have been converted to</w:t>
      </w:r>
    </w:p>
    <w:p>
      <w:pPr>
        <w:spacing w:after="0" w:line="211" w:lineRule="auto"/>
        <w:rPr>
          <w:sz w:val="20"/>
          <w:szCs w:val="20"/>
          <w:color w:val="auto"/>
        </w:rPr>
      </w:pPr>
      <w:r>
        <w:rPr>
          <w:rFonts w:ascii="Times New Roman" w:cs="Times New Roman" w:eastAsia="Times New Roman" w:hAnsi="Times New Roman"/>
          <w:sz w:val="20"/>
          <w:szCs w:val="20"/>
          <w:color w:val="auto"/>
        </w:rPr>
        <w:t>Base Rate Loans immediately, and (B) any outstanding affected Alternative Currency Loans, at the Borrower’s election, shall either (I) be</w:t>
      </w:r>
    </w:p>
    <w:p>
      <w:pPr>
        <w:spacing w:after="0" w:line="204" w:lineRule="auto"/>
        <w:rPr>
          <w:sz w:val="20"/>
          <w:szCs w:val="20"/>
          <w:color w:val="auto"/>
        </w:rPr>
      </w:pPr>
      <w:r>
        <w:rPr>
          <w:rFonts w:ascii="Times New Roman" w:cs="Times New Roman" w:eastAsia="Times New Roman" w:hAnsi="Times New Roman"/>
          <w:sz w:val="20"/>
          <w:szCs w:val="20"/>
          <w:color w:val="auto"/>
        </w:rPr>
        <w:t>converted into a Borrowing of Base Rate Loans denominated in Dollars in the Dollar Equivalent of the amount of such outstanding Alternative Currency Loan immediately, in the case of an Alternative Currency Daily Rate Loan, or at the end of the applicable Interest</w:t>
      </w:r>
    </w:p>
    <w:p>
      <w:pPr>
        <w:spacing w:after="0" w:line="211" w:lineRule="auto"/>
        <w:rPr>
          <w:sz w:val="20"/>
          <w:szCs w:val="20"/>
          <w:color w:val="auto"/>
        </w:rPr>
      </w:pPr>
      <w:r>
        <w:rPr>
          <w:rFonts w:ascii="Times New Roman" w:cs="Times New Roman" w:eastAsia="Times New Roman" w:hAnsi="Times New Roman"/>
          <w:sz w:val="20"/>
          <w:szCs w:val="20"/>
          <w:color w:val="auto"/>
        </w:rPr>
        <w:t>Period, in the case of an Alternative Currency Term Rate Loan, or (II) be prepaid in full immediately, in the case of an Alternative Currency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Daily Rate Loan, or at the end of the applicable Interest Period, in the case of an Alternative Currency Term Rate Loan,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if no election is made by the Borrower (x) in the case of an Alternative Currency Daily Rate Loan, by the date that is three (3) Business Days after</w:t>
      </w:r>
    </w:p>
    <w:p>
      <w:pPr>
        <w:spacing w:after="0" w:line="211" w:lineRule="auto"/>
        <w:rPr>
          <w:sz w:val="20"/>
          <w:szCs w:val="20"/>
          <w:color w:val="auto"/>
        </w:rPr>
      </w:pPr>
      <w:r>
        <w:rPr>
          <w:rFonts w:ascii="Times New Roman" w:cs="Times New Roman" w:eastAsia="Times New Roman" w:hAnsi="Times New Roman"/>
          <w:sz w:val="20"/>
          <w:szCs w:val="20"/>
          <w:color w:val="auto"/>
        </w:rPr>
        <w:t>receipt by the Borrower of such notice, or (y) in the case of an Alternative Currency Term Rate Loan, by the last day of the current Interest</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Period for the applicable Alternative Currency Term Rate Loan, then the Borrower shall be deemed to have made the election described in </w:t>
      </w:r>
      <w:r>
        <w:rPr>
          <w:rFonts w:ascii="Times New Roman" w:cs="Times New Roman" w:eastAsia="Times New Roman" w:hAnsi="Times New Roman"/>
          <w:sz w:val="20"/>
          <w:szCs w:val="20"/>
          <w:b w:val="1"/>
          <w:bCs w:val="1"/>
          <w:i w:val="1"/>
          <w:iCs w:val="1"/>
          <w:color w:val="auto"/>
        </w:rPr>
        <w:t xml:space="preserve">clause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0" w:firstLine="642"/>
        <w:spacing w:after="0" w:line="223" w:lineRule="auto"/>
        <w:tabs>
          <w:tab w:leader="none" w:pos="130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of BSBY or BSBY Successor Rate</w:t>
      </w:r>
      <w:r>
        <w:rPr>
          <w:rFonts w:ascii="Times New Roman" w:cs="Times New Roman" w:eastAsia="Times New Roman" w:hAnsi="Times New Roman"/>
          <w:sz w:val="20"/>
          <w:szCs w:val="20"/>
          <w:color w:val="auto"/>
        </w:rPr>
        <w:t>. Notwithstanding anything to the contrary in this Agreement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57" w:lineRule="exact"/>
        <w:rPr>
          <w:rFonts w:ascii="Times New Roman" w:cs="Times New Roman" w:eastAsia="Times New Roman" w:hAnsi="Times New Roman"/>
          <w:sz w:val="20"/>
          <w:szCs w:val="20"/>
          <w:color w:val="auto"/>
        </w:rPr>
      </w:pPr>
    </w:p>
    <w:p>
      <w:pPr>
        <w:jc w:val="both"/>
        <w:ind w:left="1300" w:firstLine="652"/>
        <w:spacing w:after="0" w:line="227" w:lineRule="auto"/>
        <w:tabs>
          <w:tab w:leader="none" w:pos="259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adequate and reasonable means do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exist for ascertaining one (1) month, three (3) month and six (6) month interest periods of BSBY, including, without limitation, because the BSBY Screen Rate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available or published on a current basis and such circumstances are unlikely to be temporary; or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3" w:lineRule="auto"/>
        <w:tabs>
          <w:tab w:leader="none" w:pos="259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Authority has made a public statement identifying a specific date after which one (1) month, three (3) month and six (6) month interest periods of BSBY or the BSBY Screen Rate shall or will no longer be representative or made available, or permitted to be used for determining the interest rate of loans denominated in Dollars, or shall or will otherwise cease,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in each case, at the time of such statement, there is no successor administrator that is satisfactory to the Administrative Agent that will continue to provide such representative interest periods of BSBY after such specific date (the latest date on which one (1) month, three (3) month and six (6) month interest periods of BSBY or the BSBY Screen Rate are no longer representative or available permanently or indefinitely, the “</w:t>
      </w:r>
      <w:r>
        <w:rPr>
          <w:rFonts w:ascii="Times New Roman" w:cs="Times New Roman" w:eastAsia="Times New Roman" w:hAnsi="Times New Roman"/>
          <w:sz w:val="20"/>
          <w:szCs w:val="20"/>
          <w:b w:val="1"/>
          <w:bCs w:val="1"/>
          <w:i w:val="1"/>
          <w:iCs w:val="1"/>
          <w:color w:val="auto"/>
        </w:rPr>
        <w:t>BSBY Scheduled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Unavailability Date</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or if event(s) and/or circumstance(s) of the type(s) described </w:t>
      </w:r>
      <w:r>
        <w:rPr>
          <w:rFonts w:ascii="Times New Roman" w:cs="Times New Roman" w:eastAsia="Times New Roman" w:hAnsi="Times New Roman"/>
          <w:sz w:val="20"/>
          <w:szCs w:val="20"/>
          <w:b w:val="1"/>
          <w:bCs w:val="1"/>
          <w:i w:val="1"/>
          <w:iCs w:val="1"/>
          <w:color w:val="auto"/>
        </w:rPr>
        <w:t>Section 3.03(b)(i)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 3.03(b) (ii)</w:t>
      </w:r>
      <w:r>
        <w:rPr>
          <w:rFonts w:ascii="Times New Roman" w:cs="Times New Roman" w:eastAsia="Times New Roman" w:hAnsi="Times New Roman"/>
          <w:sz w:val="20"/>
          <w:szCs w:val="20"/>
          <w:color w:val="auto"/>
        </w:rPr>
        <w:t xml:space="preserve"> have occurred with respect to the</w:t>
      </w:r>
    </w:p>
    <w:p>
      <w:pPr>
        <w:spacing w:after="0" w:line="204" w:lineRule="auto"/>
        <w:rPr>
          <w:sz w:val="20"/>
          <w:szCs w:val="20"/>
          <w:color w:val="auto"/>
        </w:rPr>
      </w:pPr>
      <w:r>
        <w:rPr>
          <w:rFonts w:ascii="Times New Roman" w:cs="Times New Roman" w:eastAsia="Times New Roman" w:hAnsi="Times New Roman"/>
          <w:sz w:val="20"/>
          <w:szCs w:val="20"/>
          <w:color w:val="auto"/>
        </w:rPr>
        <w:t>BSBY Successor Rate then in effect, then, on a date and time determined by the Administrative Agent (any such date, the “</w:t>
      </w:r>
      <w:r>
        <w:rPr>
          <w:rFonts w:ascii="Times New Roman" w:cs="Times New Roman" w:eastAsia="Times New Roman" w:hAnsi="Times New Roman"/>
          <w:sz w:val="20"/>
          <w:szCs w:val="20"/>
          <w:b w:val="1"/>
          <w:bCs w:val="1"/>
          <w:i w:val="1"/>
          <w:iCs w:val="1"/>
          <w:color w:val="auto"/>
        </w:rPr>
        <w:t>BSBY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Replacement Date</w:t>
      </w:r>
      <w:r>
        <w:rPr>
          <w:rFonts w:ascii="Times New Roman" w:cs="Times New Roman" w:eastAsia="Times New Roman" w:hAnsi="Times New Roman"/>
          <w:sz w:val="20"/>
          <w:szCs w:val="20"/>
          <w:color w:val="auto"/>
        </w:rPr>
        <w:t>”), which date shall be at the end of an Interest Period or on the relevant interest payment date, as applicable, for interest</w:t>
      </w:r>
    </w:p>
    <w:p>
      <w:pPr>
        <w:spacing w:after="0" w:line="1" w:lineRule="exact"/>
        <w:rPr>
          <w:sz w:val="20"/>
          <w:szCs w:val="20"/>
          <w:color w:val="auto"/>
        </w:rPr>
      </w:pPr>
    </w:p>
    <w:p>
      <w:pPr>
        <w:ind w:right="20"/>
        <w:spacing w:after="0" w:line="181" w:lineRule="auto"/>
        <w:rPr>
          <w:sz w:val="20"/>
          <w:szCs w:val="20"/>
          <w:color w:val="auto"/>
        </w:rPr>
      </w:pPr>
      <w:r>
        <w:rPr>
          <w:rFonts w:ascii="Times New Roman" w:cs="Times New Roman" w:eastAsia="Times New Roman" w:hAnsi="Times New Roman"/>
          <w:sz w:val="20"/>
          <w:szCs w:val="20"/>
          <w:color w:val="auto"/>
        </w:rPr>
        <w:t xml:space="preserve">calculated, and, solely with respect to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ii</w:t>
      </w:r>
      <w:r>
        <w:rPr>
          <w:rFonts w:ascii="Times New Roman" w:cs="Times New Roman" w:eastAsia="Times New Roman" w:hAnsi="Times New Roman"/>
          <w:sz w:val="20"/>
          <w:szCs w:val="20"/>
          <w:color w:val="auto"/>
        </w:rPr>
        <w:t xml:space="preserve">) above, shall be </w:t>
      </w:r>
      <w:r>
        <w:rPr>
          <w:rFonts w:ascii="Times New Roman" w:cs="Times New Roman" w:eastAsia="Times New Roman" w:hAnsi="Times New Roman"/>
          <w:sz w:val="20"/>
          <w:szCs w:val="20"/>
          <w:i w:val="1"/>
          <w:iCs w:val="1"/>
          <w:color w:val="auto"/>
        </w:rPr>
        <w:t>no later than</w:t>
      </w:r>
      <w:r>
        <w:rPr>
          <w:rFonts w:ascii="Times New Roman" w:cs="Times New Roman" w:eastAsia="Times New Roman" w:hAnsi="Times New Roman"/>
          <w:sz w:val="20"/>
          <w:szCs w:val="20"/>
          <w:color w:val="auto"/>
        </w:rPr>
        <w:t xml:space="preserve"> the Scheduled Unavailability Date, BSBY will be replaced hereunder and under any Loan Document with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alternative set forth in the order below for any payment period for interest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calculated that can be determined by the Administrative Agent, in each case, without any amendment to, or further action or consent of any other party to, this Agreement or any other Loan Document (a “</w:t>
      </w:r>
      <w:r>
        <w:rPr>
          <w:rFonts w:ascii="Times New Roman" w:cs="Times New Roman" w:eastAsia="Times New Roman" w:hAnsi="Times New Roman"/>
          <w:sz w:val="20"/>
          <w:szCs w:val="20"/>
          <w:b w:val="1"/>
          <w:bCs w:val="1"/>
          <w:i w:val="1"/>
          <w:iCs w:val="1"/>
          <w:color w:val="auto"/>
        </w:rPr>
        <w:t>BSBY Successor Rate</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left="1720" w:hanging="416"/>
        <w:spacing w:after="0"/>
        <w:tabs>
          <w:tab w:leader="none" w:pos="17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Term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 and</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Daily Simple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If the BSBY Successor Rate is Daily Simple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 all interest payments will be payable on a monthly basis.</w:t>
      </w:r>
    </w:p>
    <w:p>
      <w:pPr>
        <w:spacing w:after="0" w:line="17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Notwithstanding anything to the contrary in this Agreement or any other Loan Documents, (i) if the Administrative Agent determines that neither of the alternatives set forth in the foregoing </w:t>
      </w:r>
      <w:r>
        <w:rPr>
          <w:rFonts w:ascii="Times New Roman" w:cs="Times New Roman" w:eastAsia="Times New Roman" w:hAnsi="Times New Roman"/>
          <w:sz w:val="19"/>
          <w:szCs w:val="19"/>
          <w:b w:val="1"/>
          <w:bCs w:val="1"/>
          <w:i w:val="1"/>
          <w:iCs w:val="1"/>
          <w:color w:val="auto"/>
        </w:rPr>
        <w:t>clauses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x</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y</w:t>
      </w:r>
      <w:r>
        <w:rPr>
          <w:rFonts w:ascii="Times New Roman" w:cs="Times New Roman" w:eastAsia="Times New Roman" w:hAnsi="Times New Roman"/>
          <w:sz w:val="19"/>
          <w:szCs w:val="19"/>
          <w:color w:val="auto"/>
        </w:rPr>
        <w:t>) are available on or prior to the BSBY Replacement Date, or (ii)</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event(s) and/or circumstance(s) of the type(s) described in </w:t>
      </w:r>
      <w:r>
        <w:rPr>
          <w:rFonts w:ascii="Times New Roman" w:cs="Times New Roman" w:eastAsia="Times New Roman" w:hAnsi="Times New Roman"/>
          <w:sz w:val="19"/>
          <w:szCs w:val="19"/>
          <w:b w:val="1"/>
          <w:bCs w:val="1"/>
          <w:i w:val="1"/>
          <w:iCs w:val="1"/>
          <w:color w:val="auto"/>
        </w:rPr>
        <w:t>Section 3.03(b)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Section 3.03(b) (ii)</w:t>
      </w:r>
      <w:r>
        <w:rPr>
          <w:rFonts w:ascii="Times New Roman" w:cs="Times New Roman" w:eastAsia="Times New Roman" w:hAnsi="Times New Roman"/>
          <w:sz w:val="19"/>
          <w:szCs w:val="19"/>
          <w:color w:val="auto"/>
        </w:rPr>
        <w:t xml:space="preserve"> have occurred with respect to the BSBY Successor Rate then in effect, then, in each case, the Administrative Agent and the Borrower may amend this Agreement </w:t>
      </w:r>
      <w:r>
        <w:rPr>
          <w:rFonts w:ascii="Times New Roman" w:cs="Times New Roman" w:eastAsia="Times New Roman" w:hAnsi="Times New Roman"/>
          <w:sz w:val="19"/>
          <w:szCs w:val="19"/>
          <w:i w:val="1"/>
          <w:iCs w:val="1"/>
          <w:color w:val="auto"/>
        </w:rPr>
        <w:t>solely</w:t>
      </w:r>
      <w:r>
        <w:rPr>
          <w:rFonts w:ascii="Times New Roman" w:cs="Times New Roman" w:eastAsia="Times New Roman" w:hAnsi="Times New Roman"/>
          <w:sz w:val="19"/>
          <w:szCs w:val="19"/>
          <w:color w:val="auto"/>
        </w:rPr>
        <w:t xml:space="preserve"> for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purpose of replacing BSBY or any then current BSBY Successor Rate in accordance with this </w:t>
      </w:r>
      <w:r>
        <w:rPr>
          <w:rFonts w:ascii="Times New Roman" w:cs="Times New Roman" w:eastAsia="Times New Roman" w:hAnsi="Times New Roman"/>
          <w:sz w:val="20"/>
          <w:szCs w:val="20"/>
          <w:b w:val="1"/>
          <w:bCs w:val="1"/>
          <w:i w:val="1"/>
          <w:iCs w:val="1"/>
          <w:color w:val="auto"/>
        </w:rPr>
        <w:t>Section 3.03</w:t>
      </w:r>
      <w:r>
        <w:rPr>
          <w:rFonts w:ascii="Times New Roman" w:cs="Times New Roman" w:eastAsia="Times New Roman" w:hAnsi="Times New Roman"/>
          <w:sz w:val="20"/>
          <w:szCs w:val="20"/>
          <w:color w:val="auto"/>
        </w:rPr>
        <w:t xml:space="preserve"> with an alternative benchmark</w:t>
      </w:r>
    </w:p>
    <w:p>
      <w:pPr>
        <w:spacing w:after="0" w:line="204" w:lineRule="auto"/>
        <w:rPr>
          <w:sz w:val="20"/>
          <w:szCs w:val="20"/>
          <w:color w:val="auto"/>
        </w:rPr>
      </w:pPr>
      <w:r>
        <w:rPr>
          <w:rFonts w:ascii="Times New Roman" w:cs="Times New Roman" w:eastAsia="Times New Roman" w:hAnsi="Times New Roman"/>
          <w:sz w:val="20"/>
          <w:szCs w:val="20"/>
          <w:color w:val="auto"/>
        </w:rPr>
        <w:t>rate, giving due consideration to any evolving, or then existing, convention for similar credit facilities syndicated and agented in the U.S. and denominated in Dollars for such alternative benchmarks, and, in each case, including any mathematical or other adjustments to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benchmark, giving due consideration to any evolving, or then existing, convention for similar credit facilities syndicated and agented in the U.S. and denominated in Dollars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such benchmarks, which adjustment, or method for calculating such adjustment, shall be published on an information service as selected by</w:t>
      </w:r>
    </w:p>
    <w:p>
      <w:pPr>
        <w:ind w:left="20"/>
        <w:spacing w:after="0" w:line="204" w:lineRule="auto"/>
        <w:rPr>
          <w:sz w:val="20"/>
          <w:szCs w:val="20"/>
          <w:color w:val="auto"/>
        </w:rPr>
      </w:pPr>
      <w:r>
        <w:rPr>
          <w:rFonts w:ascii="Times New Roman" w:cs="Times New Roman" w:eastAsia="Times New Roman" w:hAnsi="Times New Roman"/>
          <w:sz w:val="20"/>
          <w:szCs w:val="20"/>
          <w:color w:val="auto"/>
        </w:rPr>
        <w:t>the Administrative Agent from time to time in its reasonable discretion and may be periodically updated (and any such proposed rate, including, for the avoidance of doubt, any adjustment thereto, shall also be a “</w:t>
      </w:r>
      <w:r>
        <w:rPr>
          <w:rFonts w:ascii="Times New Roman" w:cs="Times New Roman" w:eastAsia="Times New Roman" w:hAnsi="Times New Roman"/>
          <w:sz w:val="20"/>
          <w:szCs w:val="20"/>
          <w:b w:val="1"/>
          <w:bCs w:val="1"/>
          <w:i w:val="1"/>
          <w:iCs w:val="1"/>
          <w:color w:val="auto"/>
        </w:rPr>
        <w:t>BSBY Successor Rate</w:t>
      </w:r>
      <w:r>
        <w:rPr>
          <w:rFonts w:ascii="Times New Roman" w:cs="Times New Roman" w:eastAsia="Times New Roman" w:hAnsi="Times New Roman"/>
          <w:sz w:val="20"/>
          <w:szCs w:val="20"/>
          <w:color w:val="auto"/>
        </w:rPr>
        <w:t>”), and any such amendment shall</w:t>
      </w:r>
    </w:p>
    <w:p>
      <w:pPr>
        <w:ind w:left="20"/>
        <w:spacing w:after="0" w:line="211" w:lineRule="auto"/>
        <w:rPr>
          <w:sz w:val="20"/>
          <w:szCs w:val="20"/>
          <w:color w:val="auto"/>
        </w:rPr>
      </w:pPr>
      <w:r>
        <w:rPr>
          <w:rFonts w:ascii="Times New Roman" w:cs="Times New Roman" w:eastAsia="Times New Roman" w:hAnsi="Times New Roman"/>
          <w:sz w:val="20"/>
          <w:szCs w:val="20"/>
          <w:color w:val="auto"/>
        </w:rPr>
        <w:t>become effective at 5:00 p.m. on the fifth (5th) Business Day after the Administrative Agent shall have posted such proposed amendment to</w:t>
      </w:r>
    </w:p>
    <w:p>
      <w:pPr>
        <w:spacing w:after="0" w:line="1" w:lineRule="exact"/>
        <w:rPr>
          <w:sz w:val="20"/>
          <w:szCs w:val="20"/>
          <w:color w:val="auto"/>
        </w:rPr>
      </w:pPr>
    </w:p>
    <w:p>
      <w:pPr>
        <w:ind w:left="20"/>
        <w:spacing w:after="0" w:line="221" w:lineRule="auto"/>
        <w:rPr>
          <w:sz w:val="20"/>
          <w:szCs w:val="20"/>
          <w:color w:val="auto"/>
        </w:rPr>
      </w:pPr>
      <w:r>
        <w:rPr>
          <w:rFonts w:ascii="Times New Roman" w:cs="Times New Roman" w:eastAsia="Times New Roman" w:hAnsi="Times New Roman"/>
          <w:sz w:val="20"/>
          <w:szCs w:val="20"/>
          <w:color w:val="auto"/>
        </w:rPr>
        <w:t>all Lenders and the Borrower unless, prior to such time, Lenders comprising the Required Lenders have delivered to the Administrative Agent written notice that such Required Lenders object to such amendment.</w:t>
      </w:r>
    </w:p>
    <w:p>
      <w:pPr>
        <w:spacing w:after="0" w:line="158" w:lineRule="exact"/>
        <w:rPr>
          <w:sz w:val="20"/>
          <w:szCs w:val="20"/>
          <w:color w:val="auto"/>
        </w:rPr>
      </w:pPr>
    </w:p>
    <w:p>
      <w:pPr>
        <w:jc w:val="both"/>
        <w:ind w:firstLine="656"/>
        <w:spacing w:after="0" w:line="223" w:lineRule="auto"/>
        <w:tabs>
          <w:tab w:leader="none" w:pos="128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of Relevant Rate or Successor Rate</w:t>
      </w:r>
      <w:r>
        <w:rPr>
          <w:rFonts w:ascii="Times New Roman" w:cs="Times New Roman" w:eastAsia="Times New Roman" w:hAnsi="Times New Roman"/>
          <w:sz w:val="20"/>
          <w:szCs w:val="20"/>
          <w:color w:val="auto"/>
        </w:rPr>
        <w:t>. Notwithstanding anything to the contrary in this Agreement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57"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95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adequate and reasonable means do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exist for ascertaining the Relevant Rate (other than the BSBY Screen Rate) for an Agreed Currency (other than Dollars) because none of the tenors of such Relevant Rate (other than the BSBY Screen Rate) under this Agreement are available or published on a current basis and such circumstances are unlikely to be temporary; or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5"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Authority has made a public statement identifying a specific date after which all tenors of the Relevant Rate (other than the BSBY Screen Rate)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in each case, at the time of such statement, there is no successor administrator that is satisfactory to the Administrative Agent that will continue to provide such representative tenor(s) of the Relevant Rate (other than the BSBY Screen Rate)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20"/>
          <w:szCs w:val="20"/>
          <w:b w:val="1"/>
          <w:bCs w:val="1"/>
          <w:i w:val="1"/>
          <w:iCs w:val="1"/>
          <w:color w:val="auto"/>
        </w:rPr>
        <w:t>Scheduled Unavailability Date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96" w:right="339" w:bottom="1440" w:gutter="0" w:footer="0" w:header="0"/>
        </w:sectPr>
      </w:pPr>
    </w:p>
    <w:p>
      <w:pPr>
        <w:spacing w:after="0" w:line="16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or if event(s) and/or circumstance(s) of the type(s) described in Successor Rate then in effect, then, the Administrative Agent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hanging="6"/>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Section 3.03(b)(i)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Section 3.03(b)(ii) </w:t>
      </w:r>
      <w:r>
        <w:rPr>
          <w:rFonts w:ascii="Times New Roman" w:cs="Times New Roman" w:eastAsia="Times New Roman" w:hAnsi="Times New Roman"/>
          <w:sz w:val="20"/>
          <w:szCs w:val="20"/>
          <w:color w:val="auto"/>
        </w:rPr>
        <w:t>have occurred with respect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and the Borrower may amend this Agreement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the purpose of</w:t>
      </w:r>
    </w:p>
    <w:p>
      <w:pPr>
        <w:spacing w:after="0" w:line="1" w:lineRule="exact"/>
        <w:rPr>
          <w:sz w:val="20"/>
          <w:szCs w:val="20"/>
          <w:color w:val="auto"/>
        </w:rPr>
      </w:pPr>
    </w:p>
    <w:p>
      <w:pPr>
        <w:sectPr>
          <w:pgSz w:w="11900" w:h="16838" w:orient="portrait"/>
          <w:cols w:equalWidth="0" w:num="2">
            <w:col w:w="5160" w:space="80"/>
            <w:col w:w="6000"/>
          </w:cols>
          <w:pgMar w:left="320" w:top="96" w:right="339" w:bottom="1440" w:gutter="0" w:footer="0" w:header="0"/>
          <w:type w:val="continuous"/>
        </w:sectPr>
      </w:pPr>
    </w:p>
    <w:p>
      <w:pPr>
        <w:spacing w:after="0" w:line="212" w:lineRule="auto"/>
        <w:rPr>
          <w:sz w:val="20"/>
          <w:szCs w:val="20"/>
          <w:color w:val="auto"/>
        </w:rPr>
      </w:pPr>
      <w:r>
        <w:rPr>
          <w:rFonts w:ascii="Times New Roman" w:cs="Times New Roman" w:eastAsia="Times New Roman" w:hAnsi="Times New Roman"/>
          <w:sz w:val="20"/>
          <w:szCs w:val="20"/>
          <w:color w:val="auto"/>
        </w:rPr>
        <w:t>replacing the Relevant Rate for an Agreed Currency or any then current Successor Rate for an Agreed Currency in accordance with this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Section 3.03 </w:t>
      </w:r>
      <w:r>
        <w:rPr>
          <w:rFonts w:ascii="Times New Roman" w:cs="Times New Roman" w:eastAsia="Times New Roman" w:hAnsi="Times New Roman"/>
          <w:sz w:val="20"/>
          <w:szCs w:val="20"/>
          <w:color w:val="auto"/>
        </w:rPr>
        <w:t>with an alternative benchmark rate, giving due consideration to any evolving, or then existing, convention for similar credit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facilities syndicated and agented in the U.S. and denominated in such Agreed Currency for such alternative benchmarks, and, in each case,</w:t>
      </w:r>
    </w:p>
    <w:p>
      <w:pPr>
        <w:spacing w:after="0" w:line="211" w:lineRule="auto"/>
        <w:rPr>
          <w:sz w:val="20"/>
          <w:szCs w:val="20"/>
          <w:color w:val="auto"/>
        </w:rPr>
      </w:pPr>
      <w:r>
        <w:rPr>
          <w:rFonts w:ascii="Times New Roman" w:cs="Times New Roman" w:eastAsia="Times New Roman" w:hAnsi="Times New Roman"/>
          <w:sz w:val="20"/>
          <w:szCs w:val="20"/>
          <w:color w:val="auto"/>
        </w:rPr>
        <w:t>including any mathematical or other adjustments to such benchmark, giving due consideration to any evolving, or then existing, convention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 similar credit facilities syndicated and agented in the U.S. and denominated in such Agreed Currency for such benchmarks, which adjustment, or method for calculating such adjustment, shall be published on an information service as selected by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from time to time in its reasonable discretion and may be periodically updated (and any such proposed rate, including for the avoidance of</w:t>
      </w:r>
    </w:p>
    <w:p>
      <w:pPr>
        <w:spacing w:after="0" w:line="1" w:lineRule="exact"/>
        <w:rPr>
          <w:sz w:val="20"/>
          <w:szCs w:val="20"/>
          <w:color w:val="auto"/>
        </w:rPr>
      </w:pPr>
    </w:p>
    <w:p>
      <w:pPr>
        <w:spacing w:after="0" w:line="190" w:lineRule="auto"/>
        <w:rPr>
          <w:sz w:val="20"/>
          <w:szCs w:val="20"/>
          <w:color w:val="auto"/>
        </w:rPr>
      </w:pPr>
      <w:r>
        <w:rPr>
          <w:rFonts w:ascii="Times New Roman" w:cs="Times New Roman" w:eastAsia="Times New Roman" w:hAnsi="Times New Roman"/>
          <w:sz w:val="19"/>
          <w:szCs w:val="19"/>
          <w:color w:val="auto"/>
        </w:rPr>
        <w:t>doubt, any adjustment thereto, a “</w:t>
      </w:r>
      <w:r>
        <w:rPr>
          <w:rFonts w:ascii="Times New Roman" w:cs="Times New Roman" w:eastAsia="Times New Roman" w:hAnsi="Times New Roman"/>
          <w:sz w:val="19"/>
          <w:szCs w:val="19"/>
          <w:b w:val="1"/>
          <w:bCs w:val="1"/>
          <w:i w:val="1"/>
          <w:iCs w:val="1"/>
          <w:color w:val="auto"/>
        </w:rPr>
        <w:t>Non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BSBY Successor Rate</w:t>
      </w:r>
      <w:r>
        <w:rPr>
          <w:rFonts w:ascii="Times New Roman" w:cs="Times New Roman" w:eastAsia="Times New Roman" w:hAnsi="Times New Roman"/>
          <w:sz w:val="19"/>
          <w:szCs w:val="19"/>
          <w:color w:val="auto"/>
        </w:rPr>
        <w:t>”, and collectively with the BSBY Successor Rate, each, a “</w:t>
      </w:r>
      <w:r>
        <w:rPr>
          <w:rFonts w:ascii="Times New Roman" w:cs="Times New Roman" w:eastAsia="Times New Roman" w:hAnsi="Times New Roman"/>
          <w:sz w:val="19"/>
          <w:szCs w:val="19"/>
          <w:b w:val="1"/>
          <w:bCs w:val="1"/>
          <w:i w:val="1"/>
          <w:iCs w:val="1"/>
          <w:color w:val="auto"/>
        </w:rPr>
        <w:t>Successor Rate</w:t>
      </w:r>
      <w:r>
        <w:rPr>
          <w:rFonts w:ascii="Times New Roman" w:cs="Times New Roman" w:eastAsia="Times New Roman" w:hAnsi="Times New Roman"/>
          <w:sz w:val="19"/>
          <w:szCs w:val="19"/>
          <w:color w:val="auto"/>
        </w:rPr>
        <w:t>”), and any such amendment shall become effective at 5:00 p.m.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Business Day after the Administrative Agent shall have posted</w:t>
      </w:r>
    </w:p>
    <w:p>
      <w:pPr>
        <w:spacing w:after="0" w:line="228" w:lineRule="auto"/>
        <w:rPr>
          <w:sz w:val="20"/>
          <w:szCs w:val="20"/>
          <w:color w:val="auto"/>
        </w:rPr>
      </w:pPr>
      <w:r>
        <w:rPr>
          <w:rFonts w:ascii="Times New Roman" w:cs="Times New Roman" w:eastAsia="Times New Roman" w:hAnsi="Times New Roman"/>
          <w:sz w:val="20"/>
          <w:szCs w:val="20"/>
          <w:color w:val="auto"/>
        </w:rPr>
        <w:t>such proposed amendment to all Lenders and the Borrower unless, prior to such time, Lenders comprising the Required Lenders have delivered to the Administrative Agent written notice that such Required Lenders object to such amendment</w:t>
      </w:r>
    </w:p>
    <w:p>
      <w:pPr>
        <w:spacing w:after="0" w:line="145"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Successor Rate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type w:val="continuous"/>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4"/>
        <w:spacing w:after="0"/>
        <w:tabs>
          <w:tab w:leader="none" w:pos="195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43"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95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to the extent such market practice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administratively feasible for the Administrative Agent, then such Successor Rate shall be applied in a manner as otherwise reasonably determined by the Administrative Agent.</w:t>
      </w:r>
    </w:p>
    <w:p>
      <w:pPr>
        <w:spacing w:after="0" w:line="143"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956"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else herein, if, at any time, any Successor Rate as so determined would otherwise be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than </w:t>
      </w:r>
      <w:r>
        <w:rPr>
          <w:rFonts w:ascii="Times New Roman" w:cs="Times New Roman" w:eastAsia="Times New Roman" w:hAnsi="Times New Roman"/>
          <w:sz w:val="20"/>
          <w:szCs w:val="20"/>
          <w:color w:val="auto"/>
        </w:rPr>
        <w:t>zero percent (0.0%) per annum, then the Successor Rate will be deemed to equal zero percent (0.0%) per annum for all purposes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this Agreement and the other Loan Documents.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with respect to any such amendment effected, the Administrative Agent shall post each such amendment implementing such Conforming Changes to the Borrower and the Lenders reasonably promptly after such amendment becomes effective.</w:t>
      </w:r>
    </w:p>
    <w:p>
      <w:pPr>
        <w:spacing w:after="0" w:line="146" w:lineRule="exact"/>
        <w:rPr>
          <w:rFonts w:ascii="Times New Roman" w:cs="Times New Roman" w:eastAsia="Times New Roman" w:hAnsi="Times New Roman"/>
          <w:sz w:val="20"/>
          <w:szCs w:val="20"/>
          <w:color w:val="auto"/>
        </w:rPr>
      </w:pPr>
    </w:p>
    <w:p>
      <w:pPr>
        <w:ind w:firstLine="656"/>
        <w:spacing w:after="0" w:line="245" w:lineRule="auto"/>
        <w:tabs>
          <w:tab w:leader="none" w:pos="128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purposes of this </w:t>
      </w:r>
      <w:r>
        <w:rPr>
          <w:rFonts w:ascii="Times New Roman" w:cs="Times New Roman" w:eastAsia="Times New Roman" w:hAnsi="Times New Roman"/>
          <w:sz w:val="20"/>
          <w:szCs w:val="20"/>
          <w:b w:val="1"/>
          <w:bCs w:val="1"/>
          <w:i w:val="1"/>
          <w:iCs w:val="1"/>
          <w:color w:val="auto"/>
        </w:rPr>
        <w:t>Section 3.03</w:t>
      </w:r>
      <w:r>
        <w:rPr>
          <w:rFonts w:ascii="Times New Roman" w:cs="Times New Roman" w:eastAsia="Times New Roman" w:hAnsi="Times New Roman"/>
          <w:sz w:val="20"/>
          <w:szCs w:val="20"/>
          <w:color w:val="auto"/>
        </w:rPr>
        <w:t xml:space="preserve">, those Lenders that either have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made, or do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have an obligation under this Agreement to make, the relevant Loans in the relevant Alternative Currency shall be </w:t>
      </w:r>
      <w:r>
        <w:rPr>
          <w:rFonts w:ascii="Times New Roman" w:cs="Times New Roman" w:eastAsia="Times New Roman" w:hAnsi="Times New Roman"/>
          <w:sz w:val="20"/>
          <w:szCs w:val="20"/>
          <w:i w:val="1"/>
          <w:iCs w:val="1"/>
          <w:color w:val="auto"/>
        </w:rPr>
        <w:t>excluded</w:t>
      </w:r>
      <w:r>
        <w:rPr>
          <w:rFonts w:ascii="Times New Roman" w:cs="Times New Roman" w:eastAsia="Times New Roman" w:hAnsi="Times New Roman"/>
          <w:sz w:val="20"/>
          <w:szCs w:val="20"/>
          <w:color w:val="auto"/>
        </w:rPr>
        <w:t xml:space="preserve"> from any determination of Required Lenders.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b w:val="1"/>
          <w:bCs w:val="1"/>
          <w:color w:val="auto"/>
        </w:rPr>
        <w:t>Increased Costs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Increased Costs Generally</w:t>
      </w:r>
      <w:r>
        <w:rPr>
          <w:rFonts w:ascii="Times New Roman" w:cs="Times New Roman" w:eastAsia="Times New Roman" w:hAnsi="Times New Roman"/>
          <w:sz w:val="20"/>
          <w:szCs w:val="20"/>
          <w:color w:val="auto"/>
        </w:rPr>
        <w:t>. If any Change in Law shall:</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56"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955"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b w:val="1"/>
          <w:bCs w:val="1"/>
          <w:i w:val="1"/>
          <w:i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of the definition of Excluded Taxes and (C) Connection Income Taxes) on its loans, loan principal, letters of credit, commitments, or other obligations, or its deposits, reserves, other liabilities or capital attributable thereto; or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on any applicable interbank market, any other condition, cost or expense affecting this Agreement or BSBY Rate Loans or Alternative Currency Loans made by such Lender or any Letter of Credit or participation therein;</w:t>
      </w:r>
    </w:p>
    <w:p>
      <w:pPr>
        <w:spacing w:after="0" w:line="156" w:lineRule="exact"/>
        <w:rPr>
          <w:sz w:val="20"/>
          <w:szCs w:val="20"/>
          <w:color w:val="auto"/>
        </w:rPr>
      </w:pPr>
    </w:p>
    <w:p>
      <w:pPr>
        <w:jc w:val="both"/>
        <w:ind w:firstLine="2"/>
        <w:spacing w:after="0" w:line="213"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0" w:firstLine="642"/>
        <w:spacing w:after="0" w:line="213" w:lineRule="auto"/>
        <w:tabs>
          <w:tab w:leader="none" w:pos="1303"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 L/C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Issuer or any Lending Office of such Lender or such Lender’s or the L/C Issuer’s holding company, if any, regarding capital or liquidity requirements has, or would have, the effect of reducing the rate of return on such Lender’s or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59"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Mandatory Costs</w:t>
      </w:r>
      <w:r>
        <w:rPr>
          <w:rFonts w:ascii="Times New Roman" w:cs="Times New Roman" w:eastAsia="Times New Roman" w:hAnsi="Times New Roman"/>
          <w:sz w:val="20"/>
          <w:szCs w:val="20"/>
          <w:color w:val="auto"/>
        </w:rPr>
        <w:t>. If any Lender or the L/C Issuer incurs any Mandatory Costs attributable to the Obligations, then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the Borrower will pay to such Lender or the L/C Issuer, as the case may be, such Mandatory Costs. Such amount shall be expressed as a percentage rate per annum and shall be payable on the full amount of the applicable Obligations.</w:t>
      </w:r>
    </w:p>
    <w:p>
      <w:pPr>
        <w:spacing w:after="0" w:line="157"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Certificates for Reimbursement</w:t>
      </w:r>
      <w:r>
        <w:rPr>
          <w:rFonts w:ascii="Times New Roman" w:cs="Times New Roman" w:eastAsia="Times New Roman" w:hAnsi="Times New Roman"/>
          <w:sz w:val="20"/>
          <w:szCs w:val="20"/>
          <w:color w:val="auto"/>
        </w:rPr>
        <w:t>. A certificate of a Lender or the L/C Issuer setting forth the amount or amounts necessary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compensate such Lender or the L/C Issuer or its holding company, as the case may be, as specified in </w:t>
      </w:r>
      <w:r>
        <w:rPr>
          <w:rFonts w:ascii="Times New Roman" w:cs="Times New Roman" w:eastAsia="Times New Roman" w:hAnsi="Times New Roman"/>
          <w:sz w:val="20"/>
          <w:szCs w:val="20"/>
          <w:b w:val="1"/>
          <w:bCs w:val="1"/>
          <w:i w:val="1"/>
          <w:iCs w:val="1"/>
          <w:color w:val="auto"/>
        </w:rPr>
        <w:t>clause (a)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 xml:space="preserve">Section 3.04 </w:t>
      </w:r>
      <w:r>
        <w:rPr>
          <w:rFonts w:ascii="Times New Roman" w:cs="Times New Roman" w:eastAsia="Times New Roman" w:hAnsi="Times New Roman"/>
          <w:sz w:val="20"/>
          <w:szCs w:val="20"/>
          <w:color w:val="auto"/>
        </w:rPr>
        <w:t>and delivered to the Borrower shall be conclusive absent manifest error. The Borrower shall pay such Lender or the L/C Issuer,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the case may be, the amount shown as due on any such certificate within 10 days after receipt thereof.</w:t>
      </w:r>
    </w:p>
    <w:p>
      <w:pPr>
        <w:spacing w:after="0" w:line="144"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Delay in Requests</w:t>
      </w:r>
      <w:r>
        <w:rPr>
          <w:rFonts w:ascii="Times New Roman" w:cs="Times New Roman" w:eastAsia="Times New Roman" w:hAnsi="Times New Roman"/>
          <w:sz w:val="20"/>
          <w:szCs w:val="20"/>
          <w:color w:val="auto"/>
        </w:rPr>
        <w:t>. Failure or delay on the part of any Lender or the L/C Issuer to demand compensation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foregoing provisions of this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xml:space="preserve"> shall not constitute a waiver of such Lender’s or the L/C Issuer’s right to demand such compensation, provided that the Borrower shall not be required to compensate a Lender or the L/C Issuer pursuant to the foregoing provisions of this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xml:space="preserve">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 month period referred to above shall be extended to include the period of retroactive effect thereof).</w:t>
      </w:r>
    </w:p>
    <w:p>
      <w:pPr>
        <w:spacing w:after="0" w:line="14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3.05 </w:t>
      </w:r>
      <w:r>
        <w:rPr>
          <w:rFonts w:ascii="Times New Roman" w:cs="Times New Roman" w:eastAsia="Times New Roman" w:hAnsi="Times New Roman"/>
          <w:sz w:val="20"/>
          <w:szCs w:val="20"/>
          <w:b w:val="1"/>
          <w:bCs w:val="1"/>
          <w:color w:val="auto"/>
        </w:rPr>
        <w:t>Compensation for Losses</w:t>
      </w:r>
      <w:r>
        <w:rPr>
          <w:rFonts w:ascii="Times New Roman" w:cs="Times New Roman" w:eastAsia="Times New Roman" w:hAnsi="Times New Roman"/>
          <w:sz w:val="20"/>
          <w:szCs w:val="20"/>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47" w:lineRule="exact"/>
        <w:rPr>
          <w:sz w:val="20"/>
          <w:szCs w:val="20"/>
          <w:color w:val="auto"/>
        </w:rPr>
      </w:pPr>
    </w:p>
    <w:p>
      <w:pPr>
        <w:jc w:val="both"/>
        <w:ind w:left="660" w:firstLine="644"/>
        <w:spacing w:after="0" w:line="230" w:lineRule="auto"/>
        <w:tabs>
          <w:tab w:leader="none" w:pos="194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relevant interest payment date or payment period (as applicable) for such Loan (whether voluntary, mandatory, automatic, by reason of acceleration, or otherwise);</w:t>
      </w:r>
    </w:p>
    <w:p>
      <w:pPr>
        <w:spacing w:after="0" w:line="148"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other than a Base Rate Loan on the date or in the amount notified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4"/>
        <w:spacing w:after="0"/>
        <w:tabs>
          <w:tab w:leader="none" w:pos="194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BSBY Rate Loan or an Alternative Currency Term Rate Loan on a day other than the last day of the Interest Period therefor as a result of a request by the Borrower pursuant to </w:t>
      </w:r>
      <w:r>
        <w:rPr>
          <w:rFonts w:ascii="Times New Roman" w:cs="Times New Roman" w:eastAsia="Times New Roman" w:hAnsi="Times New Roman"/>
          <w:sz w:val="20"/>
          <w:szCs w:val="20"/>
          <w:b w:val="1"/>
          <w:bCs w:val="1"/>
          <w:i w:val="1"/>
          <w:iCs w:val="1"/>
          <w:color w:val="auto"/>
        </w:rPr>
        <w:t>Section 11.13</w:t>
      </w:r>
      <w:r>
        <w:rPr>
          <w:rFonts w:ascii="Times New Roman" w:cs="Times New Roman" w:eastAsia="Times New Roman" w:hAnsi="Times New Roman"/>
          <w:sz w:val="20"/>
          <w:szCs w:val="20"/>
          <w:color w:val="auto"/>
        </w:rPr>
        <w:t>; or</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to make payment of any Loan or drawing under any Letter of Credit (or interest due thereon) denominated in an Alternative Currency on its scheduled due date or any payment thereof in a different currency;</w:t>
      </w:r>
    </w:p>
    <w:p>
      <w:pPr>
        <w:spacing w:after="0" w:line="156" w:lineRule="exact"/>
        <w:rPr>
          <w:sz w:val="20"/>
          <w:szCs w:val="20"/>
          <w:color w:val="auto"/>
        </w:rPr>
      </w:pPr>
    </w:p>
    <w:p>
      <w:pPr>
        <w:jc w:val="both"/>
        <w:ind w:firstLine="2"/>
        <w:spacing w:after="0" w:line="220" w:lineRule="auto"/>
        <w:rPr>
          <w:sz w:val="20"/>
          <w:szCs w:val="20"/>
          <w:color w:val="auto"/>
        </w:rPr>
      </w:pPr>
      <w:r>
        <w:rPr>
          <w:rFonts w:ascii="Times New Roman" w:cs="Times New Roman" w:eastAsia="Times New Roman" w:hAnsi="Times New Roman"/>
          <w:sz w:val="22"/>
          <w:szCs w:val="22"/>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administrative fees charged by such Lender in connection with the foregoing.</w:t>
      </w:r>
    </w:p>
    <w:p>
      <w:pPr>
        <w:spacing w:after="0" w:line="4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Borrower to the Lenders under this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each Lender shall be deemed to have funded each Alternative Currency Term Rate Loan made by it at the Alternative Currency Term Rate for such Loan by a matching</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deposit or other borrowing in the offshore interbank market for such currency for a comparable amount and for a comparable period, whether or not such Alternative Currency Term Rate Loan was in fact so funded.</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3.06</w:t>
      </w:r>
      <w:r>
        <w:rPr>
          <w:sz w:val="20"/>
          <w:szCs w:val="20"/>
          <w:color w:val="auto"/>
        </w:rPr>
        <w:tab/>
      </w:r>
      <w:r>
        <w:rPr>
          <w:rFonts w:ascii="Times New Roman" w:cs="Times New Roman" w:eastAsia="Times New Roman" w:hAnsi="Times New Roman"/>
          <w:sz w:val="19"/>
          <w:szCs w:val="19"/>
          <w:b w:val="1"/>
          <w:bCs w:val="1"/>
          <w:color w:val="auto"/>
        </w:rPr>
        <w:t>Mitigation Obligations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Replacement of Lenders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Designation of a Different Lending Office</w:t>
      </w:r>
      <w:r>
        <w:rPr>
          <w:rFonts w:ascii="Times New Roman" w:cs="Times New Roman" w:eastAsia="Times New Roman" w:hAnsi="Times New Roman"/>
          <w:sz w:val="20"/>
          <w:szCs w:val="20"/>
          <w:color w:val="auto"/>
        </w:rPr>
        <w:t>. If any Lender requests compensation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or requires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b w:val="1"/>
          <w:bCs w:val="1"/>
          <w:i w:val="1"/>
          <w:iCs w:val="1"/>
          <w:color w:val="auto"/>
        </w:rPr>
        <w:t>Section 3.02</w:t>
      </w:r>
      <w:r>
        <w:rPr>
          <w:rFonts w:ascii="Times New Roman" w:cs="Times New Roman" w:eastAsia="Times New Roman" w:hAnsi="Times New Roman"/>
          <w:sz w:val="20"/>
          <w:szCs w:val="20"/>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b w:val="1"/>
          <w:bCs w:val="1"/>
          <w:i w:val="1"/>
          <w:iCs w:val="1"/>
          <w:color w:val="auto"/>
        </w:rPr>
        <w:t xml:space="preserve">Section 3.01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3.04</w:t>
      </w:r>
      <w:r>
        <w:rPr>
          <w:rFonts w:ascii="Times New Roman" w:cs="Times New Roman" w:eastAsia="Times New Roman" w:hAnsi="Times New Roman"/>
          <w:sz w:val="20"/>
          <w:szCs w:val="20"/>
          <w:color w:val="auto"/>
        </w:rPr>
        <w:t>, as the case may be, in the future, or eliminate the need for the notice pursuant to</w:t>
      </w:r>
      <w:r>
        <w:rPr>
          <w:rFonts w:ascii="Times New Roman" w:cs="Times New Roman" w:eastAsia="Times New Roman" w:hAnsi="Times New Roman"/>
          <w:sz w:val="20"/>
          <w:szCs w:val="20"/>
          <w:b w:val="1"/>
          <w:bCs w:val="1"/>
          <w:i w:val="1"/>
          <w:iCs w:val="1"/>
          <w:color w:val="auto"/>
        </w:rPr>
        <w:t xml:space="preserve"> Section 3.02</w:t>
      </w:r>
      <w:r>
        <w:rPr>
          <w:rFonts w:ascii="Times New Roman" w:cs="Times New Roman" w:eastAsia="Times New Roman" w:hAnsi="Times New Roman"/>
          <w:sz w:val="20"/>
          <w:szCs w:val="20"/>
          <w:color w:val="auto"/>
        </w:rPr>
        <w:t>, as applicable, and (ii)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each case, would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subject such Lender or the L/C Issuer, as the case may be, to any unreimbursed cost or expense and would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45"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Replacement of Lenders</w:t>
      </w:r>
      <w:r>
        <w:rPr>
          <w:rFonts w:ascii="Times New Roman" w:cs="Times New Roman" w:eastAsia="Times New Roman" w:hAnsi="Times New Roman"/>
          <w:sz w:val="20"/>
          <w:szCs w:val="20"/>
          <w:color w:val="auto"/>
        </w:rPr>
        <w:t>. If any Lender requests compensation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3.04</w:t>
      </w:r>
      <w:r>
        <w:rPr>
          <w:rFonts w:ascii="Times New Roman" w:cs="Times New Roman" w:eastAsia="Times New Roman" w:hAnsi="Times New Roman"/>
          <w:sz w:val="20"/>
          <w:szCs w:val="20"/>
          <w:color w:val="auto"/>
        </w:rPr>
        <w:t>, or if the Borrower is required to pay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Indemnified Taxes or additional amounts to any Lender or any Governmental Authority for the account of any Lender pursuant to </w:t>
      </w:r>
      <w:r>
        <w:rPr>
          <w:rFonts w:ascii="Times New Roman" w:cs="Times New Roman" w:eastAsia="Times New Roman" w:hAnsi="Times New Roman"/>
          <w:sz w:val="20"/>
          <w:szCs w:val="20"/>
          <w:b w:val="1"/>
          <w:bCs w:val="1"/>
          <w:i w:val="1"/>
          <w:iCs w:val="1"/>
          <w:color w:val="auto"/>
        </w:rPr>
        <w:t xml:space="preserve">Section 3.01 </w:t>
      </w:r>
      <w:r>
        <w:rPr>
          <w:rFonts w:ascii="Times New Roman" w:cs="Times New Roman" w:eastAsia="Times New Roman" w:hAnsi="Times New Roman"/>
          <w:sz w:val="20"/>
          <w:szCs w:val="20"/>
          <w:color w:val="auto"/>
        </w:rPr>
        <w:t>and, in each case, such Lender has declined or is unable to designate a different lending office in accordance with</w:t>
      </w:r>
      <w:r>
        <w:rPr>
          <w:rFonts w:ascii="Times New Roman" w:cs="Times New Roman" w:eastAsia="Times New Roman" w:hAnsi="Times New Roman"/>
          <w:sz w:val="20"/>
          <w:szCs w:val="20"/>
          <w:b w:val="1"/>
          <w:bCs w:val="1"/>
          <w:i w:val="1"/>
          <w:iCs w:val="1"/>
          <w:color w:val="auto"/>
        </w:rPr>
        <w:t xml:space="preserve"> Section 3.06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the Borrower may replace such Lender in accordance with</w:t>
      </w:r>
      <w:r>
        <w:rPr>
          <w:rFonts w:ascii="Times New Roman" w:cs="Times New Roman" w:eastAsia="Times New Roman" w:hAnsi="Times New Roman"/>
          <w:sz w:val="20"/>
          <w:szCs w:val="20"/>
          <w:b w:val="1"/>
          <w:bCs w:val="1"/>
          <w:i w:val="1"/>
          <w:iCs w:val="1"/>
          <w:color w:val="auto"/>
        </w:rPr>
        <w:t xml:space="preserve"> Section 11.13</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3.07 </w:t>
      </w: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xml:space="preserve">. All of the Borrower’s obligations under this </w:t>
      </w:r>
      <w:r>
        <w:rPr>
          <w:rFonts w:ascii="Times New Roman" w:cs="Times New Roman" w:eastAsia="Times New Roman" w:hAnsi="Times New Roman"/>
          <w:sz w:val="20"/>
          <w:szCs w:val="20"/>
          <w:b w:val="1"/>
          <w:bCs w:val="1"/>
          <w:i w:val="1"/>
          <w:iCs w:val="1"/>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resignation of the Administrative Agent and the Facility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IV.</w:t>
      </w:r>
      <w:r>
        <w:rPr>
          <w:sz w:val="20"/>
          <w:szCs w:val="20"/>
          <w:color w:val="auto"/>
        </w:rPr>
        <w:tab/>
      </w:r>
      <w:r>
        <w:rPr>
          <w:rFonts w:ascii="Times New Roman" w:cs="Times New Roman" w:eastAsia="Times New Roman" w:hAnsi="Times New Roman"/>
          <w:sz w:val="20"/>
          <w:szCs w:val="20"/>
          <w:b w:val="1"/>
          <w:bCs w:val="1"/>
          <w:color w:val="auto"/>
        </w:rPr>
        <w:t>CONDITIONS PRECEDENT TO CREDIT EXTENSIONS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 xml:space="preserve">4.01 </w:t>
      </w:r>
      <w:r>
        <w:rPr>
          <w:rFonts w:ascii="Times New Roman" w:cs="Times New Roman" w:eastAsia="Times New Roman" w:hAnsi="Times New Roman"/>
          <w:sz w:val="20"/>
          <w:szCs w:val="20"/>
          <w:b w:val="1"/>
          <w:bCs w:val="1"/>
          <w:color w:val="auto"/>
        </w:rPr>
        <w:t>Conditions of Initial Credit Extension</w:t>
      </w:r>
      <w:r>
        <w:rPr>
          <w:rFonts w:ascii="Times New Roman" w:cs="Times New Roman" w:eastAsia="Times New Roman" w:hAnsi="Times New Roman"/>
          <w:sz w:val="20"/>
          <w:szCs w:val="20"/>
          <w:color w:val="auto"/>
        </w:rPr>
        <w:t>. The obligation of the L/C Issuer and each Lender to make its initial Credit Extension hereunder is subject to satisfaction of the following conditions precedent:</w:t>
      </w:r>
    </w:p>
    <w:p>
      <w:pPr>
        <w:spacing w:after="0" w:line="157" w:lineRule="exact"/>
        <w:rPr>
          <w:sz w:val="20"/>
          <w:szCs w:val="20"/>
          <w:color w:val="auto"/>
        </w:rPr>
      </w:pPr>
    </w:p>
    <w:p>
      <w:pPr>
        <w:jc w:val="both"/>
        <w:ind w:left="660" w:firstLine="644"/>
        <w:spacing w:after="0" w:line="217" w:lineRule="auto"/>
        <w:tabs>
          <w:tab w:leader="none" w:pos="194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Execution of Credit Agreement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Loan Documents</w:t>
      </w:r>
      <w:r>
        <w:rPr>
          <w:rFonts w:ascii="Times New Roman" w:cs="Times New Roman" w:eastAsia="Times New Roman" w:hAnsi="Times New Roman"/>
          <w:sz w:val="20"/>
          <w:szCs w:val="20"/>
          <w:color w:val="auto"/>
        </w:rPr>
        <w:t>. The Administrative Agent shall have received (i)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executed by a Responsible Officer of each Loan Party and a duly authorized officer of each Lender, (ii) for the account of each Lender requesting a Note, a Note executed by a Responsible Officer of the Borrower, (iii) counterparts of the Security Agreement, and each other Collateral Document, executed by a Responsible Officer of the applicable Loan Parties and a duly authorized officer of each other Person party thereto, as applicable and (iv) counterparts of any other Loan Document, executed by a Responsible Officer of the applicable Loan Party and a duly authorized officer of each other Person party thereto.</w:t>
      </w:r>
    </w:p>
    <w:p>
      <w:pPr>
        <w:spacing w:after="0" w:line="156"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Officer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Certificate</w:t>
      </w:r>
      <w:r>
        <w:rPr>
          <w:rFonts w:ascii="Times New Roman" w:cs="Times New Roman" w:eastAsia="Times New Roman" w:hAnsi="Times New Roman"/>
          <w:sz w:val="20"/>
          <w:szCs w:val="20"/>
          <w:color w:val="auto"/>
        </w:rPr>
        <w:t>. The Administrative Agent shall have received an Officer’s Certificate dated the Closing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and of the incumbency (including specimen signatures) of the Responsible Officers of each Loan Party.</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94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Legal Opinions of Counsel</w:t>
      </w:r>
      <w:r>
        <w:rPr>
          <w:rFonts w:ascii="Times New Roman" w:cs="Times New Roman" w:eastAsia="Times New Roman" w:hAnsi="Times New Roman"/>
          <w:sz w:val="20"/>
          <w:szCs w:val="20"/>
          <w:color w:val="auto"/>
        </w:rPr>
        <w:t>. The Administrative Agent shall have received an opinion or opinions (including,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requested by the Administrative Agent, local counsel opinions) of counsel for the Loan Parties, dated the Closing Date and addressed to the Administrative Agent and the Lenders, in form and substance acceptable to the Administrative Agent</w:t>
      </w:r>
    </w:p>
    <w:p>
      <w:pPr>
        <w:spacing w:after="0" w:line="143" w:lineRule="exact"/>
        <w:rPr>
          <w:rFonts w:ascii="Times New Roman" w:cs="Times New Roman" w:eastAsia="Times New Roman" w:hAnsi="Times New Roman"/>
          <w:sz w:val="20"/>
          <w:szCs w:val="20"/>
          <w:color w:val="auto"/>
        </w:rPr>
      </w:pPr>
    </w:p>
    <w:p>
      <w:pPr>
        <w:ind w:left="660" w:firstLine="644"/>
        <w:spacing w:after="0" w:line="245" w:lineRule="auto"/>
        <w:tabs>
          <w:tab w:leader="none" w:pos="194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The Administrative Agent and the Lenders shall have received copies of the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statements referred to in </w:t>
      </w:r>
      <w:r>
        <w:rPr>
          <w:rFonts w:ascii="Times New Roman" w:cs="Times New Roman" w:eastAsia="Times New Roman" w:hAnsi="Times New Roman"/>
          <w:sz w:val="20"/>
          <w:szCs w:val="20"/>
          <w:b w:val="1"/>
          <w:bCs w:val="1"/>
          <w:i w:val="1"/>
          <w:iCs w:val="1"/>
          <w:color w:val="auto"/>
        </w:rPr>
        <w:t>Section 5.05</w:t>
      </w:r>
      <w:r>
        <w:rPr>
          <w:rFonts w:ascii="Times New Roman" w:cs="Times New Roman" w:eastAsia="Times New Roman" w:hAnsi="Times New Roman"/>
          <w:sz w:val="20"/>
          <w:szCs w:val="20"/>
          <w:color w:val="auto"/>
        </w:rPr>
        <w:t>, each in form and substance satisfactory to each of them.</w:t>
      </w:r>
    </w:p>
    <w:p>
      <w:pPr>
        <w:spacing w:after="0" w:line="137" w:lineRule="exact"/>
        <w:rPr>
          <w:rFonts w:ascii="Times New Roman" w:cs="Times New Roman" w:eastAsia="Times New Roman" w:hAnsi="Times New Roman"/>
          <w:sz w:val="20"/>
          <w:szCs w:val="20"/>
          <w:color w:val="auto"/>
        </w:rPr>
      </w:pPr>
    </w:p>
    <w:p>
      <w:pPr>
        <w:ind w:left="660" w:firstLine="644"/>
        <w:spacing w:after="0" w:line="245" w:lineRule="auto"/>
        <w:tabs>
          <w:tab w:leader="none" w:pos="194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Personal Property Collateral</w:t>
      </w:r>
      <w:r>
        <w:rPr>
          <w:rFonts w:ascii="Times New Roman" w:cs="Times New Roman" w:eastAsia="Times New Roman" w:hAnsi="Times New Roman"/>
          <w:sz w:val="20"/>
          <w:szCs w:val="20"/>
          <w:color w:val="auto"/>
        </w:rPr>
        <w:t>. The Administrative Agent shall have received, in form and substance satisfactory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Administrative Agent:</w:t>
      </w:r>
    </w:p>
    <w:p>
      <w:pPr>
        <w:spacing w:after="0" w:line="155"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judgment and bankruptcy searches;</w:t>
      </w:r>
    </w:p>
    <w:p>
      <w:pPr>
        <w:spacing w:after="0" w:line="148" w:lineRule="exact"/>
        <w:rPr>
          <w:rFonts w:ascii="Times New Roman" w:cs="Times New Roman" w:eastAsia="Times New Roman" w:hAnsi="Times New Roman"/>
          <w:sz w:val="20"/>
          <w:szCs w:val="20"/>
          <w:color w:val="auto"/>
        </w:rPr>
      </w:pPr>
    </w:p>
    <w:p>
      <w:pPr>
        <w:ind w:left="1300" w:right="20" w:firstLine="652"/>
        <w:spacing w:after="0"/>
        <w:tabs>
          <w:tab w:leader="none" w:pos="259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UCC financing statements for each appropriate jurisdiction as is necessary, in the Administrative Agent’s sole discretion, to perfect the Administrative Agent’s security interest in the Collateral;</w:t>
      </w:r>
    </w:p>
    <w:p>
      <w:pPr>
        <w:spacing w:after="0" w:line="161" w:lineRule="exact"/>
        <w:rPr>
          <w:rFonts w:ascii="Times New Roman" w:cs="Times New Roman" w:eastAsia="Times New Roman" w:hAnsi="Times New Roman"/>
          <w:sz w:val="20"/>
          <w:szCs w:val="20"/>
          <w:color w:val="auto"/>
        </w:rPr>
      </w:pPr>
    </w:p>
    <w:p>
      <w:pPr>
        <w:ind w:left="1300" w:firstLine="652"/>
        <w:spacing w:after="0" w:line="233" w:lineRule="auto"/>
        <w:tabs>
          <w:tab w:leader="none" w:pos="2596"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or membership certificates, if any, evidencing the Pledged Equity and undated stock or transfer powers duly executed in blank; in each case to the extent such Pledged Equity is certificated;</w:t>
      </w:r>
    </w:p>
    <w:p>
      <w:pPr>
        <w:spacing w:after="0" w:line="160" w:lineRule="exact"/>
        <w:rPr>
          <w:rFonts w:ascii="Times New Roman" w:cs="Times New Roman" w:eastAsia="Times New Roman" w:hAnsi="Times New Roman"/>
          <w:sz w:val="20"/>
          <w:szCs w:val="20"/>
          <w:color w:val="auto"/>
        </w:rPr>
      </w:pPr>
    </w:p>
    <w:p>
      <w:pPr>
        <w:ind w:left="1300" w:firstLine="652"/>
        <w:spacing w:after="0"/>
        <w:tabs>
          <w:tab w:leader="none" w:pos="258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Qualifying Control Agreements satisfactory to the Administrative Agent to the extent required to be delivered pursuant to </w:t>
      </w:r>
      <w:r>
        <w:rPr>
          <w:rFonts w:ascii="Times New Roman" w:cs="Times New Roman" w:eastAsia="Times New Roman" w:hAnsi="Times New Roman"/>
          <w:sz w:val="20"/>
          <w:szCs w:val="20"/>
          <w:b w:val="1"/>
          <w:bCs w:val="1"/>
          <w:i w:val="1"/>
          <w:iCs w:val="1"/>
          <w:color w:val="auto"/>
        </w:rPr>
        <w:t>Section 6.14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40" w:firstLine="644"/>
        <w:spacing w:after="0" w:line="220" w:lineRule="auto"/>
        <w:tabs>
          <w:tab w:leader="none" w:pos="193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Casualty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Property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Terrorism and Business Interruption Insurance</w:t>
      </w:r>
      <w:r>
        <w:rPr>
          <w:rFonts w:ascii="Times New Roman" w:cs="Times New Roman" w:eastAsia="Times New Roman" w:hAnsi="Times New Roman"/>
          <w:sz w:val="20"/>
          <w:szCs w:val="20"/>
          <w:color w:val="auto"/>
        </w:rPr>
        <w:t>. The Administrative Agent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received copies of insurance policies, declaration pages, certificates, and endorsements of insurance or insurance binders evidencing liability, casualty, property, terrorism and business interruption insurance meeting the requirements set forth herein or in the Collateral Documents or as required by the Administrative Agent. The Loan Parties shall have delivered to the Administrative Agent an Authorization to Share Insurance Information.</w:t>
      </w:r>
    </w:p>
    <w:p>
      <w:pPr>
        <w:spacing w:after="0" w:line="147" w:lineRule="exact"/>
        <w:rPr>
          <w:rFonts w:ascii="Times New Roman" w:cs="Times New Roman" w:eastAsia="Times New Roman" w:hAnsi="Times New Roman"/>
          <w:sz w:val="20"/>
          <w:szCs w:val="20"/>
          <w:color w:val="auto"/>
        </w:rPr>
      </w:pPr>
    </w:p>
    <w:p>
      <w:pPr>
        <w:jc w:val="both"/>
        <w:ind w:left="640" w:firstLine="644"/>
        <w:spacing w:after="0" w:line="232" w:lineRule="auto"/>
        <w:tabs>
          <w:tab w:leader="none" w:pos="192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Solvency Certificate</w:t>
      </w:r>
      <w:r>
        <w:rPr>
          <w:rFonts w:ascii="Times New Roman" w:cs="Times New Roman" w:eastAsia="Times New Roman" w:hAnsi="Times New Roman"/>
          <w:sz w:val="20"/>
          <w:szCs w:val="20"/>
          <w:color w:val="auto"/>
        </w:rPr>
        <w:t>. The Administrative Agent shall have received a Solvency Certificate signed by a Responsible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of the Borrower as to the financial condition, solvency and related matters of the Borrower and its Subsidiaries, after giving effect to the initial Borrowings under the Loan Documents and the other transactions contemplated hereby.</w:t>
      </w:r>
    </w:p>
    <w:p>
      <w:pPr>
        <w:spacing w:after="0" w:line="143" w:lineRule="exact"/>
        <w:rPr>
          <w:rFonts w:ascii="Times New Roman" w:cs="Times New Roman" w:eastAsia="Times New Roman" w:hAnsi="Times New Roman"/>
          <w:sz w:val="20"/>
          <w:szCs w:val="20"/>
          <w:color w:val="auto"/>
        </w:rPr>
      </w:pPr>
    </w:p>
    <w:p>
      <w:pPr>
        <w:jc w:val="both"/>
        <w:ind w:left="640" w:firstLine="644"/>
        <w:spacing w:after="0" w:line="232" w:lineRule="auto"/>
        <w:tabs>
          <w:tab w:leader="none" w:pos="192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Condition Certificate</w:t>
      </w:r>
      <w:r>
        <w:rPr>
          <w:rFonts w:ascii="Times New Roman" w:cs="Times New Roman" w:eastAsia="Times New Roman" w:hAnsi="Times New Roman"/>
          <w:sz w:val="20"/>
          <w:szCs w:val="20"/>
          <w:color w:val="auto"/>
        </w:rPr>
        <w:t>. The Administrative Agent shall have received a certificate or certificates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a Responsible Officer of the Borrower as of the Closing Date, as to certain financial matters, substantially in the form of </w:t>
      </w:r>
      <w:r>
        <w:rPr>
          <w:rFonts w:ascii="Times New Roman" w:cs="Times New Roman" w:eastAsia="Times New Roman" w:hAnsi="Times New Roman"/>
          <w:sz w:val="20"/>
          <w:szCs w:val="20"/>
          <w:b w:val="1"/>
          <w:bCs w:val="1"/>
          <w:i w:val="1"/>
          <w:iCs w:val="1"/>
          <w:color w:val="auto"/>
        </w:rPr>
        <w:t>Exhibit P</w:t>
      </w:r>
      <w:r>
        <w:rPr>
          <w:rFonts w:ascii="Times New Roman" w:cs="Times New Roman" w:eastAsia="Times New Roman" w:hAnsi="Times New Roman"/>
          <w:sz w:val="20"/>
          <w:szCs w:val="20"/>
          <w:color w:val="auto"/>
        </w:rPr>
        <w:t>.</w:t>
      </w:r>
    </w:p>
    <w:p>
      <w:pPr>
        <w:spacing w:after="0" w:line="143"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Reserved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640" w:right="20" w:firstLine="644"/>
        <w:spacing w:after="0" w:line="245" w:lineRule="auto"/>
        <w:tabs>
          <w:tab w:leader="none" w:pos="193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Notice</w:t>
      </w:r>
      <w:r>
        <w:rPr>
          <w:rFonts w:ascii="Times New Roman" w:cs="Times New Roman" w:eastAsia="Times New Roman" w:hAnsi="Times New Roman"/>
          <w:sz w:val="20"/>
          <w:szCs w:val="20"/>
          <w:color w:val="auto"/>
        </w:rPr>
        <w:t>. The Administrative Agent shall have received a Loan Notice with respect to the Loans to be made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Closing Date.</w:t>
      </w:r>
    </w:p>
    <w:p>
      <w:pPr>
        <w:spacing w:after="0" w:line="137" w:lineRule="exact"/>
        <w:rPr>
          <w:rFonts w:ascii="Times New Roman" w:cs="Times New Roman" w:eastAsia="Times New Roman" w:hAnsi="Times New Roman"/>
          <w:sz w:val="20"/>
          <w:szCs w:val="20"/>
          <w:color w:val="auto"/>
        </w:rPr>
      </w:pPr>
    </w:p>
    <w:p>
      <w:pPr>
        <w:jc w:val="both"/>
        <w:ind w:left="640" w:firstLine="644"/>
        <w:spacing w:after="0" w:line="232" w:lineRule="auto"/>
        <w:tabs>
          <w:tab w:leader="none" w:pos="192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Existing Indebtedness of the Loan Parties</w:t>
      </w:r>
      <w:r>
        <w:rPr>
          <w:rFonts w:ascii="Times New Roman" w:cs="Times New Roman" w:eastAsia="Times New Roman" w:hAnsi="Times New Roman"/>
          <w:sz w:val="20"/>
          <w:szCs w:val="20"/>
          <w:color w:val="auto"/>
        </w:rPr>
        <w:t>. All of the existing Indebtedness for borrowed money of the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its Subsidiaries (other than Indebtedness permitted to exist pursuant to </w:t>
      </w:r>
      <w:r>
        <w:rPr>
          <w:rFonts w:ascii="Times New Roman" w:cs="Times New Roman" w:eastAsia="Times New Roman" w:hAnsi="Times New Roman"/>
          <w:sz w:val="20"/>
          <w:szCs w:val="20"/>
          <w:b w:val="1"/>
          <w:bCs w:val="1"/>
          <w:i w:val="1"/>
          <w:iCs w:val="1"/>
          <w:color w:val="auto"/>
        </w:rPr>
        <w:t>Section 7.02</w:t>
      </w:r>
      <w:r>
        <w:rPr>
          <w:rFonts w:ascii="Times New Roman" w:cs="Times New Roman" w:eastAsia="Times New Roman" w:hAnsi="Times New Roman"/>
          <w:sz w:val="20"/>
          <w:szCs w:val="20"/>
          <w:color w:val="auto"/>
        </w:rPr>
        <w:t>) shall be repaid in full and all security interests related thereto shall be terminated on or prior to the Closing Date.</w:t>
      </w:r>
    </w:p>
    <w:p>
      <w:pPr>
        <w:spacing w:after="0" w:line="143" w:lineRule="exact"/>
        <w:rPr>
          <w:rFonts w:ascii="Times New Roman" w:cs="Times New Roman" w:eastAsia="Times New Roman" w:hAnsi="Times New Roman"/>
          <w:sz w:val="20"/>
          <w:szCs w:val="20"/>
          <w:color w:val="auto"/>
        </w:rPr>
      </w:pPr>
    </w:p>
    <w:p>
      <w:pPr>
        <w:jc w:val="both"/>
        <w:ind w:left="640" w:firstLine="644"/>
        <w:spacing w:after="0" w:line="220" w:lineRule="auto"/>
        <w:tabs>
          <w:tab w:leader="none" w:pos="193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Money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Laundering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Beneficial Ownership</w:t>
      </w:r>
      <w:r>
        <w:rPr>
          <w:rFonts w:ascii="Times New Roman" w:cs="Times New Roman" w:eastAsia="Times New Roman" w:hAnsi="Times New Roman"/>
          <w:sz w:val="20"/>
          <w:szCs w:val="20"/>
          <w:color w:val="auto"/>
        </w:rPr>
        <w:t>. Upon the reasonable request of any Lender, the Borrower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147" w:lineRule="exact"/>
        <w:rPr>
          <w:rFonts w:ascii="Times New Roman" w:cs="Times New Roman" w:eastAsia="Times New Roman" w:hAnsi="Times New Roman"/>
          <w:sz w:val="20"/>
          <w:szCs w:val="20"/>
          <w:color w:val="auto"/>
        </w:rPr>
      </w:pPr>
    </w:p>
    <w:p>
      <w:pPr>
        <w:jc w:val="both"/>
        <w:ind w:left="640" w:firstLine="644"/>
        <w:spacing w:after="0" w:line="232" w:lineRule="auto"/>
        <w:tabs>
          <w:tab w:leader="none" w:pos="192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Consents</w:t>
      </w:r>
      <w:r>
        <w:rPr>
          <w:rFonts w:ascii="Times New Roman" w:cs="Times New Roman" w:eastAsia="Times New Roman" w:hAnsi="Times New Roman"/>
          <w:sz w:val="20"/>
          <w:szCs w:val="20"/>
          <w:color w:val="auto"/>
        </w:rPr>
        <w:t>. The Administrative Agent shall have received evidence that all members, boards of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governmental, shareholder and material third party consents and approvals necessary in connection with the entering into of this Agreement have been obtained.</w:t>
      </w:r>
    </w:p>
    <w:p>
      <w:pPr>
        <w:spacing w:after="0" w:line="143" w:lineRule="exact"/>
        <w:rPr>
          <w:rFonts w:ascii="Times New Roman" w:cs="Times New Roman" w:eastAsia="Times New Roman" w:hAnsi="Times New Roman"/>
          <w:sz w:val="20"/>
          <w:szCs w:val="20"/>
          <w:color w:val="auto"/>
        </w:rPr>
      </w:pPr>
    </w:p>
    <w:p>
      <w:pPr>
        <w:ind w:left="640" w:firstLine="644"/>
        <w:spacing w:after="0" w:line="245" w:lineRule="auto"/>
        <w:tabs>
          <w:tab w:leader="none" w:pos="192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Fees and Expenses</w:t>
      </w:r>
      <w:r>
        <w:rPr>
          <w:rFonts w:ascii="Times New Roman" w:cs="Times New Roman" w:eastAsia="Times New Roman" w:hAnsi="Times New Roman"/>
          <w:sz w:val="20"/>
          <w:szCs w:val="20"/>
          <w:color w:val="auto"/>
        </w:rPr>
        <w:t>. The Administrative Agent and the Lenders shall have received all fees and expenses, if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owing pursuant to the Fee Letter and </w:t>
      </w:r>
      <w:r>
        <w:rPr>
          <w:rFonts w:ascii="Times New Roman" w:cs="Times New Roman" w:eastAsia="Times New Roman" w:hAnsi="Times New Roman"/>
          <w:sz w:val="20"/>
          <w:szCs w:val="20"/>
          <w:b w:val="1"/>
          <w:bCs w:val="1"/>
          <w:i w:val="1"/>
          <w:iCs w:val="1"/>
          <w:color w:val="auto"/>
        </w:rPr>
        <w:t>Section 2.09</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640" w:firstLine="644"/>
        <w:spacing w:after="0" w:line="235" w:lineRule="auto"/>
        <w:tabs>
          <w:tab w:leader="none" w:pos="192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Due Diligence</w:t>
      </w:r>
      <w:r>
        <w:rPr>
          <w:rFonts w:ascii="Times New Roman" w:cs="Times New Roman" w:eastAsia="Times New Roman" w:hAnsi="Times New Roman"/>
          <w:sz w:val="20"/>
          <w:szCs w:val="20"/>
          <w:color w:val="auto"/>
        </w:rPr>
        <w:t>. The Lenders shall have completed a due diligence investigation of the Borrower and its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scope, and with results, satisfactory to the Lenders.</w:t>
      </w:r>
    </w:p>
    <w:p>
      <w:pPr>
        <w:spacing w:after="0" w:line="157" w:lineRule="exact"/>
        <w:rPr>
          <w:rFonts w:ascii="Times New Roman" w:cs="Times New Roman" w:eastAsia="Times New Roman" w:hAnsi="Times New Roman"/>
          <w:sz w:val="20"/>
          <w:szCs w:val="20"/>
          <w:color w:val="auto"/>
        </w:rPr>
      </w:pPr>
    </w:p>
    <w:p>
      <w:pPr>
        <w:ind w:left="640" w:firstLine="644"/>
        <w:spacing w:after="0" w:line="245" w:lineRule="auto"/>
        <w:tabs>
          <w:tab w:leader="none" w:pos="192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Documents</w:t>
      </w:r>
      <w:r>
        <w:rPr>
          <w:rFonts w:ascii="Times New Roman" w:cs="Times New Roman" w:eastAsia="Times New Roman" w:hAnsi="Times New Roman"/>
          <w:sz w:val="20"/>
          <w:szCs w:val="20"/>
          <w:color w:val="auto"/>
        </w:rPr>
        <w:t>. All other documents provided for herein or which the Administrative Agent or any other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reasonably request or require provided they can be produced without material expense or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0" w:firstLine="644"/>
        <w:spacing w:after="0" w:line="245" w:lineRule="auto"/>
        <w:tabs>
          <w:tab w:leader="none" w:pos="194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Such additional information and materials which the Administrative Agent and/or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shall reasonably request or require provided they can be produced without material expense or delay.</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b w:val="1"/>
          <w:bCs w:val="1"/>
          <w:i w:val="1"/>
          <w:iCs w:val="1"/>
          <w:color w:val="auto"/>
        </w:rPr>
        <w:t>Section 9.03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b w:val="1"/>
          <w:bCs w:val="1"/>
          <w:i w:val="1"/>
          <w:iCs w:val="1"/>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 satisfied with, each document or other matter required thereunder to be consented to or approved by or acceptable or satisfactory to a Lender unless the Administrative Agent shall have received notice from such Lender prior to the proposed Closing Date specifying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objection thereto.</w:t>
      </w:r>
    </w:p>
    <w:p>
      <w:pPr>
        <w:spacing w:after="0" w:line="190"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 xml:space="preserve">4.02 </w:t>
      </w:r>
      <w:r>
        <w:rPr>
          <w:rFonts w:ascii="Times New Roman" w:cs="Times New Roman" w:eastAsia="Times New Roman" w:hAnsi="Times New Roman"/>
          <w:sz w:val="20"/>
          <w:szCs w:val="20"/>
          <w:b w:val="1"/>
          <w:bCs w:val="1"/>
          <w:color w:val="auto"/>
        </w:rPr>
        <w:t>Conditions to all Credit Extensions</w:t>
      </w:r>
      <w:r>
        <w:rPr>
          <w:rFonts w:ascii="Times New Roman" w:cs="Times New Roman" w:eastAsia="Times New Roman" w:hAnsi="Times New Roman"/>
          <w:sz w:val="20"/>
          <w:szCs w:val="20"/>
          <w:color w:val="auto"/>
        </w:rPr>
        <w:t>. The obligation of each Lender and the L/C Issuer to honor any Request for Credit Extension is subject to the following conditions precedent:</w:t>
      </w:r>
    </w:p>
    <w:p>
      <w:pPr>
        <w:spacing w:after="0" w:line="157" w:lineRule="exact"/>
        <w:rPr>
          <w:sz w:val="20"/>
          <w:szCs w:val="20"/>
          <w:color w:val="auto"/>
        </w:rPr>
      </w:pPr>
    </w:p>
    <w:p>
      <w:pPr>
        <w:jc w:val="both"/>
        <w:ind w:left="660" w:firstLine="644"/>
        <w:spacing w:after="0" w:line="220" w:lineRule="auto"/>
        <w:tabs>
          <w:tab w:leader="none" w:pos="194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The representations and warranties of the Borrower and each other Loan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contained in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be true and correct on and as of the date of such Credit Extension, and except that for purposes of this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b w:val="1"/>
          <w:bCs w:val="1"/>
          <w:i w:val="1"/>
          <w:iCs w:val="1"/>
          <w:color w:val="auto"/>
        </w:rPr>
        <w:t>Sections 5.05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and (b) shall be deemed to refer to the most recent statements furnished pursuant to </w:t>
      </w:r>
      <w:r>
        <w:rPr>
          <w:rFonts w:ascii="Times New Roman" w:cs="Times New Roman" w:eastAsia="Times New Roman" w:hAnsi="Times New Roman"/>
          <w:sz w:val="20"/>
          <w:szCs w:val="20"/>
          <w:b w:val="1"/>
          <w:bCs w:val="1"/>
          <w:i w:val="1"/>
          <w:iCs w:val="1"/>
          <w:color w:val="auto"/>
        </w:rPr>
        <w:t>Sections 6.01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and (b), respectively.</w:t>
      </w:r>
    </w:p>
    <w:p>
      <w:pPr>
        <w:spacing w:after="0" w:line="147" w:lineRule="exact"/>
        <w:rPr>
          <w:rFonts w:ascii="Times New Roman" w:cs="Times New Roman" w:eastAsia="Times New Roman" w:hAnsi="Times New Roman"/>
          <w:sz w:val="20"/>
          <w:szCs w:val="20"/>
          <w:color w:val="auto"/>
        </w:rPr>
      </w:pPr>
    </w:p>
    <w:p>
      <w:pPr>
        <w:ind w:left="660" w:firstLine="644"/>
        <w:spacing w:after="0" w:line="245" w:lineRule="auto"/>
        <w:tabs>
          <w:tab w:leader="none" w:pos="19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No Default shall exist, or would result from such proposed Credit Extension or from the application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proceeds thereof.</w:t>
      </w:r>
    </w:p>
    <w:p>
      <w:pPr>
        <w:spacing w:after="0" w:line="151" w:lineRule="exact"/>
        <w:rPr>
          <w:rFonts w:ascii="Times New Roman" w:cs="Times New Roman" w:eastAsia="Times New Roman" w:hAnsi="Times New Roman"/>
          <w:sz w:val="20"/>
          <w:szCs w:val="20"/>
          <w:color w:val="auto"/>
        </w:rPr>
      </w:pPr>
    </w:p>
    <w:p>
      <w:pPr>
        <w:ind w:left="660" w:right="20" w:firstLine="644"/>
        <w:spacing w:after="0" w:line="235" w:lineRule="auto"/>
        <w:tabs>
          <w:tab w:leader="none" w:pos="194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Request for Credit Extension</w:t>
      </w:r>
      <w:r>
        <w:rPr>
          <w:rFonts w:ascii="Times New Roman" w:cs="Times New Roman" w:eastAsia="Times New Roman" w:hAnsi="Times New Roman"/>
          <w:sz w:val="20"/>
          <w:szCs w:val="20"/>
          <w:color w:val="auto"/>
        </w:rPr>
        <w:t>. The Administrative Agent and, if applicable, the L/C Issuer or the Swingline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received a Request for Credit Extension in accordance with the requirements hereof.</w:t>
      </w:r>
    </w:p>
    <w:p>
      <w:pPr>
        <w:spacing w:after="0" w:line="157" w:lineRule="exact"/>
        <w:rPr>
          <w:rFonts w:ascii="Times New Roman" w:cs="Times New Roman" w:eastAsia="Times New Roman" w:hAnsi="Times New Roman"/>
          <w:sz w:val="20"/>
          <w:szCs w:val="20"/>
          <w:color w:val="auto"/>
        </w:rPr>
      </w:pPr>
    </w:p>
    <w:p>
      <w:pPr>
        <w:jc w:val="both"/>
        <w:ind w:left="660" w:firstLine="644"/>
        <w:spacing w:after="0" w:line="228" w:lineRule="auto"/>
        <w:tabs>
          <w:tab w:leader="none" w:pos="1944"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Alternative Currency</w:t>
      </w:r>
      <w:r>
        <w:rPr>
          <w:rFonts w:ascii="Times New Roman" w:cs="Times New Roman" w:eastAsia="Times New Roman" w:hAnsi="Times New Roman"/>
          <w:sz w:val="19"/>
          <w:szCs w:val="19"/>
          <w:color w:val="auto"/>
        </w:rPr>
        <w:t>. In the case of a Credit Extension to be denominated in an Alternative Currency,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currency remains an Eligible Currency. In the case of a Credit Extension to be denominated in an Alternative Currency, there shall </w:t>
      </w:r>
      <w:r>
        <w:rPr>
          <w:rFonts w:ascii="Times New Roman" w:cs="Times New Roman" w:eastAsia="Times New Roman" w:hAnsi="Times New Roman"/>
          <w:sz w:val="19"/>
          <w:szCs w:val="19"/>
          <w:i w:val="1"/>
          <w:iCs w:val="1"/>
          <w:color w:val="auto"/>
        </w:rPr>
        <w:t xml:space="preserve">not </w:t>
      </w:r>
      <w:r>
        <w:rPr>
          <w:rFonts w:ascii="Times New Roman" w:cs="Times New Roman" w:eastAsia="Times New Roman" w:hAnsi="Times New Roman"/>
          <w:sz w:val="19"/>
          <w:szCs w:val="19"/>
          <w:color w:val="auto"/>
        </w:rPr>
        <w:t>have occurred any change in national or international financial, political or economic conditions or currency exchange rates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58" w:lineRule="exact"/>
        <w:rPr>
          <w:rFonts w:ascii="Times New Roman" w:cs="Times New Roman" w:eastAsia="Times New Roman" w:hAnsi="Times New Roman"/>
          <w:sz w:val="19"/>
          <w:szCs w:val="19"/>
          <w:color w:val="auto"/>
        </w:rPr>
      </w:pPr>
    </w:p>
    <w:p>
      <w:pPr>
        <w:jc w:val="both"/>
        <w:ind w:left="660" w:firstLine="644"/>
        <w:spacing w:after="0" w:line="223" w:lineRule="auto"/>
        <w:tabs>
          <w:tab w:leader="none" w:pos="194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Legal Impediment</w:t>
      </w:r>
      <w:r>
        <w:rPr>
          <w:rFonts w:ascii="Times New Roman" w:cs="Times New Roman" w:eastAsia="Times New Roman" w:hAnsi="Times New Roman"/>
          <w:sz w:val="20"/>
          <w:szCs w:val="20"/>
          <w:color w:val="auto"/>
        </w:rPr>
        <w:t>. There shall be no impediment, restriction, limitation or prohibition imposed under Law 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Governmental Authority, as to the proposed financing under this Agreement or the repayment thereof or as to rights created under any Loan Document or as to application of the proceeds of the realization of any such rights that would result in a Material Adverse Effect or preclude the Lenders generally from receiving the rights and benefits this Agreement creates.</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Each Request for Credit Extension submitted by the Borrower shall be deemed to be a representation and warranty that the conditions specified in </w:t>
      </w:r>
      <w:r>
        <w:rPr>
          <w:rFonts w:ascii="Times New Roman" w:cs="Times New Roman" w:eastAsia="Times New Roman" w:hAnsi="Times New Roman"/>
          <w:sz w:val="20"/>
          <w:szCs w:val="20"/>
          <w:b w:val="1"/>
          <w:bCs w:val="1"/>
          <w:i w:val="1"/>
          <w:iCs w:val="1"/>
          <w:color w:val="auto"/>
        </w:rPr>
        <w:t>Sections 4.02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8"/>
        <w:spacing w:after="0" w:line="245" w:lineRule="auto"/>
        <w:tabs>
          <w:tab w:leader="none" w:pos="61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Each Loan Party represents and warrants to the Administrative Agent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as of the date made or deemed made, that:</w:t>
      </w:r>
    </w:p>
    <w:p>
      <w:pPr>
        <w:spacing w:after="0" w:line="13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5.01 </w:t>
      </w:r>
      <w:r>
        <w:rPr>
          <w:rFonts w:ascii="Times New Roman" w:cs="Times New Roman" w:eastAsia="Times New Roman" w:hAnsi="Times New Roman"/>
          <w:sz w:val="19"/>
          <w:szCs w:val="19"/>
          <w:b w:val="1"/>
          <w:bCs w:val="1"/>
          <w:color w:val="auto"/>
        </w:rPr>
        <w:t>Existence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Qualification and Power</w:t>
      </w:r>
      <w:r>
        <w:rPr>
          <w:rFonts w:ascii="Times New Roman" w:cs="Times New Roman" w:eastAsia="Times New Roman" w:hAnsi="Times New Roman"/>
          <w:sz w:val="19"/>
          <w:szCs w:val="19"/>
          <w:color w:val="auto"/>
        </w:rPr>
        <w:t>. Each Loan Party and each of its Subsidiaries (a) is duly organized or formed, validly existing and, as applicable, in good standing under the Laws of the jurisdiction of its incorporation or organization, (b) has all requisite power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authority and all requisite governmental licenses, authorizations, consents and approvals to (i) own or lease its assets and carry on its business and (ii) execute, deliver and perform its obligations under the Loan Documents to which it is a party, and (c) is duly qualified and is</w:t>
      </w:r>
    </w:p>
    <w:p>
      <w:pPr>
        <w:spacing w:after="0" w:line="211" w:lineRule="auto"/>
        <w:rPr>
          <w:sz w:val="20"/>
          <w:szCs w:val="20"/>
          <w:color w:val="auto"/>
        </w:rPr>
      </w:pPr>
      <w:r>
        <w:rPr>
          <w:rFonts w:ascii="Times New Roman" w:cs="Times New Roman" w:eastAsia="Times New Roman" w:hAnsi="Times New Roman"/>
          <w:sz w:val="20"/>
          <w:szCs w:val="20"/>
          <w:color w:val="auto"/>
        </w:rPr>
        <w:t>licensed and, as applicable, in good standing under the Laws of each jurisdiction where its ownership, lease or operation of properties or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conduct of its business requires such qualification or license; except in each case referred to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 The copy of the Organization Documents of each Loan Party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provided to the Administrative Agent pursuant to the terms of this Agreement is a true and correct copy of each such document, each of which is valid and in full force and effect.</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5.02 </w:t>
      </w:r>
      <w:r>
        <w:rPr>
          <w:rFonts w:ascii="Times New Roman" w:cs="Times New Roman" w:eastAsia="Times New Roman" w:hAnsi="Times New Roman"/>
          <w:sz w:val="20"/>
          <w:szCs w:val="20"/>
          <w:b w:val="1"/>
          <w:bCs w:val="1"/>
          <w:color w:val="auto"/>
        </w:rPr>
        <w:t>Authorization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 Contravention</w:t>
      </w:r>
      <w:r>
        <w:rPr>
          <w:rFonts w:ascii="Times New Roman" w:cs="Times New Roman" w:eastAsia="Times New Roman" w:hAnsi="Times New Roman"/>
          <w:sz w:val="20"/>
          <w:szCs w:val="20"/>
          <w:color w:val="auto"/>
        </w:rPr>
        <w:t>. The execution, delivery and performance by each Loan Party of each Loan Document to which such Person is or is to be a party have been duly authorized by all necessary corporate or other organizational action, and do not and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will not (a) contravene the terms of any of such Person’s Organization Documents; (b) conflict with or result in any breach or contravention of, or the creation of any Lien under, or require any payment to be made under (i) any Contractual Obligation to which such Person is a party</w:t>
      </w:r>
    </w:p>
    <w:p>
      <w:pPr>
        <w:spacing w:after="0" w:line="228" w:lineRule="auto"/>
        <w:rPr>
          <w:sz w:val="20"/>
          <w:szCs w:val="20"/>
          <w:color w:val="auto"/>
        </w:rPr>
      </w:pPr>
      <w:r>
        <w:rPr>
          <w:rFonts w:ascii="Times New Roman" w:cs="Times New Roman" w:eastAsia="Times New Roman" w:hAnsi="Times New Roman"/>
          <w:sz w:val="20"/>
          <w:szCs w:val="20"/>
          <w:color w:val="auto"/>
        </w:rPr>
        <w:t>or affecting such Person or the properties of such Person or any of its Subsidiaries or (ii) any order, injunction, writ or decree of any Governmental Authority or any arbitral award to which such Person or its property is subject; or (c) violate any Law.</w:t>
      </w:r>
    </w:p>
    <w:p>
      <w:pPr>
        <w:spacing w:after="0" w:line="13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5.03</w:t>
      </w:r>
      <w:r>
        <w:rPr>
          <w:sz w:val="20"/>
          <w:szCs w:val="20"/>
          <w:color w:val="auto"/>
        </w:rPr>
        <w:tab/>
      </w:r>
      <w:r>
        <w:rPr>
          <w:rFonts w:ascii="Times New Roman" w:cs="Times New Roman" w:eastAsia="Times New Roman" w:hAnsi="Times New Roman"/>
          <w:sz w:val="19"/>
          <w:szCs w:val="19"/>
          <w:b w:val="1"/>
          <w:bCs w:val="1"/>
          <w:color w:val="auto"/>
        </w:rPr>
        <w:t>Governmental Authorization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Other Consents</w:t>
      </w:r>
      <w:r>
        <w:rPr>
          <w:rFonts w:ascii="Times New Roman" w:cs="Times New Roman" w:eastAsia="Times New Roman" w:hAnsi="Times New Roman"/>
          <w:sz w:val="19"/>
          <w:szCs w:val="19"/>
          <w:color w:val="auto"/>
        </w:rPr>
        <w:t>. No approval, consent, exemption, authorization, or other action by, or notice</w:t>
      </w:r>
    </w:p>
    <w:p>
      <w:pPr>
        <w:spacing w:after="0" w:line="4"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or filing with, any Governmental Authority or any other Person is necessary or required in connection with (a) the execution, delivery or performance by, or enforcement against, any Loan Party of this Agreement or any other Loan Document, (b) the grant by any Loan Party of</w:t>
      </w:r>
    </w:p>
    <w:p>
      <w:pPr>
        <w:spacing w:after="0" w:line="211" w:lineRule="auto"/>
        <w:rPr>
          <w:sz w:val="20"/>
          <w:szCs w:val="20"/>
          <w:color w:val="auto"/>
        </w:rPr>
      </w:pPr>
      <w:r>
        <w:rPr>
          <w:rFonts w:ascii="Times New Roman" w:cs="Times New Roman" w:eastAsia="Times New Roman" w:hAnsi="Times New Roman"/>
          <w:sz w:val="20"/>
          <w:szCs w:val="20"/>
          <w:color w:val="auto"/>
        </w:rPr>
        <w:t>the Liens granted by it pursuant to the Collateral Documents, (c) the perfection or maintenance of the Liens created under the Collateral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Documents (including the first priority nature thereof) or (d) the exercise by the Administrative Agent or any Lender of its rights under the Loan Documents or the remedies in respect of the Collateral pursuant to the Collateral Documents, other than (i) authorizations, approvals,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actions, notices and filings which have been duly obtained and (ii) filings to perfect the Liens created by the Collateral Documents.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5.04 </w:t>
      </w: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Agreement has been, and each other Loan Document, when delivered hereunder, will have been, duly executed and delivered by each Loan Party that is party thereto. This Agreement constitutes, and each other Loan Document when so</w:t>
      </w:r>
    </w:p>
    <w:p>
      <w:pPr>
        <w:spacing w:after="0" w:line="224" w:lineRule="auto"/>
        <w:rPr>
          <w:sz w:val="20"/>
          <w:szCs w:val="20"/>
          <w:color w:val="auto"/>
        </w:rPr>
      </w:pPr>
      <w:r>
        <w:rPr>
          <w:rFonts w:ascii="Times New Roman" w:cs="Times New Roman" w:eastAsia="Times New Roman" w:hAnsi="Times New Roman"/>
          <w:sz w:val="19"/>
          <w:szCs w:val="19"/>
          <w:color w:val="auto"/>
        </w:rPr>
        <w:t>delivered will constitute, a legal, valid and binding obligation of such Loan Party, enforceable against each Loan Party that is party thereto in</w:t>
      </w:r>
    </w:p>
    <w:p>
      <w:pPr>
        <w:spacing w:after="0" w:line="221" w:lineRule="auto"/>
        <w:rPr>
          <w:sz w:val="20"/>
          <w:szCs w:val="20"/>
          <w:color w:val="auto"/>
        </w:rPr>
      </w:pPr>
      <w:r>
        <w:rPr>
          <w:rFonts w:ascii="Times New Roman" w:cs="Times New Roman" w:eastAsia="Times New Roman" w:hAnsi="Times New Roman"/>
          <w:sz w:val="20"/>
          <w:szCs w:val="20"/>
          <w:color w:val="auto"/>
        </w:rPr>
        <w:t>accordance with its terms, subject to applicable bankruptcy, insolvency, reorganization, moratorium or other laws affecting creditors’ rights generally and subject to general principals of equity.</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5.05</w:t>
      </w:r>
      <w:r>
        <w:rPr>
          <w:sz w:val="20"/>
          <w:szCs w:val="20"/>
          <w:color w:val="auto"/>
        </w:rPr>
        <w:tab/>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No Material Adverse Effect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8" w:lineRule="auto"/>
        <w:tabs>
          <w:tab w:leader="none" w:pos="128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Audited Financial Statements</w:t>
      </w:r>
      <w:r>
        <w:rPr>
          <w:rFonts w:ascii="Times New Roman" w:cs="Times New Roman" w:eastAsia="Times New Roman" w:hAnsi="Times New Roman"/>
          <w:sz w:val="20"/>
          <w:szCs w:val="20"/>
          <w:color w:val="auto"/>
        </w:rPr>
        <w:t>. The Audited Financial Statements (i) were prepared in accordance with GAAP consistently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applied throughout the period covered thereby, except as otherwise expressly noted therein; (ii) fairly present the financial condition of the Borrower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liabilities, direct or contingent, of the Borrower and its Subsidiaries as of the date thereof, including liabilities for taxes, material commitments and Indebtedness.</w:t>
      </w:r>
    </w:p>
    <w:p>
      <w:pPr>
        <w:spacing w:after="0" w:line="144" w:lineRule="exact"/>
        <w:rPr>
          <w:sz w:val="20"/>
          <w:szCs w:val="20"/>
          <w:color w:val="auto"/>
        </w:rPr>
      </w:pPr>
    </w:p>
    <w:p>
      <w:pPr>
        <w:jc w:val="both"/>
        <w:ind w:firstLine="656"/>
        <w:spacing w:after="0" w:line="219" w:lineRule="auto"/>
        <w:tabs>
          <w:tab w:leader="none" w:pos="1117"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Quarterly Financial Statements</w:t>
      </w:r>
      <w:r>
        <w:rPr>
          <w:rFonts w:ascii="Times New Roman" w:cs="Times New Roman" w:eastAsia="Times New Roman" w:hAnsi="Times New Roman"/>
          <w:sz w:val="20"/>
          <w:szCs w:val="20"/>
          <w:color w:val="auto"/>
        </w:rPr>
        <w:t>. The unaudited Consolidated balance sheet of the Borrower and its Subsidiaries dated June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30, 2023,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cash flows and changes in Shareholders’ Equity for the period covered thereby, subject, in the case of clauses (i) and (ii), to the absence of footnotes and to normal year-end audit adjustments.</w:t>
      </w:r>
    </w:p>
    <w:p>
      <w:pPr>
        <w:spacing w:after="0" w:line="144" w:lineRule="exact"/>
        <w:rPr>
          <w:rFonts w:ascii="Times New Roman" w:cs="Times New Roman" w:eastAsia="Times New Roman" w:hAnsi="Times New Roman"/>
          <w:sz w:val="20"/>
          <w:szCs w:val="20"/>
          <w:color w:val="auto"/>
        </w:rPr>
      </w:pPr>
    </w:p>
    <w:p>
      <w:pPr>
        <w:jc w:val="both"/>
        <w:ind w:firstLine="656"/>
        <w:spacing w:after="0" w:line="223" w:lineRule="auto"/>
        <w:tabs>
          <w:tab w:leader="none" w:pos="1065"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Since the date of the Audited Financial Statements (and, in addition, after delivery of the most recent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annual audited financial statements in accordance with the terms hereof, since the date of such annual audited financial statements), there has been no event or circumstance, either individually or in the aggregate, that has had or could reasonably be expected to have a Material Adverse Effect.</w:t>
      </w:r>
    </w:p>
    <w:p>
      <w:pPr>
        <w:spacing w:after="0" w:line="15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5.06</w:t>
      </w:r>
      <w:r>
        <w:rPr>
          <w:sz w:val="20"/>
          <w:szCs w:val="20"/>
          <w:color w:val="auto"/>
        </w:rPr>
        <w:tab/>
      </w:r>
      <w:r>
        <w:rPr>
          <w:rFonts w:ascii="Times New Roman" w:cs="Times New Roman" w:eastAsia="Times New Roman" w:hAnsi="Times New Roman"/>
          <w:sz w:val="19"/>
          <w:szCs w:val="19"/>
          <w:b w:val="1"/>
          <w:bCs w:val="1"/>
          <w:color w:val="auto"/>
        </w:rPr>
        <w:t>Litigation</w:t>
      </w:r>
      <w:r>
        <w:rPr>
          <w:rFonts w:ascii="Times New Roman" w:cs="Times New Roman" w:eastAsia="Times New Roman" w:hAnsi="Times New Roman"/>
          <w:sz w:val="19"/>
          <w:szCs w:val="19"/>
          <w:color w:val="auto"/>
        </w:rPr>
        <w:t>. There are no actions, suits, proceedings, claims or disputes pending or, to the knowledge of the Loan Parties after</w:t>
      </w:r>
    </w:p>
    <w:p>
      <w:pPr>
        <w:spacing w:after="0" w:line="4"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due and diligent investigation, threatened or contemplated, at law, in equity, in arbitration or before any Governmental Authority, by or against any Loan Party or any Subsidiary or against any of their properties or revenues that (a) purport to affect or pertain to this Agreement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or any other Loan Document or any of the transactions contemplated hereby, or (b) either individually or in the aggregate could reasonably be expected to have a Material Adverse Effect.</w:t>
      </w:r>
    </w:p>
    <w:p>
      <w:pPr>
        <w:spacing w:after="0" w:line="13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5.07</w:t>
      </w:r>
      <w:r>
        <w:rPr>
          <w:sz w:val="20"/>
          <w:szCs w:val="20"/>
          <w:color w:val="auto"/>
        </w:rPr>
        <w:tab/>
      </w:r>
      <w:r>
        <w:rPr>
          <w:rFonts w:ascii="Times New Roman" w:cs="Times New Roman" w:eastAsia="Times New Roman" w:hAnsi="Times New Roman"/>
          <w:sz w:val="20"/>
          <w:szCs w:val="20"/>
          <w:b w:val="1"/>
          <w:bCs w:val="1"/>
          <w:color w:val="auto"/>
        </w:rPr>
        <w:t>No Default</w:t>
      </w:r>
      <w:r>
        <w:rPr>
          <w:rFonts w:ascii="Times New Roman" w:cs="Times New Roman" w:eastAsia="Times New Roman" w:hAnsi="Times New Roman"/>
          <w:sz w:val="20"/>
          <w:szCs w:val="20"/>
          <w:color w:val="auto"/>
        </w:rPr>
        <w:t>. Neither any Loan Party nor any Subsidiary thereof is in default under or with respect to, or a party to, any</w:t>
      </w:r>
    </w:p>
    <w:p>
      <w:pPr>
        <w:spacing w:after="0" w:line="204" w:lineRule="auto"/>
        <w:rPr>
          <w:sz w:val="20"/>
          <w:szCs w:val="20"/>
          <w:color w:val="auto"/>
        </w:rPr>
      </w:pPr>
      <w:r>
        <w:rPr>
          <w:rFonts w:ascii="Times New Roman" w:cs="Times New Roman" w:eastAsia="Times New Roman" w:hAnsi="Times New Roman"/>
          <w:sz w:val="20"/>
          <w:szCs w:val="20"/>
          <w:color w:val="auto"/>
        </w:rPr>
        <w:t>Contractual Obligation that could, either individually or in the aggregate, reasonably be expected to have a Material Adverse Effect. No Default has occurred and is continuing or would result from the consummation of the transactions contemplated by this Agreement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Loan Document.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5.08 </w:t>
      </w:r>
      <w:r>
        <w:rPr>
          <w:rFonts w:ascii="Times New Roman" w:cs="Times New Roman" w:eastAsia="Times New Roman" w:hAnsi="Times New Roman"/>
          <w:sz w:val="20"/>
          <w:szCs w:val="20"/>
          <w:b w:val="1"/>
          <w:bCs w:val="1"/>
          <w:color w:val="auto"/>
        </w:rPr>
        <w:t>Ownership of Property</w:t>
      </w:r>
      <w:r>
        <w:rPr>
          <w:rFonts w:ascii="Times New Roman" w:cs="Times New Roman" w:eastAsia="Times New Roman" w:hAnsi="Times New Roman"/>
          <w:sz w:val="20"/>
          <w:szCs w:val="20"/>
          <w:color w:val="auto"/>
        </w:rPr>
        <w:t>. Each Loan Party and each of its Subsidiaries has good record and marketable title in fee simple to, or valid leasehold interests in, all real property necessary or used in the ordinary conduct of its business, except for such defects in title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could not, individually or in the aggregate, reasonably be expected to have a Material Adverse Effect.</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5.09</w:t>
      </w:r>
      <w:r>
        <w:rPr>
          <w:sz w:val="20"/>
          <w:szCs w:val="20"/>
          <w:color w:val="auto"/>
        </w:rPr>
        <w:tab/>
      </w:r>
      <w:r>
        <w:rPr>
          <w:rFonts w:ascii="Times New Roman" w:cs="Times New Roman" w:eastAsia="Times New Roman" w:hAnsi="Times New Roman"/>
          <w:sz w:val="19"/>
          <w:szCs w:val="19"/>
          <w:b w:val="1"/>
          <w:bCs w:val="1"/>
          <w:color w:val="auto"/>
        </w:rPr>
        <w:t>Environmental Matters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56"/>
        <w:spacing w:after="0" w:line="222" w:lineRule="auto"/>
        <w:tabs>
          <w:tab w:leader="none" w:pos="128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Loan Parties have reasonably concluded that such Environmental Laws and claims could not, individually or in the aggregate, reasonably be expected to have a Material Adverse Effect.</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which could reasonably be expect to have a Material Adverse Effect; and to the actual knowledge of any of Borrower’s (i)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Chief Executive Officer, or (ii) Executive Vice President, Chief Financial and Administrative Officer, Secretary and Treasurer, all</w:t>
      </w:r>
    </w:p>
    <w:p>
      <w:pPr>
        <w:ind w:right="20"/>
        <w:spacing w:after="0" w:line="204" w:lineRule="auto"/>
        <w:rPr>
          <w:sz w:val="20"/>
          <w:szCs w:val="20"/>
          <w:color w:val="auto"/>
        </w:rPr>
      </w:pPr>
      <w:r>
        <w:rPr>
          <w:rFonts w:ascii="Times New Roman" w:cs="Times New Roman" w:eastAsia="Times New Roman" w:hAnsi="Times New Roman"/>
          <w:sz w:val="20"/>
          <w:szCs w:val="20"/>
          <w:color w:val="auto"/>
        </w:rPr>
        <w:t>Hazardous Materials generated, used, treated, handled or stored at, or transported to or from, any property currently or formerly owned or operated by any Loan Party or any of its Subsidiaries have been disposed of in a manner which could not reasonably expected to result in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Adverse Effect.</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5.10 </w:t>
      </w:r>
      <w:r>
        <w:rPr>
          <w:rFonts w:ascii="Times New Roman" w:cs="Times New Roman" w:eastAsia="Times New Roman" w:hAnsi="Times New Roman"/>
          <w:sz w:val="19"/>
          <w:szCs w:val="19"/>
          <w:b w:val="1"/>
          <w:bCs w:val="1"/>
          <w:color w:val="auto"/>
        </w:rPr>
        <w:t>Insurance</w:t>
      </w:r>
      <w:r>
        <w:rPr>
          <w:rFonts w:ascii="Times New Roman" w:cs="Times New Roman" w:eastAsia="Times New Roman" w:hAnsi="Times New Roman"/>
          <w:sz w:val="19"/>
          <w:szCs w:val="19"/>
          <w:color w:val="auto"/>
        </w:rPr>
        <w:t>. The properties of the Borrower and its Subsidiaries are insured with financially sound and reputable insurance companies not Affiliates of the Borrower, in such amounts (after giving effect to any self-insurance compatible with the following standards),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with such deductibles and covering such risks as are customarily carried by companies engaged in similar businesses and owning similar properties in localities where the applicable Loan Party or the applicable Subsidiary operates.</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Each Loan Party and its Subsidiaries have filed all federal, state and other material tax returns and reports required to be filed, and have paid all federal, state and other material taxes, assessments, fees and other governmental charges levied or imposed upon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them or their properties, income or assets otherwise due and payable, except those which are being contested in good faith by appropriate proceedings diligently conducted and for which adequate reserves have been provided in accordance with GAAP. There is no proposed tax</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assessment against any Loan Party or any Subsidiary that would, if made, have a Material Adverse Effect, nor is there any tax sharing agreement applicable to the Borrower or any Subsidiary.</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b w:val="1"/>
          <w:bCs w:val="1"/>
          <w:color w:val="auto"/>
        </w:rPr>
        <w:t>ERISA Compliance</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16" w:lineRule="auto"/>
        <w:tabs>
          <w:tab w:leader="none" w:pos="128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Plan is in compliance in all material respects with the applicable provisions of ERISA, the Code and other federal or state laws. Each Pension Plan that is intended to be a qualified plan under </w:t>
      </w:r>
      <w:r>
        <w:rPr>
          <w:rFonts w:ascii="Times New Roman" w:cs="Times New Roman" w:eastAsia="Times New Roman" w:hAnsi="Times New Roman"/>
          <w:sz w:val="20"/>
          <w:szCs w:val="20"/>
          <w:i w:val="1"/>
          <w:iCs w:val="1"/>
          <w:color w:val="auto"/>
        </w:rPr>
        <w:t>Section 401(a)</w:t>
      </w:r>
      <w:r>
        <w:rPr>
          <w:rFonts w:ascii="Times New Roman" w:cs="Times New Roman" w:eastAsia="Times New Roman" w:hAnsi="Times New Roman"/>
          <w:sz w:val="20"/>
          <w:szCs w:val="20"/>
          <w:color w:val="auto"/>
        </w:rPr>
        <w:t xml:space="preserve"> of the Code has received a favorable determination letter or is subject to a favorable opinion letter from the IRS to the effect that the form of such Plan is qualified under </w:t>
      </w:r>
      <w:r>
        <w:rPr>
          <w:rFonts w:ascii="Times New Roman" w:cs="Times New Roman" w:eastAsia="Times New Roman" w:hAnsi="Times New Roman"/>
          <w:sz w:val="20"/>
          <w:szCs w:val="20"/>
          <w:i w:val="1"/>
          <w:iCs w:val="1"/>
          <w:color w:val="auto"/>
        </w:rPr>
        <w:t>Section 401(a)</w:t>
      </w:r>
      <w:r>
        <w:rPr>
          <w:rFonts w:ascii="Times New Roman" w:cs="Times New Roman" w:eastAsia="Times New Roman" w:hAnsi="Times New Roman"/>
          <w:sz w:val="20"/>
          <w:szCs w:val="20"/>
          <w:color w:val="auto"/>
        </w:rPr>
        <w:t xml:space="preserve"> of the Code and the trust related thereto has been determined by the IRS to be exempt from federal income tax under </w:t>
      </w:r>
      <w:r>
        <w:rPr>
          <w:rFonts w:ascii="Times New Roman" w:cs="Times New Roman" w:eastAsia="Times New Roman" w:hAnsi="Times New Roman"/>
          <w:sz w:val="20"/>
          <w:szCs w:val="20"/>
          <w:i w:val="1"/>
          <w:iCs w:val="1"/>
          <w:color w:val="auto"/>
        </w:rPr>
        <w:t>Section 501(a)</w:t>
      </w:r>
      <w:r>
        <w:rPr>
          <w:rFonts w:ascii="Times New Roman" w:cs="Times New Roman" w:eastAsia="Times New Roman" w:hAnsi="Times New Roman"/>
          <w:sz w:val="20"/>
          <w:szCs w:val="20"/>
          <w:color w:val="auto"/>
        </w:rPr>
        <w:t xml:space="preserve"> of the Code, or an application for such a letter is currently being processed by the IRS. To the best knowledge of the Loan Parties, nothing has occurred that would prevent or cause the loss of such tax-qualified status.</w:t>
      </w:r>
    </w:p>
    <w:p>
      <w:pPr>
        <w:spacing w:after="0" w:line="162"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48"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and no Loan Party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 (iv) no Loan Party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ERISA; and (vi) no Pension Plan has been terminated by the plan administrator thereof nor by the PBGC, and no event or circumstance</w:t>
      </w:r>
    </w:p>
    <w:p>
      <w:pPr>
        <w:spacing w:after="0" w:line="221" w:lineRule="auto"/>
        <w:rPr>
          <w:sz w:val="20"/>
          <w:szCs w:val="20"/>
          <w:color w:val="auto"/>
        </w:rPr>
      </w:pPr>
      <w:r>
        <w:rPr>
          <w:rFonts w:ascii="Times New Roman" w:cs="Times New Roman" w:eastAsia="Times New Roman" w:hAnsi="Times New Roman"/>
          <w:sz w:val="20"/>
          <w:szCs w:val="20"/>
          <w:color w:val="auto"/>
        </w:rPr>
        <w:t>has occurred or exists that could reasonably be expected to cause the PBGC to institute proceedings under Title IV of ERISA to terminate any Pension Plan.</w:t>
      </w:r>
    </w:p>
    <w:p>
      <w:pPr>
        <w:spacing w:after="0" w:line="162" w:lineRule="exact"/>
        <w:rPr>
          <w:sz w:val="20"/>
          <w:szCs w:val="20"/>
          <w:color w:val="auto"/>
        </w:rPr>
      </w:pPr>
    </w:p>
    <w:p>
      <w:pPr>
        <w:jc w:val="both"/>
        <w:ind w:firstLine="656"/>
        <w:spacing w:after="0" w:line="215" w:lineRule="auto"/>
        <w:tabs>
          <w:tab w:leader="none" w:pos="1284"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Borrower nor any ERISA Affiliate maintains or contributes to, or has any unsatisfied obligation to contribute to, or liability under, any active or terminated Pension Plan other than (i) on the Closing Date, those listed on </w:t>
      </w:r>
      <w:r>
        <w:rPr>
          <w:rFonts w:ascii="Times New Roman" w:cs="Times New Roman" w:eastAsia="Times New Roman" w:hAnsi="Times New Roman"/>
          <w:sz w:val="20"/>
          <w:szCs w:val="20"/>
          <w:b w:val="1"/>
          <w:bCs w:val="1"/>
          <w:i w:val="1"/>
          <w:iCs w:val="1"/>
          <w:color w:val="auto"/>
        </w:rPr>
        <w:t>Schedule 5.12</w:t>
      </w:r>
      <w:r>
        <w:rPr>
          <w:rFonts w:ascii="Times New Roman" w:cs="Times New Roman" w:eastAsia="Times New Roman" w:hAnsi="Times New Roman"/>
          <w:sz w:val="20"/>
          <w:szCs w:val="20"/>
          <w:color w:val="auto"/>
        </w:rPr>
        <w:t xml:space="preserve"> hereto and</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 Pension Plans not otherwise prohibited by this Agreement.</w:t>
      </w:r>
    </w:p>
    <w:p>
      <w:pPr>
        <w:spacing w:after="0" w:line="162"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6"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represents and warrants as of the Closing Date that the Borrower is not and will not be using “</w:t>
      </w:r>
      <w:r>
        <w:rPr>
          <w:rFonts w:ascii="Times New Roman" w:cs="Times New Roman" w:eastAsia="Times New Roman" w:hAnsi="Times New Roman"/>
          <w:sz w:val="20"/>
          <w:szCs w:val="20"/>
          <w:i w:val="1"/>
          <w:iCs w:val="1"/>
          <w:color w:val="auto"/>
        </w:rPr>
        <w:t>plan assets</w:t>
      </w:r>
      <w:r>
        <w:rPr>
          <w:rFonts w:ascii="Times New Roman" w:cs="Times New Roman" w:eastAsia="Times New Roman" w:hAnsi="Times New Roman"/>
          <w:sz w:val="20"/>
          <w:szCs w:val="20"/>
          <w:color w:val="auto"/>
        </w:rPr>
        <w:t xml:space="preserve">” (within the meaning of </w:t>
      </w:r>
      <w:r>
        <w:rPr>
          <w:rFonts w:ascii="Times New Roman" w:cs="Times New Roman" w:eastAsia="Times New Roman" w:hAnsi="Times New Roman"/>
          <w:sz w:val="20"/>
          <w:szCs w:val="20"/>
          <w:i w:val="1"/>
          <w:iCs w:val="1"/>
          <w:color w:val="auto"/>
        </w:rPr>
        <w:t>Section 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42</w:t>
      </w:r>
      <w:r>
        <w:rPr>
          <w:rFonts w:ascii="Times New Roman" w:cs="Times New Roman" w:eastAsia="Times New Roman" w:hAnsi="Times New Roman"/>
          <w:sz w:val="20"/>
          <w:szCs w:val="20"/>
          <w:color w:val="auto"/>
        </w:rPr>
        <w:t>) of ERISA or otherwise) of one or more Benefit Plans with respect to the Borrower’s entrance into, participation in, administration of and performance of the Loans, the Letters of Credit, the Commitments or this Agreement.</w:t>
      </w:r>
    </w:p>
    <w:p>
      <w:pPr>
        <w:spacing w:after="0" w:line="15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b w:val="1"/>
          <w:bCs w:val="1"/>
          <w:color w:val="auto"/>
        </w:rPr>
        <w:t>Margin Regulations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Investment Company Act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6" w:lineRule="auto"/>
        <w:tabs>
          <w:tab w:leader="none" w:pos="128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Margin Regulations</w:t>
      </w:r>
      <w:r>
        <w:rPr>
          <w:rFonts w:ascii="Times New Roman" w:cs="Times New Roman" w:eastAsia="Times New Roman" w:hAnsi="Times New Roman"/>
          <w:sz w:val="20"/>
          <w:szCs w:val="20"/>
          <w:color w:val="auto"/>
        </w:rPr>
        <w:t>. Neither the Borrower nor any of its Subsidiaries is engaged or will engage, principally or as one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twenty-five percent (25%) of the value of the assets (either of the Borrower only or of the Borrower and its Subsidiaries on a Consolidated basis) subject to the provisions of </w:t>
      </w:r>
      <w:r>
        <w:rPr>
          <w:rFonts w:ascii="Times New Roman" w:cs="Times New Roman" w:eastAsia="Times New Roman" w:hAnsi="Times New Roman"/>
          <w:sz w:val="20"/>
          <w:szCs w:val="20"/>
          <w:b w:val="1"/>
          <w:bCs w:val="1"/>
          <w:i w:val="1"/>
          <w:iCs w:val="1"/>
          <w:color w:val="auto"/>
        </w:rPr>
        <w:t>Section 7.01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 7.05</w:t>
      </w:r>
      <w:r>
        <w:rPr>
          <w:rFonts w:ascii="Times New Roman" w:cs="Times New Roman" w:eastAsia="Times New Roman" w:hAnsi="Times New Roman"/>
          <w:sz w:val="20"/>
          <w:szCs w:val="20"/>
          <w:color w:val="auto"/>
        </w:rPr>
        <w:t xml:space="preserve"> or subject to any restriction contained in any agreement or instrument between the Borrower or any of its Subsidiaries and any Lender or any Affiliate of any Lender relating to Indebtedness and within the scope of </w:t>
      </w:r>
      <w:r>
        <w:rPr>
          <w:rFonts w:ascii="Times New Roman" w:cs="Times New Roman" w:eastAsia="Times New Roman" w:hAnsi="Times New Roman"/>
          <w:sz w:val="20"/>
          <w:szCs w:val="20"/>
          <w:b w:val="1"/>
          <w:bCs w:val="1"/>
          <w:i w:val="1"/>
          <w:iCs w:val="1"/>
          <w:color w:val="auto"/>
        </w:rPr>
        <w:t>Section 8.01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w:t>
      </w:r>
      <w:r>
        <w:rPr>
          <w:rFonts w:ascii="Times New Roman" w:cs="Times New Roman" w:eastAsia="Times New Roman" w:hAnsi="Times New Roman"/>
          <w:sz w:val="20"/>
          <w:szCs w:val="20"/>
          <w:color w:val="auto"/>
        </w:rPr>
        <w:t>) will be margin stock.</w:t>
      </w:r>
    </w:p>
    <w:p>
      <w:pPr>
        <w:spacing w:after="0" w:line="144"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Company Act</w:t>
      </w:r>
      <w:r>
        <w:rPr>
          <w:rFonts w:ascii="Times New Roman" w:cs="Times New Roman" w:eastAsia="Times New Roman" w:hAnsi="Times New Roman"/>
          <w:sz w:val="20"/>
          <w:szCs w:val="20"/>
          <w:color w:val="auto"/>
        </w:rPr>
        <w:t>. None of the Borrower, any Person Controlling the Borrower, or any Subsidiary is or is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registered as an “investment company” under the Investment Company Act of 1940.</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b w:val="1"/>
          <w:bCs w:val="1"/>
          <w:color w:val="auto"/>
        </w:rPr>
        <w:t>Disclosure</w:t>
      </w:r>
      <w:r>
        <w:rPr>
          <w:rFonts w:ascii="Times New Roman" w:cs="Times New Roman" w:eastAsia="Times New Roman" w:hAnsi="Times New Roman"/>
          <w:sz w:val="20"/>
          <w:szCs w:val="20"/>
          <w:color w:val="auto"/>
        </w:rPr>
        <w:t>. The Borrower has disclosed to the Administrative Agent and the Lenders all agreements, instruments and corporate or other restrictions to which it or any of its Subsidiaries or any other Loan Party is subject, and all other matters known to it, that,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individually or in the aggregate, could reasonably be expected to result in a Material Adverse Effect. No report, financial statement, certificate or other information furnished (whether in writing or orally) by or on behalf of any Loan Party to the Administrative Agent or any</w:t>
      </w:r>
    </w:p>
    <w:p>
      <w:pPr>
        <w:spacing w:after="0" w:line="211" w:lineRule="auto"/>
        <w:rPr>
          <w:sz w:val="20"/>
          <w:szCs w:val="20"/>
          <w:color w:val="auto"/>
        </w:rPr>
      </w:pPr>
      <w:r>
        <w:rPr>
          <w:rFonts w:ascii="Times New Roman" w:cs="Times New Roman" w:eastAsia="Times New Roman" w:hAnsi="Times New Roman"/>
          <w:sz w:val="20"/>
          <w:szCs w:val="20"/>
          <w:color w:val="auto"/>
        </w:rPr>
        <w:t>Lender in connection with the transactions contemplated hereby and the negotiation of this Agreement or delivered hereunder or under any</w:t>
      </w:r>
    </w:p>
    <w:p>
      <w:pPr>
        <w:spacing w:after="0" w:line="204" w:lineRule="auto"/>
        <w:rPr>
          <w:sz w:val="20"/>
          <w:szCs w:val="20"/>
          <w:color w:val="auto"/>
        </w:rPr>
      </w:pPr>
      <w:r>
        <w:rPr>
          <w:rFonts w:ascii="Times New Roman" w:cs="Times New Roman" w:eastAsia="Times New Roman" w:hAnsi="Times New Roman"/>
          <w:sz w:val="20"/>
          <w:szCs w:val="20"/>
          <w:color w:val="auto"/>
        </w:rPr>
        <w:t>other Loan Document (in each case as modified or supplemented by other information so furnished) contains any material misstatement of fact or omits to state any material fact necessary to make the statements therein, in the light of the circumstances under which they were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made, not misleading; provided that, with respect to projected financial information, each Loan Party represents only that such information was prepared in good faith based upon assumptions believed to be reasonable at the time.</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5.15 </w:t>
      </w:r>
      <w:r>
        <w:rPr>
          <w:rFonts w:ascii="Times New Roman" w:cs="Times New Roman" w:eastAsia="Times New Roman" w:hAnsi="Times New Roman"/>
          <w:sz w:val="19"/>
          <w:szCs w:val="19"/>
          <w:b w:val="1"/>
          <w:bCs w:val="1"/>
          <w:color w:val="auto"/>
        </w:rPr>
        <w:t>Compliance with Laws</w:t>
      </w:r>
      <w:r>
        <w:rPr>
          <w:rFonts w:ascii="Times New Roman" w:cs="Times New Roman" w:eastAsia="Times New Roman" w:hAnsi="Times New Roman"/>
          <w:sz w:val="19"/>
          <w:szCs w:val="19"/>
          <w:color w:val="auto"/>
        </w:rPr>
        <w:t>. Each Loan Party and each Subsidiary thereof is in compliance with the requirements of all Laws and all orders, writs, injunctions and decrees applicable to it or to its properties, except in such instances in which (a) such requirement of Law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b w:val="1"/>
          <w:bCs w:val="1"/>
          <w:color w:val="auto"/>
        </w:rPr>
        <w:t>Solvency</w:t>
      </w:r>
      <w:r>
        <w:rPr>
          <w:rFonts w:ascii="Times New Roman" w:cs="Times New Roman" w:eastAsia="Times New Roman" w:hAnsi="Times New Roman"/>
          <w:sz w:val="19"/>
          <w:szCs w:val="19"/>
          <w:color w:val="auto"/>
        </w:rPr>
        <w:t>. Each Loan Party is, individually and together with its Subsidiaries on a Consolidated basis, Solvent.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b w:val="1"/>
          <w:bCs w:val="1"/>
          <w:color w:val="auto"/>
        </w:rPr>
        <w:t>Casualty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Etc</w:t>
      </w:r>
      <w:r>
        <w:rPr>
          <w:rFonts w:ascii="Times New Roman" w:cs="Times New Roman" w:eastAsia="Times New Roman" w:hAnsi="Times New Roman"/>
          <w:sz w:val="20"/>
          <w:szCs w:val="20"/>
          <w:color w:val="auto"/>
        </w:rPr>
        <w:t>. Neither the businesses nor the properties of any Loan Party or any of its Subsidiaries are affected by any fire, explosion, accident, strike, lockout or other labor dispute, drought, storm, hail, earthquake, embargo, act of God or of the public enemy or</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 casualty (whether or not covered by insurance) that, either individually or in the aggregate, could reasonably be expected to have a Material Adverse Effect.</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19"/>
          <w:szCs w:val="19"/>
          <w:b w:val="1"/>
          <w:bCs w:val="1"/>
          <w:color w:val="auto"/>
        </w:rPr>
        <w:t>Sanctions Concerns and Anti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Corruption Laws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5" w:lineRule="auto"/>
        <w:tabs>
          <w:tab w:leader="none" w:pos="1286"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Sanctions Concerns</w:t>
      </w:r>
      <w:r>
        <w:rPr>
          <w:rFonts w:ascii="Times New Roman" w:cs="Times New Roman" w:eastAsia="Times New Roman" w:hAnsi="Times New Roman"/>
          <w:sz w:val="19"/>
          <w:szCs w:val="19"/>
          <w:color w:val="auto"/>
        </w:rPr>
        <w:t>. No Loan Party, nor any Subsidiary, nor, to the knowledge of the Loan Parties and their Subsidiaries,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w:t>
      </w:r>
    </w:p>
    <w:p>
      <w:pPr>
        <w:spacing w:after="0" w:line="3" w:lineRule="exact"/>
        <w:rPr>
          <w:rFonts w:ascii="Times New Roman" w:cs="Times New Roman" w:eastAsia="Times New Roman" w:hAnsi="Times New Roman"/>
          <w:sz w:val="19"/>
          <w:szCs w:val="19"/>
          <w:color w:val="auto"/>
        </w:rPr>
      </w:pPr>
    </w:p>
    <w:p>
      <w:pPr>
        <w:jc w:val="both"/>
        <w:ind w:firstLine="8"/>
        <w:spacing w:after="0" w:line="218" w:lineRule="auto"/>
        <w:tabs>
          <w:tab w:leader="none" w:pos="38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located, organized or resident in a Designated Jurisdiction. The Borrower and its Subsidiaries have conducted their businesses in compliance with all applicable Sanctions and have instituted and maintained policies and procedures designed to promote and achieve compliance with such Sanctions.</w:t>
      </w:r>
    </w:p>
    <w:p>
      <w:pPr>
        <w:spacing w:after="0" w:line="157"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Corruption Laws</w:t>
      </w:r>
      <w:r>
        <w:rPr>
          <w:rFonts w:ascii="Times New Roman" w:cs="Times New Roman" w:eastAsia="Times New Roman" w:hAnsi="Times New Roman"/>
          <w:sz w:val="20"/>
          <w:szCs w:val="20"/>
          <w:color w:val="auto"/>
        </w:rPr>
        <w:t>. The Loan Parties and their Subsidiaries have conducted their business in compliance in all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3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20"/>
          <w:szCs w:val="20"/>
          <w:b w:val="1"/>
          <w:bCs w:val="1"/>
          <w:color w:val="auto"/>
        </w:rPr>
        <w:t>Responsible Officers</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Schedule 1.01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are Responsible Officers, holding the offices indicated next to their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respective names, as of the Closing Date and as of the last date such </w:t>
      </w:r>
      <w:r>
        <w:rPr>
          <w:rFonts w:ascii="Times New Roman" w:cs="Times New Roman" w:eastAsia="Times New Roman" w:hAnsi="Times New Roman"/>
          <w:sz w:val="20"/>
          <w:szCs w:val="20"/>
          <w:b w:val="1"/>
          <w:bCs w:val="1"/>
          <w:i w:val="1"/>
          <w:iCs w:val="1"/>
          <w:color w:val="auto"/>
        </w:rPr>
        <w:t>Schedule 1.01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was required to be updated in accordance with </w:t>
      </w:r>
      <w:r>
        <w:rPr>
          <w:rFonts w:ascii="Times New Roman" w:cs="Times New Roman" w:eastAsia="Times New Roman" w:hAnsi="Times New Roman"/>
          <w:sz w:val="20"/>
          <w:szCs w:val="20"/>
          <w:b w:val="1"/>
          <w:bCs w:val="1"/>
          <w:i w:val="1"/>
          <w:iCs w:val="1"/>
          <w:color w:val="auto"/>
        </w:rPr>
        <w:t>Sections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6.13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6.14 </w:t>
      </w:r>
      <w:r>
        <w:rPr>
          <w:rFonts w:ascii="Times New Roman" w:cs="Times New Roman" w:eastAsia="Times New Roman" w:hAnsi="Times New Roman"/>
          <w:sz w:val="20"/>
          <w:szCs w:val="20"/>
          <w:color w:val="auto"/>
        </w:rPr>
        <w:t>and such Responsible Officers are the duly elected and qualified officers of such Loan Party and are duly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to execute and deliver, on behalf of the respective Loan Party, this Agreement, the Notes and the other Loan Documents.</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19"/>
          <w:szCs w:val="19"/>
          <w:b w:val="1"/>
          <w:bCs w:val="1"/>
          <w:color w:val="auto"/>
        </w:rPr>
        <w:t>Subsidiaries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Equity Interests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Loan Parties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3" w:lineRule="auto"/>
        <w:tabs>
          <w:tab w:leader="none" w:pos="128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Subsidiaries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Joint Ventures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Partnerships and Equity Investments</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Schedule 5.20(a)</w:t>
      </w:r>
      <w:r>
        <w:rPr>
          <w:rFonts w:ascii="Times New Roman" w:cs="Times New Roman" w:eastAsia="Times New Roman" w:hAnsi="Times New Roman"/>
          <w:sz w:val="20"/>
          <w:szCs w:val="20"/>
          <w:color w:val="auto"/>
        </w:rPr>
        <w:t>, is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which is true and complete in all respects as of the Closing Date and as of the last date such Schedule was required to be updated in accordance with </w:t>
      </w:r>
      <w:r>
        <w:rPr>
          <w:rFonts w:ascii="Times New Roman" w:cs="Times New Roman" w:eastAsia="Times New Roman" w:hAnsi="Times New Roman"/>
          <w:sz w:val="20"/>
          <w:szCs w:val="20"/>
          <w:b w:val="1"/>
          <w:bCs w:val="1"/>
          <w:i w:val="1"/>
          <w:iCs w:val="1"/>
          <w:color w:val="auto"/>
        </w:rPr>
        <w:t>Sections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6.14</w:t>
      </w:r>
      <w:r>
        <w:rPr>
          <w:rFonts w:ascii="Times New Roman" w:cs="Times New Roman" w:eastAsia="Times New Roman" w:hAnsi="Times New Roman"/>
          <w:sz w:val="20"/>
          <w:szCs w:val="20"/>
          <w:color w:val="auto"/>
        </w:rPr>
        <w:t xml:space="preserve">: (i) a complete and accurate list of all Subsidiaries, joint ventures and partnerships and other equity investments of the Loan Parties as of the Closing Date and as of the last date such Schedule was required to be updated in accordance with </w:t>
      </w:r>
      <w:r>
        <w:rPr>
          <w:rFonts w:ascii="Times New Roman" w:cs="Times New Roman" w:eastAsia="Times New Roman" w:hAnsi="Times New Roman"/>
          <w:sz w:val="20"/>
          <w:szCs w:val="20"/>
          <w:b w:val="1"/>
          <w:bCs w:val="1"/>
          <w:i w:val="1"/>
          <w:iCs w:val="1"/>
          <w:color w:val="auto"/>
        </w:rPr>
        <w:t>Sections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6.14</w:t>
      </w:r>
      <w:r>
        <w:rPr>
          <w:rFonts w:ascii="Times New Roman" w:cs="Times New Roman" w:eastAsia="Times New Roman" w:hAnsi="Times New Roman"/>
          <w:sz w:val="20"/>
          <w:szCs w:val="20"/>
          <w:color w:val="auto"/>
        </w:rPr>
        <w:t>, (ii) the number of shares of each class of Equity Interests in each Subsidiary outstanding, (iii) the number and percentage of outstanding shares of each class of Equity Interests owned by the Loan Parties and their Subsidiaries and (iv) the class or nature of such Equity Interests (i.e., voting, non-voting, preferred, etc.). The outstanding Equity Interests in all Subsidiaries are validly issued, fully paid and non-assessable and are owned free and clear of all Liens. There are no outstanding subscriptions, options, warrants, calls, rights or other agreements or commitments (other than stock options granted to employees or directors and directors’ qualifying shares) of any nature relating to the Equity Interests of any Loan Party or any Subsidiary thereof, except as contemplated in connection with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0" w:firstLine="642"/>
        <w:spacing w:after="0" w:line="229" w:lineRule="auto"/>
        <w:tabs>
          <w:tab w:leader="none" w:pos="1303"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Loan Parties</w:t>
      </w:r>
      <w:r>
        <w:rPr>
          <w:rFonts w:ascii="Times New Roman" w:cs="Times New Roman" w:eastAsia="Times New Roman" w:hAnsi="Times New Roman"/>
          <w:sz w:val="19"/>
          <w:szCs w:val="19"/>
          <w:color w:val="auto"/>
        </w:rPr>
        <w:t>. Set forth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Schedule 5.20(b)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 a complete and accurate list of all Loan Parties, showing as of the Closing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Date, or as of the last date such Schedule was required to be updated in accordance with </w:t>
      </w:r>
      <w:r>
        <w:rPr>
          <w:rFonts w:ascii="Times New Roman" w:cs="Times New Roman" w:eastAsia="Times New Roman" w:hAnsi="Times New Roman"/>
          <w:sz w:val="19"/>
          <w:szCs w:val="19"/>
          <w:b w:val="1"/>
          <w:bCs w:val="1"/>
          <w:i w:val="1"/>
          <w:iCs w:val="1"/>
          <w:color w:val="auto"/>
        </w:rPr>
        <w:t>Sections 6.02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6.13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6.14</w:t>
      </w:r>
      <w:r>
        <w:rPr>
          <w:rFonts w:ascii="Times New Roman" w:cs="Times New Roman" w:eastAsia="Times New Roman" w:hAnsi="Times New Roman"/>
          <w:sz w:val="19"/>
          <w:szCs w:val="19"/>
          <w:color w:val="auto"/>
        </w:rPr>
        <w:t>, (as to each Loan Party)</w:t>
      </w:r>
    </w:p>
    <w:p>
      <w:pPr>
        <w:ind w:left="260" w:hanging="246"/>
        <w:spacing w:after="0" w:line="211" w:lineRule="auto"/>
        <w:tabs>
          <w:tab w:leader="none" w:pos="2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exact legal name, (ii) any former legal names of such Loan Party in the four months prior to the Closing Date, (iii) the jurisdiction of</w:t>
      </w:r>
    </w:p>
    <w:p>
      <w:pPr>
        <w:jc w:val="center"/>
        <w:spacing w:after="0" w:line="211" w:lineRule="auto"/>
        <w:rPr>
          <w:sz w:val="20"/>
          <w:szCs w:val="20"/>
          <w:color w:val="auto"/>
        </w:rPr>
      </w:pPr>
      <w:r>
        <w:rPr>
          <w:rFonts w:ascii="Times New Roman" w:cs="Times New Roman" w:eastAsia="Times New Roman" w:hAnsi="Times New Roman"/>
          <w:sz w:val="20"/>
          <w:szCs w:val="20"/>
          <w:color w:val="auto"/>
        </w:rPr>
        <w:t>its incorporation or organization, as applicable, (iv) the type of organization, (v) the jurisdictions in which such Loan Party is qualified to do</w:t>
      </w:r>
    </w:p>
    <w:p>
      <w:pPr>
        <w:spacing w:after="0" w:line="1" w:lineRule="exact"/>
        <w:rPr>
          <w:sz w:val="20"/>
          <w:szCs w:val="20"/>
          <w:color w:val="auto"/>
        </w:rPr>
      </w:pPr>
    </w:p>
    <w:p>
      <w:pPr>
        <w:ind w:left="20"/>
        <w:spacing w:after="0" w:line="204" w:lineRule="auto"/>
        <w:rPr>
          <w:sz w:val="20"/>
          <w:szCs w:val="20"/>
          <w:color w:val="auto"/>
        </w:rPr>
      </w:pPr>
      <w:r>
        <w:rPr>
          <w:rFonts w:ascii="Times New Roman" w:cs="Times New Roman" w:eastAsia="Times New Roman" w:hAnsi="Times New Roman"/>
          <w:sz w:val="20"/>
          <w:szCs w:val="20"/>
          <w:color w:val="auto"/>
        </w:rPr>
        <w:t>business, (vi) the address of its chief executive office, (vii) the address of its principal place of business, (viii) its U.S. federal taxpayer identification number or, in the case of any non-U.S. Loan Party that does not have a U.S. taxpayer identification number, its unique</w:t>
      </w:r>
    </w:p>
    <w:p>
      <w:pPr>
        <w:ind w:left="20"/>
        <w:spacing w:after="0" w:line="211" w:lineRule="auto"/>
        <w:rPr>
          <w:sz w:val="20"/>
          <w:szCs w:val="20"/>
          <w:color w:val="auto"/>
        </w:rPr>
      </w:pPr>
      <w:r>
        <w:rPr>
          <w:rFonts w:ascii="Times New Roman" w:cs="Times New Roman" w:eastAsia="Times New Roman" w:hAnsi="Times New Roman"/>
          <w:sz w:val="20"/>
          <w:szCs w:val="20"/>
          <w:color w:val="auto"/>
        </w:rPr>
        <w:t>identification number issued to it by the jurisdiction of its incorporation or organization, (ix) the organization identification number,</w:t>
      </w:r>
    </w:p>
    <w:p>
      <w:pPr>
        <w:spacing w:after="0" w:line="1" w:lineRule="exact"/>
        <w:rPr>
          <w:sz w:val="20"/>
          <w:szCs w:val="20"/>
          <w:color w:val="auto"/>
        </w:rPr>
      </w:pPr>
    </w:p>
    <w:p>
      <w:pPr>
        <w:ind w:left="20" w:hanging="6"/>
        <w:spacing w:after="0" w:line="221" w:lineRule="auto"/>
        <w:tabs>
          <w:tab w:leader="none" w:pos="31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information (e.g., publicly held or if private or partnership, the owners and partners of each of the Loan Parties) and (xi) the industry or nature of business of such Loan Party.</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19"/>
          <w:szCs w:val="19"/>
          <w:b w:val="1"/>
          <w:bCs w:val="1"/>
          <w:color w:val="auto"/>
        </w:rPr>
        <w:t>Collateral Representations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3" w:lineRule="auto"/>
        <w:tabs>
          <w:tab w:leader="none" w:pos="128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The provisions of the Collateral Documents are effective to create in favor of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spacing w:after="0" w:line="144"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Pledged Equity Interests</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Schedule 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as of the Closing Date and as of the last date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Schedule 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was required to be updated in accordance with</w:t>
      </w:r>
      <w:r>
        <w:rPr>
          <w:rFonts w:ascii="Times New Roman" w:cs="Times New Roman" w:eastAsia="Times New Roman" w:hAnsi="Times New Roman"/>
          <w:sz w:val="20"/>
          <w:szCs w:val="20"/>
          <w:b w:val="1"/>
          <w:bCs w:val="1"/>
          <w:i w:val="1"/>
          <w:iCs w:val="1"/>
          <w:color w:val="auto"/>
        </w:rPr>
        <w:t xml:space="preserve"> Sections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6.13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6.14</w:t>
      </w:r>
      <w:r>
        <w:rPr>
          <w:rFonts w:ascii="Times New Roman" w:cs="Times New Roman" w:eastAsia="Times New Roman" w:hAnsi="Times New Roman"/>
          <w:sz w:val="20"/>
          <w:szCs w:val="20"/>
          <w:color w:val="auto"/>
        </w:rPr>
        <w:t>, is a list of (i) all Pledged Equity and (ii) 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Equity Interests required to be pledged to the Administrative Agent pursuant to the Collateral Documents (in each case, detailing the Grantor (as defined in the Security Agreement), the Person whose Equity Interests are pledged, the number of shares of each class of Equity Interests, the certificate number and percentage ownership of outstanding shares of each class of Equity Interests and the class or nature of such Equity Interests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voting, non-voting, preferred, etc.)).</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Times New Roman" w:cs="Times New Roman" w:eastAsia="Times New Roman" w:hAnsi="Times New Roman"/>
          <w:sz w:val="19"/>
          <w:szCs w:val="19"/>
          <w:b w:val="1"/>
          <w:bCs w:val="1"/>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5.23</w:t>
      </w:r>
      <w:r>
        <w:rPr>
          <w:sz w:val="20"/>
          <w:szCs w:val="20"/>
          <w:color w:val="auto"/>
        </w:rPr>
        <w:tab/>
      </w:r>
      <w:r>
        <w:rPr>
          <w:rFonts w:ascii="Times New Roman" w:cs="Times New Roman" w:eastAsia="Times New Roman" w:hAnsi="Times New Roman"/>
          <w:sz w:val="19"/>
          <w:szCs w:val="19"/>
          <w:b w:val="1"/>
          <w:bCs w:val="1"/>
          <w:color w:val="auto"/>
        </w:rPr>
        <w:t>Covered Entities</w:t>
      </w:r>
      <w:r>
        <w:rPr>
          <w:rFonts w:ascii="Times New Roman" w:cs="Times New Roman" w:eastAsia="Times New Roman" w:hAnsi="Times New Roman"/>
          <w:sz w:val="19"/>
          <w:szCs w:val="19"/>
          <w:color w:val="auto"/>
        </w:rPr>
        <w:t>. No Loan Party is a Covered Entity.</w:t>
      </w:r>
    </w:p>
    <w:p>
      <w:pPr>
        <w:spacing w:after="0" w:line="17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 xml:space="preserve">5.24 </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The information included in the Beneficial Ownership Certification, if applicable, is true and correct in all respects.</w:t>
      </w:r>
    </w:p>
    <w:p>
      <w:pPr>
        <w:spacing w:after="0" w:line="15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 xml:space="preserve">VI. </w:t>
      </w:r>
      <w:r>
        <w:rPr>
          <w:rFonts w:ascii="Times New Roman" w:cs="Times New Roman" w:eastAsia="Times New Roman" w:hAnsi="Times New Roman"/>
          <w:sz w:val="20"/>
          <w:szCs w:val="20"/>
          <w:b w:val="1"/>
          <w:bCs w:val="1"/>
          <w:color w:val="auto"/>
        </w:rPr>
        <w:t>AFFIRMATIVE COVENANTS</w:t>
      </w:r>
      <w:r>
        <w:rPr>
          <w:rFonts w:ascii="Times New Roman" w:cs="Times New Roman" w:eastAsia="Times New Roman" w:hAnsi="Times New Roman"/>
          <w:sz w:val="20"/>
          <w:szCs w:val="20"/>
          <w:color w:val="auto"/>
        </w:rPr>
        <w:t>. Each of the Loan Parties hereby covenants and agrees that on the Closing Date and thereafter until the Facility Termination Date, such Loan Party shall, and shall cause each of its Subsidiaries to:</w:t>
      </w:r>
    </w:p>
    <w:p>
      <w:pPr>
        <w:spacing w:after="0" w:line="15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6.01</w:t>
      </w:r>
      <w:r>
        <w:rPr>
          <w:sz w:val="20"/>
          <w:szCs w:val="20"/>
          <w:color w:val="auto"/>
        </w:rPr>
        <w:tab/>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Deliver to the Administrative Agent and each Lender, in form and detail satisfactory to the</w:t>
      </w:r>
    </w:p>
    <w:p>
      <w:pPr>
        <w:spacing w:after="0"/>
        <w:rPr>
          <w:sz w:val="20"/>
          <w:szCs w:val="20"/>
          <w:color w:val="auto"/>
        </w:rPr>
      </w:pPr>
      <w:r>
        <w:rPr>
          <w:rFonts w:ascii="Times New Roman" w:cs="Times New Roman" w:eastAsia="Times New Roman" w:hAnsi="Times New Roman"/>
          <w:sz w:val="20"/>
          <w:szCs w:val="20"/>
          <w:color w:val="auto"/>
        </w:rPr>
        <w:t>Administrative Agent and the Required Lenders:</w:t>
      </w:r>
    </w:p>
    <w:p>
      <w:pPr>
        <w:spacing w:after="0" w:line="149" w:lineRule="exact"/>
        <w:rPr>
          <w:sz w:val="20"/>
          <w:szCs w:val="20"/>
          <w:color w:val="auto"/>
        </w:rPr>
      </w:pPr>
    </w:p>
    <w:p>
      <w:pPr>
        <w:jc w:val="both"/>
        <w:ind w:firstLine="656"/>
        <w:spacing w:after="0" w:line="235" w:lineRule="auto"/>
        <w:tabs>
          <w:tab w:leader="none" w:pos="1286"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Audited Financial Statements</w:t>
      </w:r>
      <w:r>
        <w:rPr>
          <w:rFonts w:ascii="Times New Roman" w:cs="Times New Roman" w:eastAsia="Times New Roman" w:hAnsi="Times New Roman"/>
          <w:sz w:val="19"/>
          <w:szCs w:val="19"/>
          <w:color w:val="auto"/>
        </w:rPr>
        <w:t>. As soon as available, but in any event within one hundred twenty (120) days after the end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fiscal year of the Borrower (or, if earlier, fifteen (15) days after the date required to be filed with the SEC (without giving effect to any extension permitted by the SEC)), a Consolidated balance sheet of the Borrower and its Subsidiaries as at the end of such fiscal year, and the related Consolidated statements of income or operations, changes in Shareholders’ Equity and cash flows for such fiscal year, setting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case in comparative form the figures for the previous fiscal year, all in reasonable detail and prepared in accordance with</w:t>
      </w: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GAAP, such Consolidated statements to be audited and accompanied by a report and opinion of an independent certified public accountant of nationally recognized standing reasonably acceptable to the Administrative Agent, which report and opinion shall be</w:t>
      </w:r>
    </w:p>
    <w:p>
      <w:pPr>
        <w:spacing w:after="0" w:line="1" w:lineRule="exact"/>
        <w:rPr>
          <w:sz w:val="20"/>
          <w:szCs w:val="20"/>
          <w:color w:val="auto"/>
        </w:rPr>
      </w:pP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prepared in accordance with generally accepted auditing standards and shall not be subject to any “going concern” or like qualification or exception or any qualification or exception as to the scope of such audit.</w:t>
      </w:r>
    </w:p>
    <w:p>
      <w:pPr>
        <w:spacing w:after="0" w:line="145" w:lineRule="exact"/>
        <w:rPr>
          <w:sz w:val="20"/>
          <w:szCs w:val="20"/>
          <w:color w:val="auto"/>
        </w:rPr>
      </w:pPr>
    </w:p>
    <w:p>
      <w:pPr>
        <w:jc w:val="both"/>
        <w:ind w:left="660" w:firstLine="644"/>
        <w:spacing w:after="0" w:line="215" w:lineRule="auto"/>
        <w:tabs>
          <w:tab w:leader="none" w:pos="179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Quarterly Financial Statements</w:t>
      </w:r>
      <w:r>
        <w:rPr>
          <w:rFonts w:ascii="Times New Roman" w:cs="Times New Roman" w:eastAsia="Times New Roman" w:hAnsi="Times New Roman"/>
          <w:sz w:val="20"/>
          <w:szCs w:val="20"/>
          <w:color w:val="auto"/>
        </w:rPr>
        <w:t>. As soon as available, but in any event within forty-five (45) days after the end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the first three (3) fiscal quarters of each fiscal year of the Borrower (or, if earlier, five (5) days after the date required to be filed with the SEC (without giving effect to any extension permitted by the SEC)), a Consolidated balance sheet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of the Borrower as fairly presenting the financial condition, results of operations, Shareholders’ Equity and cash flows of the Borrower and its Subsidiaries, subject only to normal year-end audit adjustments and the absence of footnotes.</w:t>
      </w:r>
    </w:p>
    <w:p>
      <w:pPr>
        <w:spacing w:after="0" w:line="143"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76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Business Plan and Budget. </w:t>
      </w:r>
      <w:r>
        <w:rPr>
          <w:rFonts w:ascii="Times New Roman" w:cs="Times New Roman" w:eastAsia="Times New Roman" w:hAnsi="Times New Roman"/>
          <w:sz w:val="20"/>
          <w:szCs w:val="20"/>
          <w:color w:val="auto"/>
        </w:rPr>
        <w:t>As soon as available, but in any event within 30 days after the end of each fiscal year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commencing with the fiscal year ending December 31, 2020, an annual business plan and budget of the Borrower and its Subsidiaries on a Consolidated basis, including forecasts prepared by management of the Borrower, in form satisfactory to the Administrative Agent and the Required Lenders, of Consolidated balance sheets and statements of income or operations and cash flows of the Borrower and its Subsidiaries on a monthly basis for the immediately following fiscal year.</w:t>
      </w:r>
    </w:p>
    <w:p>
      <w:pPr>
        <w:spacing w:after="0" w:line="14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As to any information contained in materials furnished pursuant to </w:t>
      </w:r>
      <w:r>
        <w:rPr>
          <w:rFonts w:ascii="Times New Roman" w:cs="Times New Roman" w:eastAsia="Times New Roman" w:hAnsi="Times New Roman"/>
          <w:sz w:val="22"/>
          <w:szCs w:val="22"/>
          <w:b w:val="1"/>
          <w:bCs w:val="1"/>
          <w:i w:val="1"/>
          <w:iCs w:val="1"/>
          <w:color w:val="auto"/>
        </w:rPr>
        <w:t>Section 6.02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w:t>
      </w:r>
      <w:r>
        <w:rPr>
          <w:rFonts w:ascii="Times New Roman" w:cs="Times New Roman" w:eastAsia="Times New Roman" w:hAnsi="Times New Roman"/>
          <w:sz w:val="22"/>
          <w:szCs w:val="22"/>
          <w:color w:val="auto"/>
        </w:rPr>
        <w:t xml:space="preserve">), the Borrower shall not be separately required to furnish such information under </w:t>
      </w:r>
      <w:r>
        <w:rPr>
          <w:rFonts w:ascii="Times New Roman" w:cs="Times New Roman" w:eastAsia="Times New Roman" w:hAnsi="Times New Roman"/>
          <w:sz w:val="22"/>
          <w:szCs w:val="22"/>
          <w:b w:val="1"/>
          <w:bCs w:val="1"/>
          <w:i w:val="1"/>
          <w:iCs w:val="1"/>
          <w:color w:val="auto"/>
        </w:rPr>
        <w:t>Section 6.01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b</w:t>
      </w:r>
      <w:r>
        <w:rPr>
          <w:rFonts w:ascii="Times New Roman" w:cs="Times New Roman" w:eastAsia="Times New Roman" w:hAnsi="Times New Roman"/>
          <w:sz w:val="22"/>
          <w:szCs w:val="22"/>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22"/>
          <w:szCs w:val="22"/>
          <w:b w:val="1"/>
          <w:bCs w:val="1"/>
          <w:i w:val="1"/>
          <w:iCs w:val="1"/>
          <w:color w:val="auto"/>
        </w:rPr>
        <w:t>Sections 6.01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b</w:t>
      </w:r>
      <w:r>
        <w:rPr>
          <w:rFonts w:ascii="Times New Roman" w:cs="Times New Roman" w:eastAsia="Times New Roman" w:hAnsi="Times New Roman"/>
          <w:sz w:val="22"/>
          <w:szCs w:val="22"/>
          <w:color w:val="auto"/>
        </w:rPr>
        <w:t>) above at the times specified therein.</w:t>
      </w:r>
    </w:p>
    <w:p>
      <w:pPr>
        <w:spacing w:after="0" w:line="14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6.02</w:t>
      </w:r>
      <w:r>
        <w:rPr>
          <w:sz w:val="20"/>
          <w:szCs w:val="20"/>
          <w:color w:val="auto"/>
        </w:rPr>
        <w:tab/>
      </w:r>
      <w:r>
        <w:rPr>
          <w:rFonts w:ascii="Times New Roman" w:cs="Times New Roman" w:eastAsia="Times New Roman" w:hAnsi="Times New Roman"/>
          <w:sz w:val="19"/>
          <w:szCs w:val="19"/>
          <w:b w:val="1"/>
          <w:bCs w:val="1"/>
          <w:color w:val="auto"/>
        </w:rPr>
        <w:t>Certificates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Other Information</w:t>
      </w:r>
      <w:r>
        <w:rPr>
          <w:rFonts w:ascii="Times New Roman" w:cs="Times New Roman" w:eastAsia="Times New Roman" w:hAnsi="Times New Roman"/>
          <w:sz w:val="19"/>
          <w:szCs w:val="19"/>
          <w:color w:val="auto"/>
        </w:rPr>
        <w:t>. Deliver to the Administrative Agent and each Lender, in form and detail satisfactory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the Required Lenders:</w:t>
      </w:r>
    </w:p>
    <w:p>
      <w:pPr>
        <w:spacing w:after="0" w:line="163" w:lineRule="exact"/>
        <w:rPr>
          <w:sz w:val="20"/>
          <w:szCs w:val="20"/>
          <w:color w:val="auto"/>
        </w:rPr>
      </w:pPr>
    </w:p>
    <w:p>
      <w:pPr>
        <w:jc w:val="both"/>
        <w:ind w:firstLine="656"/>
        <w:spacing w:after="0" w:line="218" w:lineRule="auto"/>
        <w:tabs>
          <w:tab w:leader="none" w:pos="128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Concurrently with the delivery of the financial statements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Sections 6.01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completed Compliance Certificate signed by the chief executive officer, chief financial officer, treasurer or controller which is a Responsible Officer of the Borrower. Unless the Administrative Agent or a Lender requests executed originals, delivery of the Compliance Certificate may be by electronic communication including fax or email and shall be deemed to be an original and authentic counterpart thereof for all purposes.</w:t>
      </w:r>
    </w:p>
    <w:p>
      <w:pPr>
        <w:spacing w:after="0" w:line="157"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Updated Schedules</w:t>
      </w:r>
      <w:r>
        <w:rPr>
          <w:rFonts w:ascii="Times New Roman" w:cs="Times New Roman" w:eastAsia="Times New Roman" w:hAnsi="Times New Roman"/>
          <w:sz w:val="20"/>
          <w:szCs w:val="20"/>
          <w:color w:val="auto"/>
        </w:rPr>
        <w:t>. Concurrently with the delivery of the Compliance Certificate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following updated Schedules to this Agreement (which may be attached to the Compliance Certificate) to the extent required to make the representation related to such Schedule true and correct as of the date of such Compliance Certificate: </w:t>
      </w:r>
      <w:r>
        <w:rPr>
          <w:rFonts w:ascii="Times New Roman" w:cs="Times New Roman" w:eastAsia="Times New Roman" w:hAnsi="Times New Roman"/>
          <w:sz w:val="20"/>
          <w:szCs w:val="20"/>
          <w:b w:val="1"/>
          <w:bCs w:val="1"/>
          <w:i w:val="1"/>
          <w:iCs w:val="1"/>
          <w:color w:val="auto"/>
        </w:rPr>
        <w:t>Schedules 5.20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ind w:right="20" w:firstLine="656"/>
        <w:spacing w:after="0" w:line="235" w:lineRule="auto"/>
        <w:tabs>
          <w:tab w:leader="none" w:pos="128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Changes in Entity Structure</w:t>
      </w:r>
      <w:r>
        <w:rPr>
          <w:rFonts w:ascii="Times New Roman" w:cs="Times New Roman" w:eastAsia="Times New Roman" w:hAnsi="Times New Roman"/>
          <w:sz w:val="20"/>
          <w:szCs w:val="20"/>
          <w:color w:val="auto"/>
        </w:rPr>
        <w:t>. Within ten (10) days prior to any merger, consolidation, dissolution or other change in entity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structure of any Loan Party permitted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provide notice of such change in entity structure to the Administrative Agent, along with such other information as reasonably requested by</w:t>
      </w:r>
    </w:p>
    <w:p>
      <w:pPr>
        <w:spacing w:after="0" w:line="221" w:lineRule="auto"/>
        <w:rPr>
          <w:sz w:val="20"/>
          <w:szCs w:val="20"/>
          <w:color w:val="auto"/>
        </w:rPr>
      </w:pPr>
      <w:r>
        <w:rPr>
          <w:rFonts w:ascii="Times New Roman" w:cs="Times New Roman" w:eastAsia="Times New Roman" w:hAnsi="Times New Roman"/>
          <w:sz w:val="20"/>
          <w:szCs w:val="20"/>
          <w:color w:val="auto"/>
        </w:rPr>
        <w:t>the Administrative Agent. Provide notice to the Administrative Agent, not less than ten (10) days prior (or such extended period of time as agreed to by the Administrative Agent) of any change in any Loan Party’s legal name, state of organization, or organizational existence.</w:t>
      </w:r>
    </w:p>
    <w:p>
      <w:pPr>
        <w:spacing w:after="0" w:line="158" w:lineRule="exact"/>
        <w:rPr>
          <w:sz w:val="20"/>
          <w:szCs w:val="20"/>
          <w:color w:val="auto"/>
        </w:rPr>
      </w:pPr>
    </w:p>
    <w:p>
      <w:pPr>
        <w:jc w:val="both"/>
        <w:ind w:firstLine="656"/>
        <w:spacing w:after="0" w:line="223" w:lineRule="auto"/>
        <w:tabs>
          <w:tab w:leader="none" w:pos="128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Audit Reports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Management Letters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Recommendations</w:t>
      </w:r>
      <w:r>
        <w:rPr>
          <w:rFonts w:ascii="Times New Roman" w:cs="Times New Roman" w:eastAsia="Times New Roman" w:hAnsi="Times New Roman"/>
          <w:sz w:val="20"/>
          <w:szCs w:val="20"/>
          <w:color w:val="auto"/>
        </w:rPr>
        <w:t>. Promptly after any request by the Administrative Agent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5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Reports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Etc</w:t>
      </w:r>
      <w:r>
        <w:rPr>
          <w:rFonts w:ascii="Times New Roman" w:cs="Times New Roman" w:eastAsia="Times New Roman" w:hAnsi="Times New Roman"/>
          <w:sz w:val="20"/>
          <w:szCs w:val="20"/>
          <w:color w:val="auto"/>
        </w:rPr>
        <w:t>. Promptly after the same are available, copies of each annual report, proxy or financial statement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57" w:lineRule="exact"/>
        <w:rPr>
          <w:rFonts w:ascii="Times New Roman" w:cs="Times New Roman" w:eastAsia="Times New Roman" w:hAnsi="Times New Roman"/>
          <w:sz w:val="20"/>
          <w:szCs w:val="20"/>
          <w:color w:val="auto"/>
        </w:rPr>
      </w:pPr>
    </w:p>
    <w:p>
      <w:pPr>
        <w:jc w:val="both"/>
        <w:ind w:firstLine="656"/>
        <w:spacing w:after="0" w:line="223" w:lineRule="auto"/>
        <w:tabs>
          <w:tab w:leader="none" w:pos="129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 Notices</w:t>
      </w:r>
      <w:r>
        <w:rPr>
          <w:rFonts w:ascii="Times New Roman" w:cs="Times New Roman" w:eastAsia="Times New Roman" w:hAnsi="Times New Roman"/>
          <w:sz w:val="20"/>
          <w:szCs w:val="20"/>
          <w:color w:val="auto"/>
        </w:rPr>
        <w:t>. Promptly, and in any event within five Business Days after receipt thereof by any Loan Party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5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Not later than five Business Days after receipt thereof by any Loan Party or any Subsidiary thereof, copies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notices, requests and other documents (including amendments, waivers and other modifications) so received under or pursuant to any instrument, indenture, loan or credit or similar agreement and, from time to time upon request by the Administrative Agent, such information and reports regarding such instruments, indentures and loan and credit and similar agreements as the Administrative Agent may reasonably request.</w:t>
      </w:r>
    </w:p>
    <w:p>
      <w:pPr>
        <w:spacing w:after="0" w:line="15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Environmental Notice</w:t>
      </w:r>
      <w:r>
        <w:rPr>
          <w:rFonts w:ascii="Times New Roman" w:cs="Times New Roman" w:eastAsia="Times New Roman" w:hAnsi="Times New Roman"/>
          <w:sz w:val="20"/>
          <w:szCs w:val="20"/>
          <w:color w:val="auto"/>
        </w:rPr>
        <w:t>. Promptly after the assertion or occurrence thereof, notice of any action or proceeding against or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noncompliance by any Loan Party or any of its Subsidiaries with any Environmental Law or Environmental Permit that could reasonably be expected to have a Material Adverse Effect.</w:t>
      </w:r>
    </w:p>
    <w:p>
      <w:pPr>
        <w:spacing w:after="0" w:line="15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9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Money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Laundering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Beneficial Ownership Regulation</w:t>
      </w:r>
      <w:r>
        <w:rPr>
          <w:rFonts w:ascii="Times New Roman" w:cs="Times New Roman" w:eastAsia="Times New Roman" w:hAnsi="Times New Roman"/>
          <w:sz w:val="20"/>
          <w:szCs w:val="20"/>
          <w:color w:val="auto"/>
        </w:rPr>
        <w:t>. Promptly following any request therefor, information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documentation reasonably requested by the Administrative Agent or any Lender for purposes of compliance with applicable “know your customer” and anti-money-laundering rules and regulations, including, without limitation, the Patriot Act.</w:t>
      </w:r>
    </w:p>
    <w:p>
      <w:pPr>
        <w:spacing w:after="0" w:line="157" w:lineRule="exact"/>
        <w:rPr>
          <w:rFonts w:ascii="Times New Roman" w:cs="Times New Roman" w:eastAsia="Times New Roman" w:hAnsi="Times New Roman"/>
          <w:sz w:val="20"/>
          <w:szCs w:val="20"/>
          <w:color w:val="auto"/>
        </w:rPr>
      </w:pPr>
    </w:p>
    <w:p>
      <w:pPr>
        <w:jc w:val="both"/>
        <w:ind w:firstLine="656"/>
        <w:spacing w:after="0" w:line="223" w:lineRule="auto"/>
        <w:tabs>
          <w:tab w:leader="none" w:pos="129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Beneficial Ownership</w:t>
      </w:r>
      <w:r>
        <w:rPr>
          <w:rFonts w:ascii="Times New Roman" w:cs="Times New Roman" w:eastAsia="Times New Roman" w:hAnsi="Times New Roman"/>
          <w:sz w:val="20"/>
          <w:szCs w:val="20"/>
          <w:color w:val="auto"/>
        </w:rPr>
        <w:t>. To the extent any Loan Party qualifies as a “legal entity customer” under the Beneficial Ownership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spacing w:after="0" w:line="144"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Backlog Report</w:t>
      </w:r>
      <w:r>
        <w:rPr>
          <w:rFonts w:ascii="Times New Roman" w:cs="Times New Roman" w:eastAsia="Times New Roman" w:hAnsi="Times New Roman"/>
          <w:sz w:val="20"/>
          <w:szCs w:val="20"/>
          <w:color w:val="auto"/>
        </w:rPr>
        <w:t>. Concurrently with the delivery of the financial statements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Sections 6.01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 backlog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 in form and substance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656"/>
        <w:spacing w:after="0" w:line="227" w:lineRule="auto"/>
        <w:tabs>
          <w:tab w:leader="none" w:pos="107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Promptly, such additional information regarding the business, financial, legal or corporate affairs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Loan Party or any Subsidiary thereof, or compliance with the terms of the Loan Documents, as the Administrative Agent or any Lender may from time to time reasonably request.</w:t>
      </w:r>
    </w:p>
    <w:p>
      <w:pPr>
        <w:spacing w:after="0" w:line="157" w:lineRule="exact"/>
        <w:rPr>
          <w:rFonts w:ascii="Times New Roman" w:cs="Times New Roman" w:eastAsia="Times New Roman" w:hAnsi="Times New Roman"/>
          <w:sz w:val="20"/>
          <w:szCs w:val="20"/>
          <w:color w:val="auto"/>
        </w:rPr>
      </w:pPr>
    </w:p>
    <w:p>
      <w:pPr>
        <w:jc w:val="both"/>
        <w:ind w:firstLine="656"/>
        <w:spacing w:after="0" w:line="211" w:lineRule="auto"/>
        <w:tabs>
          <w:tab w:leader="none" w:pos="113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b w:val="1"/>
          <w:bCs w:val="1"/>
          <w:i w:val="1"/>
          <w:iCs w:val="1"/>
          <w:color w:val="auto"/>
        </w:rPr>
        <w:t>Section 6.01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Section 6.02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0"/>
          <w:szCs w:val="20"/>
          <w:b w:val="1"/>
          <w:bCs w:val="1"/>
          <w:i w:val="1"/>
          <w:iCs w:val="1"/>
          <w:color w:val="auto"/>
        </w:rPr>
        <w:t>Schedule 1.01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the Borrower shall deliver paper copies of such documents to the Administrative Agent or any Lender upon its request to the Borrower to deliver such paper copies until a written request to cease delivering paper copies is given by the Administrative Agent or such Lender and (y) the Borrower shall notify the Administrative Agent and each Lender (by fax transmission or e-mail transmission) of the posting of any such documents and provide to the Administrative Agent by e-mail electronic versions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70" w:lineRule="exact"/>
        <w:rPr>
          <w:rFonts w:ascii="Times New Roman" w:cs="Times New Roman" w:eastAsia="Times New Roman" w:hAnsi="Times New Roman"/>
          <w:sz w:val="20"/>
          <w:szCs w:val="20"/>
          <w:color w:val="auto"/>
        </w:rPr>
      </w:pPr>
    </w:p>
    <w:p>
      <w:pPr>
        <w:jc w:val="both"/>
        <w:ind w:firstLine="656"/>
        <w:spacing w:after="0" w:line="209" w:lineRule="auto"/>
        <w:tabs>
          <w:tab w:leader="none" w:pos="10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20"/>
          <w:szCs w:val="20"/>
          <w:b w:val="1"/>
          <w:bCs w:val="1"/>
          <w:i w:val="1"/>
          <w:iCs w:val="1"/>
          <w:color w:val="auto"/>
        </w:rPr>
        <w:t>Borrower Materials</w:t>
      </w:r>
      <w:r>
        <w:rPr>
          <w:rFonts w:ascii="Times New Roman" w:cs="Times New Roman" w:eastAsia="Times New Roman" w:hAnsi="Times New Roman"/>
          <w:sz w:val="20"/>
          <w:szCs w:val="20"/>
          <w:color w:val="auto"/>
        </w:rPr>
        <w:t>”) by posting the Borrower Materials on IntraLinks, Syndtrak, ClearPar or a substantially similar electronic transmission system (the “</w:t>
      </w:r>
      <w:r>
        <w:rPr>
          <w:rFonts w:ascii="Times New Roman" w:cs="Times New Roman" w:eastAsia="Times New Roman" w:hAnsi="Times New Roman"/>
          <w:sz w:val="20"/>
          <w:szCs w:val="20"/>
          <w:b w:val="1"/>
          <w:bCs w:val="1"/>
          <w:i w:val="1"/>
          <w:iCs w:val="1"/>
          <w:color w:val="auto"/>
        </w:rPr>
        <w:t>Platform</w:t>
      </w:r>
      <w:r>
        <w:rPr>
          <w:rFonts w:ascii="Times New Roman" w:cs="Times New Roman" w:eastAsia="Times New Roman" w:hAnsi="Times New Roman"/>
          <w:sz w:val="20"/>
          <w:szCs w:val="20"/>
          <w:color w:val="auto"/>
        </w:rPr>
        <w:t>”) and (ii) certain of the Lenders (each, a “</w:t>
      </w:r>
      <w:r>
        <w:rPr>
          <w:rFonts w:ascii="Times New Roman" w:cs="Times New Roman" w:eastAsia="Times New Roman" w:hAnsi="Times New Roman"/>
          <w:sz w:val="20"/>
          <w:szCs w:val="20"/>
          <w:b w:val="1"/>
          <w:bCs w:val="1"/>
          <w:i w:val="1"/>
          <w:iCs w:val="1"/>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Interests that are registered or issued pursuant to a private offering or is actively contemplating issuing any such securities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b w:val="1"/>
          <w:bCs w:val="1"/>
          <w:i w:val="1"/>
          <w:iCs w:val="1"/>
          <w:color w:val="auto"/>
        </w:rPr>
        <w:t>Section 11.07</w:t>
      </w:r>
      <w:r>
        <w:rPr>
          <w:rFonts w:ascii="Times New Roman" w:cs="Times New Roman" w:eastAsia="Times New Roman" w:hAnsi="Times New Roman"/>
          <w:sz w:val="20"/>
          <w:szCs w:val="20"/>
          <w:color w:val="auto"/>
        </w:rPr>
        <w:t>); (C) all Borrower Materials marked “PUBLIC” are permitted to be made available through a portion of the Platform designated “Public Side Information;” and (D) the Administrative Agent and any Affiliate thereof and the Arranger shall be entitled to treat the Borrower Materials that are not marked “PUBLIC” as being suitable only for posting on a portion of the Platform not designated “Public Side Information.”</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6.03</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Promptly, but in any event within two Business Days, notify the Administrative Agent and each Lender:</w:t>
      </w:r>
    </w:p>
    <w:p>
      <w:pPr>
        <w:spacing w:after="0" w:line="193" w:lineRule="exact"/>
        <w:rPr>
          <w:sz w:val="20"/>
          <w:szCs w:val="20"/>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56"/>
        <w:spacing w:after="0" w:line="220" w:lineRule="auto"/>
        <w:tabs>
          <w:tab w:leader="none" w:pos="112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including (i) breach or non-performance of, or any default under, a Contractual Obligation of the Borrower or any Subsidiary; (ii) any action, suit, dispute, litigation, investigation, proceeding or suspension involving or any Subsidiary and any Governmental Authority; or (iii) the commencement of, or any material development in, any litigation or proceeding affecting the Borrower or any Subsidiary, including pursuant to any applicable Environmental Laws;</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12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 ERISA Event that would reasonably be expected to result in a Material Adverse Effect which notice shall be provided within 10 Business Days of Borrower’s actual knowledge of such an ERISA Event;</w:t>
      </w:r>
    </w:p>
    <w:p>
      <w:pPr>
        <w:spacing w:after="0" w:line="157" w:lineRule="exact"/>
        <w:rPr>
          <w:rFonts w:ascii="Times New Roman" w:cs="Times New Roman" w:eastAsia="Times New Roman" w:hAnsi="Times New Roman"/>
          <w:sz w:val="20"/>
          <w:szCs w:val="20"/>
          <w:color w:val="auto"/>
        </w:rPr>
      </w:pPr>
    </w:p>
    <w:p>
      <w:pPr>
        <w:ind w:right="20" w:firstLine="656"/>
        <w:spacing w:after="0" w:line="235" w:lineRule="auto"/>
        <w:tabs>
          <w:tab w:leader="none" w:pos="11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material change in accounting policies or financial reporting practices by any Loan Party or any Subsidiary thereof</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including any determination the Borrower referred to in </w:t>
      </w:r>
      <w:r>
        <w:rPr>
          <w:rFonts w:ascii="Times New Roman" w:cs="Times New Roman" w:eastAsia="Times New Roman" w:hAnsi="Times New Roman"/>
          <w:sz w:val="20"/>
          <w:szCs w:val="20"/>
          <w:b w:val="1"/>
          <w:bCs w:val="1"/>
          <w:i w:val="1"/>
          <w:iCs w:val="1"/>
          <w:color w:val="auto"/>
        </w:rPr>
        <w:t>Section 2.10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occurrence for which the Borrower is required to make a mandatory prepayment pursuant to </w:t>
      </w:r>
      <w:r>
        <w:rPr>
          <w:rFonts w:ascii="Times New Roman" w:cs="Times New Roman" w:eastAsia="Times New Roman" w:hAnsi="Times New Roman"/>
          <w:sz w:val="20"/>
          <w:szCs w:val="20"/>
          <w:b w:val="1"/>
          <w:bCs w:val="1"/>
          <w:i w:val="1"/>
          <w:iCs w:val="1"/>
          <w:color w:val="auto"/>
        </w:rPr>
        <w:t>Section 2.05(b)</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ind w:firstLine="656"/>
        <w:spacing w:after="0" w:line="233" w:lineRule="auto"/>
        <w:tabs>
          <w:tab w:leader="none" w:pos="113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Specified Cash Collateral Trigger Event with updates thereafter from time to time as the Administrative Agent may reasonably request.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Each notice pursuant to this </w:t>
      </w:r>
      <w:r>
        <w:rPr>
          <w:rFonts w:ascii="Times New Roman" w:cs="Times New Roman" w:eastAsia="Times New Roman" w:hAnsi="Times New Roman"/>
          <w:sz w:val="19"/>
          <w:szCs w:val="19"/>
          <w:b w:val="1"/>
          <w:bCs w:val="1"/>
          <w:i w:val="1"/>
          <w:iCs w:val="1"/>
          <w:color w:val="auto"/>
        </w:rPr>
        <w:t>Section 6.03</w:t>
      </w:r>
      <w:r>
        <w:rPr>
          <w:rFonts w:ascii="Times New Roman" w:cs="Times New Roman" w:eastAsia="Times New Roman" w:hAnsi="Times New Roman"/>
          <w:sz w:val="19"/>
          <w:szCs w:val="19"/>
          <w:color w:val="auto"/>
        </w:rPr>
        <w:t xml:space="preserve"> shall be accompanied by a statement of a Responsible Officer of the Borrower setting forth</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details of the occurrence referred to therein and to the extent applicable, stating what action the Borrower has taken and proposes to take with respect thereto. Each notice pursuant to </w:t>
      </w:r>
      <w:r>
        <w:rPr>
          <w:rFonts w:ascii="Times New Roman" w:cs="Times New Roman" w:eastAsia="Times New Roman" w:hAnsi="Times New Roman"/>
          <w:sz w:val="19"/>
          <w:szCs w:val="19"/>
          <w:b w:val="1"/>
          <w:bCs w:val="1"/>
          <w:i w:val="1"/>
          <w:iCs w:val="1"/>
          <w:color w:val="auto"/>
        </w:rPr>
        <w:t>Section 6.03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t>
      </w:r>
      <w:r>
        <w:rPr>
          <w:rFonts w:ascii="Times New Roman" w:cs="Times New Roman" w:eastAsia="Times New Roman" w:hAnsi="Times New Roman"/>
          <w:sz w:val="19"/>
          <w:szCs w:val="19"/>
          <w:color w:val="auto"/>
        </w:rPr>
        <w:t>) shall describe with particularity any and all provisions of this Agreement and any</w:t>
      </w:r>
    </w:p>
    <w:p>
      <w:pPr>
        <w:spacing w:after="0"/>
        <w:rPr>
          <w:sz w:val="20"/>
          <w:szCs w:val="20"/>
          <w:color w:val="auto"/>
        </w:rPr>
      </w:pPr>
      <w:r>
        <w:rPr>
          <w:rFonts w:ascii="Times New Roman" w:cs="Times New Roman" w:eastAsia="Times New Roman" w:hAnsi="Times New Roman"/>
          <w:sz w:val="20"/>
          <w:szCs w:val="20"/>
          <w:color w:val="auto"/>
        </w:rPr>
        <w:t>other Loan Document that have been breached (or otherwise in the case of a Specified Cash Collateral Trigger Event, affected).</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6.04 </w:t>
      </w:r>
      <w:r>
        <w:rPr>
          <w:rFonts w:ascii="Times New Roman" w:cs="Times New Roman" w:eastAsia="Times New Roman" w:hAnsi="Times New Roman"/>
          <w:sz w:val="20"/>
          <w:szCs w:val="20"/>
          <w:b w:val="1"/>
          <w:bCs w:val="1"/>
          <w:color w:val="auto"/>
        </w:rPr>
        <w:t>Payment of Obligations</w:t>
      </w:r>
      <w:r>
        <w:rPr>
          <w:rFonts w:ascii="Times New Roman" w:cs="Times New Roman" w:eastAsia="Times New Roman" w:hAnsi="Times New Roman"/>
          <w:sz w:val="20"/>
          <w:szCs w:val="20"/>
          <w:color w:val="auto"/>
        </w:rPr>
        <w:t>. Pay and discharge as the same shall become due and payable, all its obligations and liabilities, including (a) all tax liabilities, assessments and governmental charges or levies upon it or its properties or assets, unless the same are being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contested in good faith by appropriate proceedings diligently conducted and adequate reserves in accordance with GAAP are being maintained by the Borrower or such Subsidiary; (b) all lawful claims which, if unpaid, would by law become a Lien upon its property; and</w:t>
      </w:r>
    </w:p>
    <w:p>
      <w:pPr>
        <w:spacing w:after="0" w:line="1" w:lineRule="exact"/>
        <w:rPr>
          <w:sz w:val="20"/>
          <w:szCs w:val="20"/>
          <w:color w:val="auto"/>
        </w:rPr>
      </w:pPr>
    </w:p>
    <w:p>
      <w:pPr>
        <w:ind w:firstLine="8"/>
        <w:spacing w:after="0" w:line="228" w:lineRule="auto"/>
        <w:tabs>
          <w:tab w:leader="none" w:pos="29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as and when due and payable, but subject to any subordination provisions contained in any instrument or agreement evidencing such Indebtedness.</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6.05</w:t>
      </w:r>
      <w:r>
        <w:rPr>
          <w:sz w:val="20"/>
          <w:szCs w:val="20"/>
          <w:color w:val="auto"/>
        </w:rPr>
        <w:tab/>
      </w:r>
      <w:r>
        <w:rPr>
          <w:rFonts w:ascii="Times New Roman" w:cs="Times New Roman" w:eastAsia="Times New Roman" w:hAnsi="Times New Roman"/>
          <w:sz w:val="19"/>
          <w:szCs w:val="19"/>
          <w:b w:val="1"/>
          <w:bCs w:val="1"/>
          <w:color w:val="auto"/>
        </w:rPr>
        <w:t>Preservation of Existence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Etc</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firstLine="656"/>
        <w:spacing w:after="0"/>
        <w:tabs>
          <w:tab w:leader="none" w:pos="128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20"/>
          <w:szCs w:val="20"/>
          <w:b w:val="1"/>
          <w:bCs w:val="1"/>
          <w:i w:val="1"/>
          <w:iCs w:val="1"/>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7.05</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or renew all of its registered patents, trademarks, trade names and service marks, the non-preservation of which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6.06</w:t>
      </w:r>
      <w:r>
        <w:rPr>
          <w:sz w:val="20"/>
          <w:szCs w:val="20"/>
          <w:color w:val="auto"/>
        </w:rPr>
        <w:tab/>
      </w:r>
      <w:r>
        <w:rPr>
          <w:rFonts w:ascii="Times New Roman" w:cs="Times New Roman" w:eastAsia="Times New Roman" w:hAnsi="Times New Roman"/>
          <w:sz w:val="19"/>
          <w:szCs w:val="19"/>
          <w:b w:val="1"/>
          <w:bCs w:val="1"/>
          <w:color w:val="auto"/>
        </w:rPr>
        <w:t>Maintenance of Properties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firstLine="656"/>
        <w:spacing w:after="0" w:line="233" w:lineRule="auto"/>
        <w:tabs>
          <w:tab w:leader="none" w:pos="128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excepted;</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necessary repairs thereto and renewals and replacements thereof except where the failure to do so could not reasonably be expected to have a Material Adverse Effect; and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standard of care typical in the industry in the operation and maintenance of its facilities.</w:t>
      </w:r>
    </w:p>
    <w:p>
      <w:pPr>
        <w:spacing w:after="0" w:line="17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6.07</w:t>
      </w:r>
      <w:r>
        <w:rPr>
          <w:sz w:val="20"/>
          <w:szCs w:val="20"/>
          <w:color w:val="auto"/>
        </w:rPr>
        <w:tab/>
      </w:r>
      <w:r>
        <w:rPr>
          <w:rFonts w:ascii="Times New Roman" w:cs="Times New Roman" w:eastAsia="Times New Roman" w:hAnsi="Times New Roman"/>
          <w:sz w:val="20"/>
          <w:szCs w:val="20"/>
          <w:b w:val="1"/>
          <w:bCs w:val="1"/>
          <w:color w:val="auto"/>
        </w:rPr>
        <w:t>Maintenance of Insurance</w:t>
      </w:r>
      <w:r>
        <w:rPr>
          <w:rFonts w:ascii="Times New Roman" w:cs="Times New Roman" w:eastAsia="Times New Roman" w:hAnsi="Times New Roman"/>
          <w:sz w:val="20"/>
          <w:szCs w:val="20"/>
          <w:color w:val="auto"/>
        </w:rPr>
        <w:t>. Maintain with financially sound and reputable insurance companies not Affiliates of the</w:t>
      </w:r>
    </w:p>
    <w:p>
      <w:pPr>
        <w:spacing w:after="0" w:line="204" w:lineRule="auto"/>
        <w:rPr>
          <w:sz w:val="20"/>
          <w:szCs w:val="20"/>
          <w:color w:val="auto"/>
        </w:rPr>
      </w:pPr>
      <w:r>
        <w:rPr>
          <w:rFonts w:ascii="Times New Roman" w:cs="Times New Roman" w:eastAsia="Times New Roman" w:hAnsi="Times New Roman"/>
          <w:sz w:val="20"/>
          <w:szCs w:val="20"/>
          <w:color w:val="auto"/>
        </w:rPr>
        <w:t>Borrower, insurance with respect to its properties and business against loss or damage of the kinds customarily insured against by Persons engaged in the same or similar business, of such types and in such amounts as are customarily carried under similar circumstances by such</w:t>
      </w:r>
    </w:p>
    <w:p>
      <w:pPr>
        <w:spacing w:after="0" w:line="223" w:lineRule="auto"/>
        <w:rPr>
          <w:sz w:val="20"/>
          <w:szCs w:val="20"/>
          <w:color w:val="auto"/>
        </w:rPr>
      </w:pPr>
      <w:r>
        <w:rPr>
          <w:rFonts w:ascii="Times New Roman" w:cs="Times New Roman" w:eastAsia="Times New Roman" w:hAnsi="Times New Roman"/>
          <w:sz w:val="19"/>
          <w:szCs w:val="19"/>
          <w:color w:val="auto"/>
        </w:rPr>
        <w:t>other Persons and all such insurance shall (i) provide for not less than 30 days’ prior notice to the Administrative Agent of termination, lapse</w:t>
      </w:r>
    </w:p>
    <w:p>
      <w:pPr>
        <w:jc w:val="both"/>
        <w:spacing w:after="0" w:line="204" w:lineRule="auto"/>
        <w:rPr>
          <w:sz w:val="20"/>
          <w:szCs w:val="20"/>
          <w:color w:val="auto"/>
        </w:rPr>
      </w:pPr>
      <w:r>
        <w:rPr>
          <w:rFonts w:ascii="Times New Roman" w:cs="Times New Roman" w:eastAsia="Times New Roman" w:hAnsi="Times New Roman"/>
          <w:sz w:val="20"/>
          <w:szCs w:val="20"/>
          <w:color w:val="auto"/>
        </w:rPr>
        <w:t>or cancellation of such insurance, (ii) name the Administrative Agent as additional insured on behalf of the Secured Parties (in the case of liability insurance) or loss payee (in the case of property insurance), as applicable, (iii) if reasonably requested by the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 a breach of warranty clause and (iv) be reasonably satisfactory in all other respects to the Administrative Agent.</w:t>
      </w:r>
    </w:p>
    <w:p>
      <w:pPr>
        <w:spacing w:after="0" w:line="163"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color w:val="auto"/>
        </w:rPr>
        <w:t xml:space="preserve">6.08 </w:t>
      </w:r>
      <w:r>
        <w:rPr>
          <w:rFonts w:ascii="Times New Roman" w:cs="Times New Roman" w:eastAsia="Times New Roman" w:hAnsi="Times New Roman"/>
          <w:sz w:val="20"/>
          <w:szCs w:val="20"/>
          <w:b w:val="1"/>
          <w:bCs w:val="1"/>
          <w:color w:val="auto"/>
        </w:rPr>
        <w:t>Compliance with Laws</w:t>
      </w:r>
      <w:r>
        <w:rPr>
          <w:rFonts w:ascii="Times New Roman" w:cs="Times New Roman" w:eastAsia="Times New Roman" w:hAnsi="Times New Roman"/>
          <w:sz w:val="20"/>
          <w:szCs w:val="20"/>
          <w:color w:val="auto"/>
        </w:rPr>
        <w:t>. Comply with the requirements of all Applicable Laws and all orders, writs, injunctions and decrees applicable to it or to its business or property, except in such instances in which (a) such requirement of Law or order, writ, injunction or</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decree is being contested in good faith by appropriate proceedings diligently conducted; or (b) the failure to comply therewith could not reasonably be expected to have a Material Adverse Effect.</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6.09</w:t>
      </w:r>
      <w:r>
        <w:rPr>
          <w:sz w:val="20"/>
          <w:szCs w:val="20"/>
          <w:color w:val="auto"/>
        </w:rPr>
        <w:tab/>
      </w:r>
      <w:r>
        <w:rPr>
          <w:rFonts w:ascii="Times New Roman" w:cs="Times New Roman" w:eastAsia="Times New Roman" w:hAnsi="Times New Roman"/>
          <w:sz w:val="19"/>
          <w:szCs w:val="19"/>
          <w:b w:val="1"/>
          <w:bCs w:val="1"/>
          <w:color w:val="auto"/>
        </w:rPr>
        <w:t>Books and Records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26" w:lineRule="auto"/>
        <w:tabs>
          <w:tab w:leader="none" w:pos="128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spacing w:after="0" w:line="160"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such books of record and account in material conformity with all applicable requirements of any Governmental Authority having regulatory jurisdiction over Borrower or such Subsidiary,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20"/>
          <w:szCs w:val="20"/>
          <w:b w:val="1"/>
          <w:bCs w:val="1"/>
          <w:color w:val="auto"/>
        </w:rPr>
        <w:t>Inspection Rights</w:t>
      </w:r>
      <w:r>
        <w:rPr>
          <w:rFonts w:ascii="Times New Roman" w:cs="Times New Roman" w:eastAsia="Times New Roman" w:hAnsi="Times New Roman"/>
          <w:sz w:val="20"/>
          <w:szCs w:val="20"/>
          <w:color w:val="auto"/>
        </w:rPr>
        <w:t>. Permit representatives and independent contractors of the Administrative Agent and each Lender to visit</w:t>
      </w:r>
    </w:p>
    <w:p>
      <w:pPr>
        <w:spacing w:after="0" w:line="204" w:lineRule="auto"/>
        <w:rPr>
          <w:sz w:val="20"/>
          <w:szCs w:val="20"/>
          <w:color w:val="auto"/>
        </w:rPr>
      </w:pPr>
      <w:r>
        <w:rPr>
          <w:rFonts w:ascii="Times New Roman" w:cs="Times New Roman" w:eastAsia="Times New Roman" w:hAnsi="Times New Roman"/>
          <w:sz w:val="20"/>
          <w:szCs w:val="20"/>
          <w:color w:val="auto"/>
        </w:rPr>
        <w:t>and inspect any of its properties, to examine its corporate, financial and operating records, and make copies thereof or abstracts therefrom, and to discuss its affairs, finances and accounts with its directors, officers, and independent public accountants, all at the expense of the</w:t>
      </w:r>
    </w:p>
    <w:p>
      <w:pPr>
        <w:spacing w:after="0" w:line="211" w:lineRule="auto"/>
        <w:rPr>
          <w:sz w:val="20"/>
          <w:szCs w:val="20"/>
          <w:color w:val="auto"/>
        </w:rPr>
      </w:pPr>
      <w:r>
        <w:rPr>
          <w:rFonts w:ascii="Times New Roman" w:cs="Times New Roman" w:eastAsia="Times New Roman" w:hAnsi="Times New Roman"/>
          <w:sz w:val="20"/>
          <w:szCs w:val="20"/>
          <w:color w:val="auto"/>
        </w:rPr>
        <w:t>Borrower and at such reasonable times during normal business hours and as often as may be reasonably desired, upon reasonable advance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notice to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when an Event of Default exists the Administrative Agent or any Lender (or any of their respective representatives or independent contractors) may do any of the foregoing at the expense of the Borrower at any time during normal</w:t>
      </w:r>
    </w:p>
    <w:p>
      <w:pPr>
        <w:spacing w:after="0"/>
        <w:rPr>
          <w:sz w:val="20"/>
          <w:szCs w:val="20"/>
          <w:color w:val="auto"/>
        </w:rPr>
      </w:pPr>
      <w:r>
        <w:rPr>
          <w:rFonts w:ascii="Times New Roman" w:cs="Times New Roman" w:eastAsia="Times New Roman" w:hAnsi="Times New Roman"/>
          <w:sz w:val="20"/>
          <w:szCs w:val="20"/>
          <w:color w:val="auto"/>
        </w:rPr>
        <w:t>business hours and without advance notice.</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b w:val="1"/>
          <w:bCs w:val="1"/>
          <w:color w:val="auto"/>
        </w:rPr>
        <w:t>Use of Proceeds</w:t>
      </w:r>
      <w:r>
        <w:rPr>
          <w:rFonts w:ascii="Times New Roman" w:cs="Times New Roman" w:eastAsia="Times New Roman" w:hAnsi="Times New Roman"/>
          <w:sz w:val="20"/>
          <w:szCs w:val="20"/>
          <w:color w:val="auto"/>
        </w:rPr>
        <w:t>. Use the proceeds of the Credit Extensions for general corporate purposes not in contravention of any Law or of any Loan Document.</w:t>
      </w:r>
    </w:p>
    <w:p>
      <w:pPr>
        <w:spacing w:after="0" w:line="15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b w:val="1"/>
          <w:bCs w:val="1"/>
          <w:color w:val="auto"/>
        </w:rPr>
        <w:t>Covenant to Guarantee Obligations</w:t>
      </w:r>
      <w:r>
        <w:rPr>
          <w:rFonts w:ascii="Times New Roman" w:cs="Times New Roman" w:eastAsia="Times New Roman" w:hAnsi="Times New Roman"/>
          <w:sz w:val="20"/>
          <w:szCs w:val="20"/>
          <w:color w:val="auto"/>
        </w:rPr>
        <w:t>. The Loan Parties will cause each of their Subsidiaries (other than any CFC or Subsidiary that is held directly or indirectly by a CFC) whether newly formed, after acquired or otherwise existing to promptly (and in any</w:t>
      </w:r>
    </w:p>
    <w:p>
      <w:pPr>
        <w:spacing w:after="0" w:line="213" w:lineRule="auto"/>
        <w:rPr>
          <w:sz w:val="20"/>
          <w:szCs w:val="20"/>
          <w:color w:val="auto"/>
        </w:rPr>
      </w:pPr>
      <w:r>
        <w:rPr>
          <w:rFonts w:ascii="Times New Roman" w:cs="Times New Roman" w:eastAsia="Times New Roman" w:hAnsi="Times New Roman"/>
          <w:sz w:val="20"/>
          <w:szCs w:val="20"/>
          <w:color w:val="auto"/>
        </w:rPr>
        <w:t>event within 30 days after such Subsidiary is formed or acquired (or such longer period of time as agreed to by the Administrative Agent in</w:t>
      </w:r>
    </w:p>
    <w:p>
      <w:pPr>
        <w:spacing w:after="0" w:line="204" w:lineRule="auto"/>
        <w:rPr>
          <w:sz w:val="20"/>
          <w:szCs w:val="20"/>
          <w:color w:val="auto"/>
        </w:rPr>
      </w:pPr>
      <w:r>
        <w:rPr>
          <w:rFonts w:ascii="Times New Roman" w:cs="Times New Roman" w:eastAsia="Times New Roman" w:hAnsi="Times New Roman"/>
          <w:sz w:val="20"/>
          <w:szCs w:val="20"/>
          <w:color w:val="auto"/>
        </w:rPr>
        <w:t>its reasonable discretion)) become a Guarantor hereunder by way of execution of a Joinder Agreement; provided, however, no Foreign Subsidiary shall be required to become a Guarantor to the extent such Guaranty would result in a material adverse tax consequence for the</w:t>
      </w:r>
    </w:p>
    <w:p>
      <w:pPr>
        <w:spacing w:after="0" w:line="211" w:lineRule="auto"/>
        <w:rPr>
          <w:sz w:val="20"/>
          <w:szCs w:val="20"/>
          <w:color w:val="auto"/>
        </w:rPr>
      </w:pPr>
      <w:r>
        <w:rPr>
          <w:rFonts w:ascii="Times New Roman" w:cs="Times New Roman" w:eastAsia="Times New Roman" w:hAnsi="Times New Roman"/>
          <w:sz w:val="20"/>
          <w:szCs w:val="20"/>
          <w:color w:val="auto"/>
        </w:rPr>
        <w:t>Borrower. In connection therewith, the Loan Parties shall give notice to the Administrative Agent not less than 10 days prior to creating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Subsidiary (or such shorter period of time as agreed to by the Administrative Agent in its reasonable discretion), or acquiring the Equity Interests of any other Person. In connection with the foregoing, the Loan Parties shall deliver to the Administrative Agent, with respect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each new Guarantor to the extent applicable, substantially the same documentation required pursuant to </w:t>
      </w:r>
      <w:r>
        <w:rPr>
          <w:rFonts w:ascii="Times New Roman" w:cs="Times New Roman" w:eastAsia="Times New Roman" w:hAnsi="Times New Roman"/>
          <w:sz w:val="20"/>
          <w:szCs w:val="20"/>
          <w:b w:val="1"/>
          <w:bCs w:val="1"/>
          <w:i w:val="1"/>
          <w:iCs w:val="1"/>
          <w:color w:val="auto"/>
        </w:rPr>
        <w:t>Sections 4.01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6.14</w:t>
      </w:r>
      <w:r>
        <w:rPr>
          <w:rFonts w:ascii="Times New Roman" w:cs="Times New Roman" w:eastAsia="Times New Roman" w:hAnsi="Times New Roman"/>
          <w:sz w:val="20"/>
          <w:szCs w:val="20"/>
          <w:color w:val="auto"/>
        </w:rPr>
        <w:t xml:space="preserve"> and such other documents or agreements as the Administrative Agent may reasonably request, including without limitation, updated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Schedules 1.01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5.10</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5.12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5.20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5.20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5.21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b w:val="1"/>
          <w:bCs w:val="1"/>
          <w:color w:val="auto"/>
        </w:rPr>
        <w:t>Covenant to Give Security</w:t>
      </w:r>
      <w:r>
        <w:rPr>
          <w:rFonts w:ascii="Times New Roman" w:cs="Times New Roman" w:eastAsia="Times New Roman" w:hAnsi="Times New Roman"/>
          <w:sz w:val="19"/>
          <w:szCs w:val="19"/>
          <w:color w:val="auto"/>
        </w:rPr>
        <w:t>. Except with respect to Excluded Property:</w:t>
      </w:r>
    </w:p>
    <w:p>
      <w:pPr>
        <w:spacing w:after="0" w:line="175" w:lineRule="exact"/>
        <w:rPr>
          <w:sz w:val="20"/>
          <w:szCs w:val="20"/>
          <w:color w:val="auto"/>
        </w:rPr>
      </w:pPr>
    </w:p>
    <w:p>
      <w:pPr>
        <w:jc w:val="both"/>
        <w:ind w:firstLine="656"/>
        <w:spacing w:after="0" w:line="220" w:lineRule="auto"/>
        <w:tabs>
          <w:tab w:leader="none" w:pos="128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Equity Interests and Personal Property</w:t>
      </w:r>
      <w:r>
        <w:rPr>
          <w:rFonts w:ascii="Times New Roman" w:cs="Times New Roman" w:eastAsia="Times New Roman" w:hAnsi="Times New Roman"/>
          <w:sz w:val="20"/>
          <w:szCs w:val="20"/>
          <w:color w:val="auto"/>
        </w:rPr>
        <w:t>. Each Loan Party will cause the Pledged Equity to be subject at all times to a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priority, perfected Lien (subject to Permitted Liens to the extent permitted by the Loan Documents) in favor of the Administrative Agent for the benefit of the Secured Parties to secure the Secured Obligations pursuant to the terms and conditions of the Collateral Documents. Each Loan Party shall provide opinions of counsel and any filings and deliveries reasonably necessary in connection therewith to perfect the security interests therein, all in form and substance reasonably satisfactory to the Administrative Agent.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right="20" w:firstLine="656"/>
        <w:spacing w:after="0" w:line="245" w:lineRule="auto"/>
        <w:tabs>
          <w:tab w:leader="none" w:pos="128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Updated Schedules</w:t>
      </w:r>
      <w:r>
        <w:rPr>
          <w:rFonts w:ascii="Times New Roman" w:cs="Times New Roman" w:eastAsia="Times New Roman" w:hAnsi="Times New Roman"/>
          <w:sz w:val="20"/>
          <w:szCs w:val="20"/>
          <w:color w:val="auto"/>
        </w:rPr>
        <w:t>. Concurrently with the delivery of any Collateral pursuant to the terms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6.14</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shall provide the Administrative Agent with the applicable updated </w:t>
      </w:r>
      <w:r>
        <w:rPr>
          <w:rFonts w:ascii="Times New Roman" w:cs="Times New Roman" w:eastAsia="Times New Roman" w:hAnsi="Times New Roman"/>
          <w:sz w:val="20"/>
          <w:szCs w:val="20"/>
          <w:b w:val="1"/>
          <w:bCs w:val="1"/>
          <w:i w:val="1"/>
          <w:iCs w:val="1"/>
          <w:color w:val="auto"/>
        </w:rPr>
        <w:t>Schedule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5.21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Further Assurances</w:t>
      </w:r>
      <w:r>
        <w:rPr>
          <w:rFonts w:ascii="Times New Roman" w:cs="Times New Roman" w:eastAsia="Times New Roman" w:hAnsi="Times New Roman"/>
          <w:sz w:val="20"/>
          <w:szCs w:val="20"/>
          <w:color w:val="auto"/>
        </w:rPr>
        <w:t>. At any time upon request of the Administrative Agent, promptly execute and deliver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further instruments and documents and take all such other action (including promptly completing any registration or stamping of documents as may be applicable) as the Administrative Agent may deem necessary or desirable to maintain in favor of the Administrative Agent, for the benefit of the Secured Parties, Liens and insurance rights on the Collateral that are duly perfected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accordance with the requirements of, or the obligations of the Loan Parties under, the Loan Documents and all Applicable Laws.</w:t>
      </w:r>
    </w:p>
    <w:p>
      <w:pPr>
        <w:spacing w:after="0" w:line="185"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6.15 </w:t>
      </w:r>
      <w:r>
        <w:rPr>
          <w:rFonts w:ascii="Times New Roman" w:cs="Times New Roman" w:eastAsia="Times New Roman" w:hAnsi="Times New Roman"/>
          <w:sz w:val="19"/>
          <w:szCs w:val="19"/>
          <w:b w:val="1"/>
          <w:bCs w:val="1"/>
          <w:color w:val="auto"/>
        </w:rPr>
        <w:t>Cash Management</w:t>
      </w:r>
      <w:r>
        <w:rPr>
          <w:rFonts w:ascii="Times New Roman" w:cs="Times New Roman" w:eastAsia="Times New Roman" w:hAnsi="Times New Roman"/>
          <w:sz w:val="19"/>
          <w:szCs w:val="19"/>
          <w:color w:val="auto"/>
        </w:rPr>
        <w:t>. Maintain all primary cash management and treasury business with Bank of America, including, without limitation, all deposit accounts, disbursement accounts, investment accounts and lockbox accounts. For avoidance of doubt, Borrower and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may maintain transactional accounts at other financial institutions.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b w:val="1"/>
          <w:bCs w:val="1"/>
          <w:color w:val="auto"/>
        </w:rPr>
        <w:t>Anti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Corruption Laws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Conduct its business in compliance in all material respects with the United States Foreign Corrupt Practices Act of 1977, the UK Bribery Act 2010 and other applicable anti-corruption legislation in other jurisdictions and with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Sanctions, and maintain policies and procedures designed to promote and achieve compliance with such laws and Sanctions.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b w:val="1"/>
          <w:bCs w:val="1"/>
          <w:color w:val="auto"/>
        </w:rPr>
        <w:t>Specified Cash Collateral Trigger Event</w:t>
      </w:r>
      <w:r>
        <w:rPr>
          <w:rFonts w:ascii="Times New Roman" w:cs="Times New Roman" w:eastAsia="Times New Roman" w:hAnsi="Times New Roman"/>
          <w:sz w:val="20"/>
          <w:szCs w:val="20"/>
          <w:color w:val="auto"/>
        </w:rPr>
        <w:t>. Prior to the last day of the Specified Cash Collateral Trigger Event Standstill Period, either (a) deliver to the Administrative Agent a written certification by a Responsible Officer of the Borrower accompanied by</w:t>
      </w:r>
    </w:p>
    <w:p>
      <w:pPr>
        <w:spacing w:after="0" w:line="213" w:lineRule="auto"/>
        <w:rPr>
          <w:sz w:val="20"/>
          <w:szCs w:val="20"/>
          <w:color w:val="auto"/>
        </w:rPr>
      </w:pPr>
      <w:r>
        <w:rPr>
          <w:rFonts w:ascii="Times New Roman" w:cs="Times New Roman" w:eastAsia="Times New Roman" w:hAnsi="Times New Roman"/>
          <w:sz w:val="20"/>
          <w:szCs w:val="20"/>
          <w:color w:val="auto"/>
        </w:rPr>
        <w:t>documentation or other support therefor reasonably acceptable to the Administrative Agent that the Borrower reasonably and in good faith</w:t>
      </w:r>
    </w:p>
    <w:p>
      <w:pPr>
        <w:spacing w:after="0" w:line="204" w:lineRule="auto"/>
        <w:rPr>
          <w:sz w:val="20"/>
          <w:szCs w:val="20"/>
          <w:color w:val="auto"/>
        </w:rPr>
      </w:pPr>
      <w:r>
        <w:rPr>
          <w:rFonts w:ascii="Times New Roman" w:cs="Times New Roman" w:eastAsia="Times New Roman" w:hAnsi="Times New Roman"/>
          <w:sz w:val="20"/>
          <w:szCs w:val="20"/>
          <w:color w:val="auto"/>
        </w:rPr>
        <w:t>has determined that the underlying disputes or claims asserted which gave rise to such Specified Cash Collateral Trigger Event have been settled or resolved and the Borrower has commenced corrective actions according to such settlement or resolution, or (b) Cash Collateralize</w:t>
      </w:r>
    </w:p>
    <w:p>
      <w:pPr>
        <w:spacing w:after="0" w:line="211" w:lineRule="auto"/>
        <w:rPr>
          <w:sz w:val="20"/>
          <w:szCs w:val="20"/>
          <w:color w:val="auto"/>
        </w:rPr>
      </w:pPr>
      <w:r>
        <w:rPr>
          <w:rFonts w:ascii="Times New Roman" w:cs="Times New Roman" w:eastAsia="Times New Roman" w:hAnsi="Times New Roman"/>
          <w:sz w:val="20"/>
          <w:szCs w:val="20"/>
          <w:color w:val="auto"/>
        </w:rPr>
        <w:t>the Obligations and thereafter maintain such Cash Collateral with the Administrative Agent for so long as the applicable Specified Cash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Collateral Trigger Event is continuing in an amount agreed to in writing by the Borrower and the Administrative Agent (as such amount may from time to time thereafter be adjusted as agreed to in writing by the Borrower and the Administrative Agent).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VII.</w:t>
      </w:r>
      <w:r>
        <w:rPr>
          <w:sz w:val="20"/>
          <w:szCs w:val="20"/>
          <w:color w:val="auto"/>
        </w:rPr>
        <w:tab/>
      </w:r>
      <w:r>
        <w:rPr>
          <w:rFonts w:ascii="Times New Roman" w:cs="Times New Roman" w:eastAsia="Times New Roman" w:hAnsi="Times New Roman"/>
          <w:sz w:val="19"/>
          <w:szCs w:val="19"/>
          <w:b w:val="1"/>
          <w:bCs w:val="1"/>
          <w:color w:val="auto"/>
        </w:rPr>
        <w:t>NEGATIVE COVENANTS</w:t>
      </w:r>
      <w:r>
        <w:rPr>
          <w:rFonts w:ascii="Times New Roman" w:cs="Times New Roman" w:eastAsia="Times New Roman" w:hAnsi="Times New Roman"/>
          <w:sz w:val="19"/>
          <w:szCs w:val="19"/>
          <w:color w:val="auto"/>
        </w:rPr>
        <w:t>. Each of the Loan Parties hereby covenants and agrees that on the Closing Date and thereafter until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Termination Date, no Loan Party shall, nor shall it permit any Subsidiary to, directly or indirectly:</w:t>
      </w:r>
    </w:p>
    <w:p>
      <w:pPr>
        <w:spacing w:after="0" w:line="14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7.01 </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Create, incur, assume or suffer to exist any Lien upon any of its property, assets or revenues, whether now owned or hereafter acquired, except for the following (the “</w:t>
      </w:r>
      <w:r>
        <w:rPr>
          <w:rFonts w:ascii="Times New Roman" w:cs="Times New Roman" w:eastAsia="Times New Roman" w:hAnsi="Times New Roman"/>
          <w:sz w:val="20"/>
          <w:szCs w:val="20"/>
          <w:b w:val="1"/>
          <w:bCs w:val="1"/>
          <w:i w:val="1"/>
          <w:iCs w:val="1"/>
          <w:color w:val="auto"/>
        </w:rPr>
        <w:t>Permitted Liens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184"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listed on </w:t>
      </w:r>
      <w:r>
        <w:rPr>
          <w:rFonts w:ascii="Times New Roman" w:cs="Times New Roman" w:eastAsia="Times New Roman" w:hAnsi="Times New Roman"/>
          <w:sz w:val="20"/>
          <w:szCs w:val="20"/>
          <w:b w:val="1"/>
          <w:bCs w:val="1"/>
          <w:i w:val="1"/>
          <w:iCs w:val="1"/>
          <w:color w:val="auto"/>
        </w:rPr>
        <w:t>Schedule 7.01</w:t>
      </w:r>
      <w:r>
        <w:rPr>
          <w:rFonts w:ascii="Times New Roman" w:cs="Times New Roman" w:eastAsia="Times New Roman" w:hAnsi="Times New Roman"/>
          <w:sz w:val="20"/>
          <w:szCs w:val="20"/>
          <w:color w:val="auto"/>
        </w:rPr>
        <w:t xml:space="preserve"> and any renewals or extensions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20"/>
          <w:szCs w:val="20"/>
          <w:b w:val="1"/>
          <w:bCs w:val="1"/>
          <w:i w:val="1"/>
          <w:iCs w:val="1"/>
          <w:color w:val="auto"/>
        </w:rPr>
        <w:t>Section 7.02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(iii) the direct or any contingent obligor with respect thereto is not changed, and (iv) any renewal or extension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obligations secured or benefited thereby is permitted by </w:t>
      </w:r>
      <w:r>
        <w:rPr>
          <w:rFonts w:ascii="Times New Roman" w:cs="Times New Roman" w:eastAsia="Times New Roman" w:hAnsi="Times New Roman"/>
          <w:sz w:val="20"/>
          <w:szCs w:val="20"/>
          <w:b w:val="1"/>
          <w:bCs w:val="1"/>
          <w:i w:val="1"/>
          <w:iCs w:val="1"/>
          <w:color w:val="auto"/>
        </w:rPr>
        <w:t>Section 7.02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656"/>
        <w:spacing w:after="0" w:line="233" w:lineRule="auto"/>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Statutory Liens such as carriers’, warehousemen’s, mechanics’, materialmen’s, repairmen’s or other like Liens arising in the ordinary course of business which are not overdue for a period of more than 30 days or which are being contested in good faith and by appropriate proceedings diligently conducted;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applicable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firstLine="642"/>
        <w:spacing w:after="0"/>
        <w:tabs>
          <w:tab w:leader="none" w:pos="130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(or appeal or other surety bonds relating to such judgments but not Surety Bonds as defined under, and used in, this Agreement) not constituting an Event of Default under </w:t>
      </w:r>
      <w:r>
        <w:rPr>
          <w:rFonts w:ascii="Times New Roman" w:cs="Times New Roman" w:eastAsia="Times New Roman" w:hAnsi="Times New Roman"/>
          <w:sz w:val="20"/>
          <w:szCs w:val="20"/>
          <w:b w:val="1"/>
          <w:bCs w:val="1"/>
          <w:i w:val="1"/>
          <w:iCs w:val="1"/>
          <w:color w:val="auto"/>
        </w:rPr>
        <w:t>Section 8.01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jc w:val="both"/>
        <w:ind w:firstLine="656"/>
        <w:spacing w:after="0" w:line="227" w:lineRule="auto"/>
        <w:tabs>
          <w:tab w:leader="none" w:pos="129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b w:val="1"/>
          <w:bCs w:val="1"/>
          <w:i w:val="1"/>
          <w:iCs w:val="1"/>
          <w:color w:val="auto"/>
        </w:rPr>
        <w:t>Section 7.02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bankers’ Liens, rights of setoff and other similar Liens existing solely with respect to cash and Cash Equivalents on deposit in one or more accounts maintained by the Borrower or any of its Subsidiaries with any Lender, in each case in the ordinary course of business in favor of the bank or banks with which such accounts are maintained, securing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the customary amounts owing to such bank with respect to cash management and operating account arrangements;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no case shall any such Liens secure (either directly or indirectly) the repayment of any Indebtedness;</w:t>
      </w:r>
    </w:p>
    <w:p>
      <w:pPr>
        <w:spacing w:after="0" w:line="143"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out of judgments or awards not resulting in an Event of Default;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the applicable Loan Party or Subsidiary shall in good faith be prosecuting an appeal or proceedings for review;</w:t>
      </w:r>
    </w:p>
    <w:p>
      <w:pPr>
        <w:spacing w:after="0" w:line="141"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licensor or sublessor under any lease, license or sublease entered into by any Loan Party or any Subsidiary thereof in the ordinary course of business and covering only the assets so leased, licensed or subleased;</w:t>
      </w:r>
    </w:p>
    <w:p>
      <w:pPr>
        <w:spacing w:after="0" w:line="15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 and</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w:t>
      </w:r>
      <w:r>
        <w:rPr>
          <w:rFonts w:ascii="Times New Roman" w:cs="Times New Roman" w:eastAsia="Times New Roman" w:hAnsi="Times New Roman"/>
          <w:sz w:val="20"/>
          <w:szCs w:val="20"/>
          <w:i w:val="1"/>
          <w:iCs w:val="1"/>
          <w:color w:val="auto"/>
        </w:rPr>
        <w:t>not to exceed</w:t>
      </w:r>
      <w:r>
        <w:rPr>
          <w:rFonts w:ascii="Times New Roman" w:cs="Times New Roman" w:eastAsia="Times New Roman" w:hAnsi="Times New Roman"/>
          <w:sz w:val="20"/>
          <w:szCs w:val="20"/>
          <w:color w:val="auto"/>
        </w:rPr>
        <w:t xml:space="preserve"> $500,000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Lien shall extend to or cover any Collateral.</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7.02</w:t>
      </w:r>
      <w:r>
        <w:rPr>
          <w:sz w:val="20"/>
          <w:szCs w:val="20"/>
          <w:color w:val="auto"/>
        </w:rPr>
        <w:tab/>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Create, incur, assume or suffer to exist any Indebtedness, except (without duplication):</w:t>
      </w:r>
    </w:p>
    <w:p>
      <w:pPr>
        <w:spacing w:after="0" w:line="193"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171"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b w:val="1"/>
          <w:bCs w:val="1"/>
          <w:i w:val="1"/>
          <w:iCs w:val="1"/>
          <w:color w:val="auto"/>
        </w:rPr>
        <w:t>Schedule 7.02</w:t>
      </w:r>
      <w:r>
        <w:rPr>
          <w:rFonts w:ascii="Times New Roman" w:cs="Times New Roman" w:eastAsia="Times New Roman" w:hAnsi="Times New Roman"/>
          <w:sz w:val="20"/>
          <w:szCs w:val="20"/>
          <w:color w:val="auto"/>
        </w:rPr>
        <w:t xml:space="preserve"> and any refinancings, refundings, renewals or extensions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connection with such refinancing and by an amount equal to any existing commitments unutilized thereunder and the direct or any contingent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obligor with respect thereto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changed, as a result of or in connection with such refinancing, refunding, renewal or extension;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further </w:t>
      </w:r>
      <w:r>
        <w:rPr>
          <w:rFonts w:ascii="Times New Roman" w:cs="Times New Roman" w:eastAsia="Times New Roman" w:hAnsi="Times New Roman"/>
          <w:sz w:val="20"/>
          <w:szCs w:val="20"/>
          <w:color w:val="auto"/>
        </w:rPr>
        <w:t>that, Indebtedness subordinated to the Obligations may not be refinanced except on subordination terms at least as favorable to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Lenders and no more restrictive on Borrower than the subordinated Indebtedness being refinanced, and in an amount not less than the amount outstanding at the time of such refinancing;</w:t>
      </w:r>
    </w:p>
    <w:p>
      <w:pPr>
        <w:spacing w:after="0" w:line="149" w:lineRule="exact"/>
        <w:rPr>
          <w:sz w:val="20"/>
          <w:szCs w:val="20"/>
          <w:color w:val="auto"/>
        </w:rPr>
      </w:pPr>
    </w:p>
    <w:p>
      <w:pPr>
        <w:jc w:val="both"/>
        <w:ind w:firstLine="656"/>
        <w:spacing w:after="0" w:line="230" w:lineRule="auto"/>
        <w:tabs>
          <w:tab w:leader="none" w:pos="128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Financing Leases, Synthetic Lease Obligations and purchase money obligations for fixed or capital assets within the limitations set forth in </w:t>
      </w:r>
      <w:r>
        <w:rPr>
          <w:rFonts w:ascii="Times New Roman" w:cs="Times New Roman" w:eastAsia="Times New Roman" w:hAnsi="Times New Roman"/>
          <w:sz w:val="20"/>
          <w:szCs w:val="20"/>
          <w:b w:val="1"/>
          <w:bCs w:val="1"/>
          <w:i w:val="1"/>
          <w:iCs w:val="1"/>
          <w:color w:val="auto"/>
        </w:rPr>
        <w:t>Section 7.01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aggregate amount of all such Indebtedness at any one time outstanding shall </w:t>
      </w:r>
      <w:r>
        <w:rPr>
          <w:rFonts w:ascii="Times New Roman" w:cs="Times New Roman" w:eastAsia="Times New Roman" w:hAnsi="Times New Roman"/>
          <w:sz w:val="20"/>
          <w:szCs w:val="20"/>
          <w:i w:val="1"/>
          <w:iCs w:val="1"/>
          <w:color w:val="auto"/>
        </w:rPr>
        <w:t>not exceed</w:t>
      </w:r>
      <w:r>
        <w:rPr>
          <w:rFonts w:ascii="Times New Roman" w:cs="Times New Roman" w:eastAsia="Times New Roman" w:hAnsi="Times New Roman"/>
          <w:sz w:val="20"/>
          <w:szCs w:val="20"/>
          <w:color w:val="auto"/>
        </w:rPr>
        <w:t xml:space="preserve"> $5,000,000;</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a Subsidiary of the Borrower owed to the Borrower or a Subsidiary of the Borrower, which Indebtedness shall be otherwise permitted under the provisions of </w:t>
      </w:r>
      <w:r>
        <w:rPr>
          <w:rFonts w:ascii="Times New Roman" w:cs="Times New Roman" w:eastAsia="Times New Roman" w:hAnsi="Times New Roman"/>
          <w:sz w:val="20"/>
          <w:szCs w:val="20"/>
          <w:b w:val="1"/>
          <w:bCs w:val="1"/>
          <w:i w:val="1"/>
          <w:iCs w:val="1"/>
          <w:color w:val="auto"/>
        </w:rPr>
        <w:t>Section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Intercompany Debt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of the Borrower or any Subsidiary in respect of Indebtedness otherwise permitted hereunder of the Borrower or any wholly-owned Subsidiary,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Foreign Subsidiaries shall not guaranty or otherwise provide credit support for any Indebtedness;</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(contingent or otherwise) existing or arising under any Swap Contract, provided that (i)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Bonds;</w:t>
      </w:r>
    </w:p>
    <w:p>
      <w:pPr>
        <w:spacing w:after="0" w:line="18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Powell UK Ltd. that does </w:t>
      </w:r>
      <w:r>
        <w:rPr>
          <w:rFonts w:ascii="Times New Roman" w:cs="Times New Roman" w:eastAsia="Times New Roman" w:hAnsi="Times New Roman"/>
          <w:sz w:val="20"/>
          <w:szCs w:val="20"/>
          <w:i w:val="1"/>
          <w:iCs w:val="1"/>
          <w:color w:val="auto"/>
        </w:rPr>
        <w:t>not exceed</w:t>
      </w:r>
      <w:r>
        <w:rPr>
          <w:rFonts w:ascii="Times New Roman" w:cs="Times New Roman" w:eastAsia="Times New Roman" w:hAnsi="Times New Roman"/>
          <w:sz w:val="20"/>
          <w:szCs w:val="20"/>
          <w:color w:val="auto"/>
        </w:rPr>
        <w:t xml:space="preserve"> £22,000,000;</w:t>
      </w:r>
    </w:p>
    <w:p>
      <w:pPr>
        <w:spacing w:after="0" w:line="179"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Guarantee by the Borrower of Indebtedness of Powell UK Ltd. so long as the maximum amount of such guarantee does </w:t>
      </w:r>
      <w:r>
        <w:rPr>
          <w:rFonts w:ascii="Times New Roman" w:cs="Times New Roman" w:eastAsia="Times New Roman" w:hAnsi="Times New Roman"/>
          <w:sz w:val="20"/>
          <w:szCs w:val="20"/>
          <w:i w:val="1"/>
          <w:iCs w:val="1"/>
          <w:color w:val="auto"/>
        </w:rPr>
        <w:t xml:space="preserve">not exceed </w:t>
      </w:r>
      <w:r>
        <w:rPr>
          <w:rFonts w:ascii="Times New Roman" w:cs="Times New Roman" w:eastAsia="Times New Roman" w:hAnsi="Times New Roman"/>
          <w:sz w:val="20"/>
          <w:szCs w:val="20"/>
          <w:color w:val="auto"/>
        </w:rPr>
        <w:t>£22,000,000 at any time;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evidenced by Surety Bonds;</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to insurance companies or their Affiliates incurred to finance premiums on policies provided by such insurance companies (and the amount thereof limited to such purpose) in the ordinary course of business; and</w:t>
      </w:r>
    </w:p>
    <w:p>
      <w:pPr>
        <w:spacing w:after="0" w:line="157" w:lineRule="exact"/>
        <w:rPr>
          <w:rFonts w:ascii="Times New Roman" w:cs="Times New Roman" w:eastAsia="Times New Roman" w:hAnsi="Times New Roman"/>
          <w:sz w:val="20"/>
          <w:szCs w:val="20"/>
          <w:color w:val="auto"/>
        </w:rPr>
      </w:pPr>
    </w:p>
    <w:p>
      <w:pPr>
        <w:ind w:firstLine="656"/>
        <w:spacing w:after="0" w:line="235" w:lineRule="auto"/>
        <w:tabs>
          <w:tab w:leader="none" w:pos="129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unsecured Indebtedness not contemplated by the above provisions in an aggregate principal amount </w:t>
      </w:r>
      <w:r>
        <w:rPr>
          <w:rFonts w:ascii="Times New Roman" w:cs="Times New Roman" w:eastAsia="Times New Roman" w:hAnsi="Times New Roman"/>
          <w:sz w:val="20"/>
          <w:szCs w:val="20"/>
          <w:i w:val="1"/>
          <w:iCs w:val="1"/>
          <w:color w:val="auto"/>
        </w:rPr>
        <w:t>not to exceed</w:t>
      </w:r>
      <w:r>
        <w:rPr>
          <w:rFonts w:ascii="Times New Roman" w:cs="Times New Roman" w:eastAsia="Times New Roman" w:hAnsi="Times New Roman"/>
          <w:sz w:val="20"/>
          <w:szCs w:val="20"/>
          <w:color w:val="auto"/>
        </w:rPr>
        <w:t xml:space="preserve"> $5,000,000 at any time outstanding.</w:t>
      </w:r>
    </w:p>
    <w:p>
      <w:pPr>
        <w:spacing w:after="0" w:line="15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19"/>
          <w:szCs w:val="19"/>
          <w:b w:val="1"/>
          <w:bCs w:val="1"/>
          <w:color w:val="auto"/>
        </w:rPr>
        <w:t>Investments</w:t>
      </w:r>
      <w:r>
        <w:rPr>
          <w:rFonts w:ascii="Times New Roman" w:cs="Times New Roman" w:eastAsia="Times New Roman" w:hAnsi="Times New Roman"/>
          <w:sz w:val="19"/>
          <w:szCs w:val="19"/>
          <w:color w:val="auto"/>
        </w:rPr>
        <w:t>. Make or hold any Investments, except:</w:t>
      </w:r>
    </w:p>
    <w:p>
      <w:pPr>
        <w:spacing w:after="0" w:line="193" w:lineRule="exact"/>
        <w:rPr>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the Borrower and its Subsidiaries in the form of cash or Cash Equivalents;</w:t>
      </w:r>
    </w:p>
    <w:p>
      <w:pPr>
        <w:spacing w:after="0" w:line="171"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advances to officers, directors and employees of the Borrower and Subsidiaries in an aggregate amount </w:t>
      </w:r>
      <w:r>
        <w:rPr>
          <w:rFonts w:ascii="Times New Roman" w:cs="Times New Roman" w:eastAsia="Times New Roman" w:hAnsi="Times New Roman"/>
          <w:sz w:val="20"/>
          <w:szCs w:val="20"/>
          <w:i w:val="1"/>
          <w:iCs w:val="1"/>
          <w:color w:val="auto"/>
        </w:rPr>
        <w:t>not to exceed</w:t>
      </w:r>
      <w:r>
        <w:rPr>
          <w:rFonts w:ascii="Times New Roman" w:cs="Times New Roman" w:eastAsia="Times New Roman" w:hAnsi="Times New Roman"/>
          <w:sz w:val="20"/>
          <w:szCs w:val="20"/>
          <w:color w:val="auto"/>
        </w:rPr>
        <w:t xml:space="preserve"> $250,000 at any time outstanding, for travel, entertainment, relocation and analogous ordinary business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firstLine="642"/>
        <w:spacing w:after="0" w:line="216" w:lineRule="auto"/>
        <w:tabs>
          <w:tab w:leader="none" w:pos="130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by the Borrower and its Subsidiaries in their respective Subsidiaries outstanding on the date hereof, (ii) additional Investments by the Borrower and its Subsidiaries in Loan Parties, (iii) additional Investments by Subsidiaries of the Borrower that are not Loan Parties in other Subsidiaries that are not Loan Parties, (iv) additional Investments by any Loan Party in any wholly owned Subsidiary in existence as of the Closing Date and any additional Investments by a wholly owned Subsidiary in another wholly owned Subsidiary, and (v) Investments by Borrower in any non-wholly owned Subsidiary in existence as of the Closing Date in an aggregate amount invested </w:t>
      </w:r>
      <w:r>
        <w:rPr>
          <w:rFonts w:ascii="Times New Roman" w:cs="Times New Roman" w:eastAsia="Times New Roman" w:hAnsi="Times New Roman"/>
          <w:sz w:val="20"/>
          <w:szCs w:val="20"/>
          <w:i w:val="1"/>
          <w:iCs w:val="1"/>
          <w:color w:val="auto"/>
        </w:rPr>
        <w:t>not to exceed</w:t>
      </w:r>
      <w:r>
        <w:rPr>
          <w:rFonts w:ascii="Times New Roman" w:cs="Times New Roman" w:eastAsia="Times New Roman" w:hAnsi="Times New Roman"/>
          <w:sz w:val="20"/>
          <w:szCs w:val="20"/>
          <w:color w:val="auto"/>
        </w:rPr>
        <w:t xml:space="preserve"> $1,000,000 in any fiscal year;</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b w:val="1"/>
          <w:bCs w:val="1"/>
          <w:i w:val="1"/>
          <w:iCs w:val="1"/>
          <w:color w:val="auto"/>
        </w:rPr>
        <w:t>Section 7.02</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date hereof (other than those referred to in </w:t>
      </w:r>
      <w:r>
        <w:rPr>
          <w:rFonts w:ascii="Times New Roman" w:cs="Times New Roman" w:eastAsia="Times New Roman" w:hAnsi="Times New Roman"/>
          <w:sz w:val="20"/>
          <w:szCs w:val="20"/>
          <w:b w:val="1"/>
          <w:bCs w:val="1"/>
          <w:i w:val="1"/>
          <w:iCs w:val="1"/>
          <w:color w:val="auto"/>
        </w:rPr>
        <w:t>Section 7.03(c)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xml:space="preserve">)) and set forth on </w:t>
      </w:r>
      <w:r>
        <w:rPr>
          <w:rFonts w:ascii="Times New Roman" w:cs="Times New Roman" w:eastAsia="Times New Roman" w:hAnsi="Times New Roman"/>
          <w:sz w:val="20"/>
          <w:szCs w:val="20"/>
          <w:b w:val="1"/>
          <w:bCs w:val="1"/>
          <w:i w:val="1"/>
          <w:iCs w:val="1"/>
          <w:color w:val="auto"/>
        </w:rPr>
        <w:t>Schedule 7.03</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Acquisitions (other than of CFCs and Subsidiaries held directly or indirectly by a CFC which Investments are covered by </w:t>
      </w:r>
      <w:r>
        <w:rPr>
          <w:rFonts w:ascii="Times New Roman" w:cs="Times New Roman" w:eastAsia="Times New Roman" w:hAnsi="Times New Roman"/>
          <w:sz w:val="20"/>
          <w:szCs w:val="20"/>
          <w:b w:val="1"/>
          <w:bCs w:val="1"/>
          <w:i w:val="1"/>
          <w:iCs w:val="1"/>
          <w:color w:val="auto"/>
        </w:rPr>
        <w:t>Section 7.03(c)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iv</w:t>
      </w:r>
      <w:r>
        <w:rPr>
          <w:rFonts w:ascii="Times New Roman" w:cs="Times New Roman" w:eastAsia="Times New Roman" w:hAnsi="Times New Roman"/>
          <w:sz w:val="20"/>
          <w:szCs w:val="20"/>
          <w:color w:val="auto"/>
        </w:rPr>
        <w:t>)); and</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5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7.04 </w:t>
      </w:r>
      <w:r>
        <w:rPr>
          <w:rFonts w:ascii="Times New Roman" w:cs="Times New Roman" w:eastAsia="Times New Roman" w:hAnsi="Times New Roman"/>
          <w:sz w:val="20"/>
          <w:szCs w:val="20"/>
          <w:b w:val="1"/>
          <w:bCs w:val="1"/>
          <w:color w:val="auto"/>
        </w:rPr>
        <w:t>Fundamental Changes</w:t>
      </w:r>
      <w:r>
        <w:rPr>
          <w:rFonts w:ascii="Times New Roman" w:cs="Times New Roman" w:eastAsia="Times New Roman" w:hAnsi="Times New Roman"/>
          <w:sz w:val="20"/>
          <w:szCs w:val="20"/>
          <w:color w:val="auto"/>
        </w:rPr>
        <w:t>. Merge, dissolve, liquidate, consolidate with or into another Person, or Dispose of (whether in one transaction or in a series of transactions) all or substantially all of its assets (whether now owned or hereafter acquired) to or in favor of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(including, in each case, pursuant to a Division), except that, so long as no Default exists or would result therefrom:</w:t>
      </w:r>
    </w:p>
    <w:p>
      <w:pPr>
        <w:spacing w:after="0" w:line="148" w:lineRule="exact"/>
        <w:rPr>
          <w:sz w:val="20"/>
          <w:szCs w:val="20"/>
          <w:color w:val="auto"/>
        </w:rPr>
      </w:pPr>
    </w:p>
    <w:p>
      <w:pPr>
        <w:ind w:left="1300" w:hanging="644"/>
        <w:spacing w:after="0"/>
        <w:tabs>
          <w:tab w:leader="none" w:pos="130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merge with (i)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the continuing or surviving Person, or</w:t>
      </w:r>
    </w:p>
    <w:p>
      <w:pPr>
        <w:ind w:firstLine="8"/>
        <w:spacing w:after="0" w:line="228" w:lineRule="auto"/>
        <w:tabs>
          <w:tab w:leader="none" w:pos="297"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one or more other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when any Loan Party is merging with another Subsidiary, such Loan Party shall be the continuing or surviving Person;</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may Dispose of all or substantially all of its assets (upon voluntary liquidation or otherwise) to the Borrower or to another Loan Party;</w:t>
      </w:r>
    </w:p>
    <w:p>
      <w:pPr>
        <w:spacing w:after="0" w:line="15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7.05</w:t>
      </w:r>
      <w:r>
        <w:rPr>
          <w:sz w:val="20"/>
          <w:szCs w:val="20"/>
          <w:color w:val="auto"/>
        </w:rPr>
        <w:tab/>
      </w:r>
      <w:r>
        <w:rPr>
          <w:rFonts w:ascii="Times New Roman" w:cs="Times New Roman" w:eastAsia="Times New Roman" w:hAnsi="Times New Roman"/>
          <w:sz w:val="19"/>
          <w:szCs w:val="19"/>
          <w:b w:val="1"/>
          <w:bCs w:val="1"/>
          <w:color w:val="auto"/>
        </w:rPr>
        <w:t>Dispositions</w:t>
      </w:r>
      <w:r>
        <w:rPr>
          <w:rFonts w:ascii="Times New Roman" w:cs="Times New Roman" w:eastAsia="Times New Roman" w:hAnsi="Times New Roman"/>
          <w:sz w:val="19"/>
          <w:szCs w:val="19"/>
          <w:color w:val="auto"/>
        </w:rPr>
        <w:t>. Make any Disposition or enter into any agreement to make any Disposition, except:</w:t>
      </w:r>
    </w:p>
    <w:p>
      <w:pPr>
        <w:spacing w:after="0" w:line="179" w:lineRule="exact"/>
        <w:rPr>
          <w:sz w:val="20"/>
          <w:szCs w:val="20"/>
          <w:color w:val="auto"/>
        </w:rPr>
      </w:pPr>
    </w:p>
    <w:p>
      <w:pPr>
        <w:ind w:left="1300" w:hanging="644"/>
        <w:spacing w:after="0"/>
        <w:tabs>
          <w:tab w:leader="none" w:pos="13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Transfers;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whether now owned or hereafter acquired, in the ordinary course of business;</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 and</w:t>
      </w:r>
    </w:p>
    <w:p>
      <w:pPr>
        <w:spacing w:after="0" w:line="1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b w:val="1"/>
          <w:bCs w:val="1"/>
          <w:i w:val="1"/>
          <w:iCs w:val="1"/>
          <w:color w:val="auto"/>
        </w:rPr>
        <w:t>Section 7.04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7.06</w:t>
      </w:r>
      <w:r>
        <w:rPr>
          <w:sz w:val="20"/>
          <w:szCs w:val="20"/>
          <w:color w:val="auto"/>
        </w:rPr>
        <w:tab/>
      </w:r>
      <w:r>
        <w:rPr>
          <w:rFonts w:ascii="Times New Roman" w:cs="Times New Roman" w:eastAsia="Times New Roman" w:hAnsi="Times New Roman"/>
          <w:sz w:val="19"/>
          <w:szCs w:val="19"/>
          <w:b w:val="1"/>
          <w:bCs w:val="1"/>
          <w:color w:val="auto"/>
        </w:rPr>
        <w:t>Restricted Payments</w:t>
      </w:r>
      <w:r>
        <w:rPr>
          <w:rFonts w:ascii="Times New Roman" w:cs="Times New Roman" w:eastAsia="Times New Roman" w:hAnsi="Times New Roman"/>
          <w:sz w:val="19"/>
          <w:szCs w:val="19"/>
          <w:color w:val="auto"/>
        </w:rPr>
        <w:t>. Declare or make, directly or indirectly, any Restricted Payment, or incur any obligation (contingent or</w:t>
      </w:r>
    </w:p>
    <w:p>
      <w:pPr>
        <w:spacing w:after="0" w:line="4"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otherwise) to do so, except that, so long as no Default shall have occurred and be continuing at the time of any action described below or would result therefrom:</w:t>
      </w:r>
    </w:p>
    <w:p>
      <w:pPr>
        <w:spacing w:after="0" w:line="162" w:lineRule="exact"/>
        <w:rPr>
          <w:sz w:val="20"/>
          <w:szCs w:val="20"/>
          <w:color w:val="auto"/>
        </w:rPr>
      </w:pPr>
    </w:p>
    <w:p>
      <w:pPr>
        <w:jc w:val="both"/>
        <w:ind w:firstLine="656"/>
        <w:spacing w:after="0" w:line="226" w:lineRule="auto"/>
        <w:tabs>
          <w:tab w:leader="none" w:pos="128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Borrower and to wholly- owned Subsidiaries (and, in the case of a Restricted Payment by a non-wholly-owned Subsidiary, to Borrower and any Subsidiary and to each other owner of capital stock or other equity interests of such Subsidiary on a pro rata basis based on their relative ownership interests);</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and each Subsidiary may declare and make dividend payments or other distributions payable solely in the common stock or other common equity interests of such Person;</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and each Subsidiary may purchase, redeem or otherwise acquire shares of its common stock or other common equity interests or warrants or options to acquire any such shares with the proceeds received from the substantially concurrent issue of new shares of its common stock or other common equity interests;</w:t>
      </w:r>
    </w:p>
    <w:p>
      <w:pPr>
        <w:spacing w:after="0" w:line="14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may pay quarterly dividends to its shareholders in cash, in an amount </w:t>
      </w:r>
      <w:r>
        <w:rPr>
          <w:rFonts w:ascii="Times New Roman" w:cs="Times New Roman" w:eastAsia="Times New Roman" w:hAnsi="Times New Roman"/>
          <w:sz w:val="20"/>
          <w:szCs w:val="20"/>
          <w:i w:val="1"/>
          <w:iCs w:val="1"/>
          <w:color w:val="auto"/>
        </w:rPr>
        <w:t>not to exceed</w:t>
      </w:r>
      <w:r>
        <w:rPr>
          <w:rFonts w:ascii="Times New Roman" w:cs="Times New Roman" w:eastAsia="Times New Roman" w:hAnsi="Times New Roman"/>
          <w:sz w:val="20"/>
          <w:szCs w:val="20"/>
          <w:color w:val="auto"/>
        </w:rPr>
        <w:t xml:space="preserve"> $15,000,000 during any fiscal</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and</w:t>
      </w:r>
    </w:p>
    <w:p>
      <w:pPr>
        <w:spacing w:after="0" w:line="166"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may purchase or otherwise acquire shares of its common stock pursuant to share repurchase programs authorized, from time to time, by its board of directors, in an amount </w:t>
      </w:r>
      <w:r>
        <w:rPr>
          <w:rFonts w:ascii="Times New Roman" w:cs="Times New Roman" w:eastAsia="Times New Roman" w:hAnsi="Times New Roman"/>
          <w:sz w:val="20"/>
          <w:szCs w:val="20"/>
          <w:i w:val="1"/>
          <w:iCs w:val="1"/>
          <w:color w:val="auto"/>
        </w:rPr>
        <w:t>not to exceed</w:t>
      </w:r>
      <w:r>
        <w:rPr>
          <w:rFonts w:ascii="Times New Roman" w:cs="Times New Roman" w:eastAsia="Times New Roman" w:hAnsi="Times New Roman"/>
          <w:sz w:val="20"/>
          <w:szCs w:val="20"/>
          <w:color w:val="auto"/>
        </w:rPr>
        <w:t xml:space="preserve"> $35,000,000 in the aggregate, from the Closing Date to the Maturity Date.</w:t>
      </w:r>
    </w:p>
    <w:p>
      <w:pPr>
        <w:spacing w:after="0" w:line="15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 xml:space="preserve">7.07 </w:t>
      </w:r>
      <w:r>
        <w:rPr>
          <w:rFonts w:ascii="Times New Roman" w:cs="Times New Roman" w:eastAsia="Times New Roman" w:hAnsi="Times New Roman"/>
          <w:sz w:val="20"/>
          <w:szCs w:val="20"/>
          <w:b w:val="1"/>
          <w:bCs w:val="1"/>
          <w:color w:val="auto"/>
        </w:rPr>
        <w:t>Change in Nature of Business</w:t>
      </w:r>
      <w:r>
        <w:rPr>
          <w:rFonts w:ascii="Times New Roman" w:cs="Times New Roman" w:eastAsia="Times New Roman" w:hAnsi="Times New Roman"/>
          <w:sz w:val="20"/>
          <w:szCs w:val="20"/>
          <w:color w:val="auto"/>
        </w:rPr>
        <w:t>. Engage in any material line of business substantially different from those lines of business conducted by the Borrower and its Subsidiaries on the date hereof or any business substantially related or incidental thereto.</w:t>
      </w:r>
    </w:p>
    <w:p>
      <w:pPr>
        <w:spacing w:after="0" w:line="15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7.08 </w:t>
      </w:r>
      <w:r>
        <w:rPr>
          <w:rFonts w:ascii="Times New Roman" w:cs="Times New Roman" w:eastAsia="Times New Roman" w:hAnsi="Times New Roman"/>
          <w:sz w:val="20"/>
          <w:szCs w:val="20"/>
          <w:b w:val="1"/>
          <w:bCs w:val="1"/>
          <w:color w:val="auto"/>
        </w:rPr>
        <w:t>Transactions with Affiliates</w:t>
      </w:r>
      <w:r>
        <w:rPr>
          <w:rFonts w:ascii="Times New Roman" w:cs="Times New Roman" w:eastAsia="Times New Roman" w:hAnsi="Times New Roman"/>
          <w:sz w:val="20"/>
          <w:szCs w:val="20"/>
          <w:color w:val="auto"/>
        </w:rPr>
        <w:t>. Enter into or permit to exist any transaction or series of transactions with any officer, director or Affiliate of such Person other than (a) advances of working capital to any Loan Party, (b) transfers of cash and assets to any Loan Party, (c)</w:t>
      </w:r>
    </w:p>
    <w:p>
      <w:pPr>
        <w:spacing w:after="0" w:line="213" w:lineRule="auto"/>
        <w:rPr>
          <w:sz w:val="20"/>
          <w:szCs w:val="20"/>
          <w:color w:val="auto"/>
        </w:rPr>
      </w:pPr>
      <w:r>
        <w:rPr>
          <w:rFonts w:ascii="Times New Roman" w:cs="Times New Roman" w:eastAsia="Times New Roman" w:hAnsi="Times New Roman"/>
          <w:sz w:val="20"/>
          <w:szCs w:val="20"/>
          <w:color w:val="auto"/>
        </w:rPr>
        <w:t>intercompany transactions expressly permitted by this Agreement, (d) normal and reasonable compensation and reimbursement of expenses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of officers and directors, (e) other transactions where the amount involved in any 12 month period does </w:t>
      </w:r>
      <w:r>
        <w:rPr>
          <w:rFonts w:ascii="Times New Roman" w:cs="Times New Roman" w:eastAsia="Times New Roman" w:hAnsi="Times New Roman"/>
          <w:sz w:val="19"/>
          <w:szCs w:val="19"/>
          <w:i w:val="1"/>
          <w:iCs w:val="1"/>
          <w:color w:val="auto"/>
        </w:rPr>
        <w:t>not exceed</w:t>
      </w:r>
      <w:r>
        <w:rPr>
          <w:rFonts w:ascii="Times New Roman" w:cs="Times New Roman" w:eastAsia="Times New Roman" w:hAnsi="Times New Roman"/>
          <w:sz w:val="19"/>
          <w:szCs w:val="19"/>
          <w:color w:val="auto"/>
        </w:rPr>
        <w:t xml:space="preserve"> $120,000, and (f) except as otherwise specifically limited in this Agreement, other transactions which are entered into in the ordinary course of such Person’s business</w:t>
      </w:r>
    </w:p>
    <w:p>
      <w:pPr>
        <w:spacing w:after="0" w:line="228" w:lineRule="auto"/>
        <w:rPr>
          <w:sz w:val="20"/>
          <w:szCs w:val="20"/>
          <w:color w:val="auto"/>
        </w:rPr>
      </w:pPr>
      <w:r>
        <w:rPr>
          <w:rFonts w:ascii="Times New Roman" w:cs="Times New Roman" w:eastAsia="Times New Roman" w:hAnsi="Times New Roman"/>
          <w:sz w:val="20"/>
          <w:szCs w:val="20"/>
          <w:color w:val="auto"/>
        </w:rPr>
        <w:t>on fair and reasonable terms and conditions substantially as favorable to such Person as would be obtainable by it in a comparable arm’s length transaction with a Person other than an officer, director or Affiliate.</w:t>
      </w:r>
    </w:p>
    <w:p>
      <w:pPr>
        <w:spacing w:after="0" w:line="14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9"/>
          <w:szCs w:val="19"/>
          <w:color w:val="auto"/>
        </w:rPr>
        <w:t xml:space="preserve">7.09 </w:t>
      </w:r>
      <w:r>
        <w:rPr>
          <w:rFonts w:ascii="Times New Roman" w:cs="Times New Roman" w:eastAsia="Times New Roman" w:hAnsi="Times New Roman"/>
          <w:sz w:val="19"/>
          <w:szCs w:val="19"/>
          <w:b w:val="1"/>
          <w:bCs w:val="1"/>
          <w:color w:val="auto"/>
        </w:rPr>
        <w:t>Burdensome Agreements</w:t>
      </w:r>
      <w:r>
        <w:rPr>
          <w:rFonts w:ascii="Times New Roman" w:cs="Times New Roman" w:eastAsia="Times New Roman" w:hAnsi="Times New Roman"/>
          <w:sz w:val="19"/>
          <w:szCs w:val="19"/>
          <w:color w:val="auto"/>
        </w:rPr>
        <w:t>. Enter into, or permit to exist, any Contractual Obligation (except for this Agreement and the other Loan Documents) that (a) encumbers or restricts the ability of any such Person to (i) to act as a Loan Party; (ii) make Restricted Payments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any Loan Party, (iii) pay any Indebtedness or other obligation owed to any Loan Party, (iv) make loans or advances to any Loan Party, or (v) create any Lien upon any of their properties or assets, whether now owned or hereafter acquired, except, in the case of </w:t>
      </w:r>
      <w:r>
        <w:rPr>
          <w:rFonts w:ascii="Times New Roman" w:cs="Times New Roman" w:eastAsia="Times New Roman" w:hAnsi="Times New Roman"/>
          <w:sz w:val="19"/>
          <w:szCs w:val="19"/>
          <w:b w:val="1"/>
          <w:bCs w:val="1"/>
          <w:i w:val="1"/>
          <w:iCs w:val="1"/>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v</w:t>
      </w:r>
      <w:r>
        <w:rPr>
          <w:rFonts w:ascii="Times New Roman" w:cs="Times New Roman" w:eastAsia="Times New Roman" w:hAnsi="Times New Roman"/>
          <w:sz w:val="19"/>
          <w:szCs w:val="19"/>
          <w:color w:val="auto"/>
        </w:rPr>
        <w:t>) only, for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any document or instrument governing Indebtedness incurred pursuant to </w:t>
      </w:r>
      <w:r>
        <w:rPr>
          <w:rFonts w:ascii="Times New Roman" w:cs="Times New Roman" w:eastAsia="Times New Roman" w:hAnsi="Times New Roman"/>
          <w:sz w:val="20"/>
          <w:szCs w:val="20"/>
          <w:b w:val="1"/>
          <w:bCs w:val="1"/>
          <w:i w:val="1"/>
          <w:iCs w:val="1"/>
          <w:color w:val="auto"/>
        </w:rPr>
        <w:t>Section 7.02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any such restriction contained</w:t>
      </w:r>
    </w:p>
    <w:p>
      <w:pPr>
        <w:ind w:right="20"/>
        <w:spacing w:after="0" w:line="221" w:lineRule="auto"/>
        <w:rPr>
          <w:sz w:val="20"/>
          <w:szCs w:val="20"/>
          <w:color w:val="auto"/>
        </w:rPr>
      </w:pPr>
      <w:r>
        <w:rPr>
          <w:rFonts w:ascii="Times New Roman" w:cs="Times New Roman" w:eastAsia="Times New Roman" w:hAnsi="Times New Roman"/>
          <w:sz w:val="20"/>
          <w:szCs w:val="20"/>
          <w:color w:val="auto"/>
        </w:rPr>
        <w:t>therein relates only to the asset or assets constructed or acquired in connection therewith, or (b) requires the grant of any Lien on property for any obligation if a Lien on such property is given as security for the Secured Obligations.</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b w:val="1"/>
          <w:bCs w:val="1"/>
          <w:color w:val="auto"/>
        </w:rPr>
        <w:t>Use of Proceeds</w:t>
      </w:r>
      <w:r>
        <w:rPr>
          <w:rFonts w:ascii="Times New Roman" w:cs="Times New Roman" w:eastAsia="Times New Roman" w:hAnsi="Times New Roman"/>
          <w:sz w:val="20"/>
          <w:szCs w:val="20"/>
          <w:color w:val="auto"/>
        </w:rPr>
        <w:t>. Use the proceeds of any Credit Extension, whether directly or indirectly, and whether immediately, incidentally or ultimately, to purchase or carry margin stock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the meaning of Regulation U of the FRB) or to extend credit to others for the purpose of purchasing or carrying margin stock or to refund indebtedness originally incurred for such purpose.</w:t>
      </w:r>
    </w:p>
    <w:p>
      <w:pPr>
        <w:spacing w:after="0" w:line="14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b w:val="1"/>
          <w:bCs w:val="1"/>
          <w:color w:val="auto"/>
        </w:rPr>
        <w:t>Financial Covenants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45" w:lineRule="auto"/>
        <w:tabs>
          <w:tab w:leader="none" w:pos="128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Consolidated Net Leverage Ratio</w:t>
      </w:r>
      <w:r>
        <w:rPr>
          <w:rFonts w:ascii="Times New Roman" w:cs="Times New Roman" w:eastAsia="Times New Roman" w:hAnsi="Times New Roman"/>
          <w:sz w:val="20"/>
          <w:szCs w:val="20"/>
          <w:color w:val="auto"/>
        </w:rPr>
        <w:t>. Permit the Consolidated Net Leverage Ratio as of the end of any Measurement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ending as of the end of any fiscal quarter of the Borrower to be </w:t>
      </w:r>
      <w:r>
        <w:rPr>
          <w:rFonts w:ascii="Times New Roman" w:cs="Times New Roman" w:eastAsia="Times New Roman" w:hAnsi="Times New Roman"/>
          <w:sz w:val="20"/>
          <w:szCs w:val="20"/>
          <w:i w:val="1"/>
          <w:iCs w:val="1"/>
          <w:color w:val="auto"/>
        </w:rPr>
        <w:t>greater than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equal to</w:t>
      </w:r>
      <w:r>
        <w:rPr>
          <w:rFonts w:ascii="Times New Roman" w:cs="Times New Roman" w:eastAsia="Times New Roman" w:hAnsi="Times New Roman"/>
          <w:sz w:val="20"/>
          <w:szCs w:val="20"/>
          <w:color w:val="auto"/>
        </w:rPr>
        <w:t xml:space="preserve"> 3.00 to 1.00.</w:t>
      </w:r>
    </w:p>
    <w:p>
      <w:pPr>
        <w:spacing w:after="0" w:line="137" w:lineRule="exact"/>
        <w:rPr>
          <w:rFonts w:ascii="Times New Roman" w:cs="Times New Roman" w:eastAsia="Times New Roman" w:hAnsi="Times New Roman"/>
          <w:sz w:val="20"/>
          <w:szCs w:val="20"/>
          <w:color w:val="auto"/>
        </w:rPr>
      </w:pPr>
    </w:p>
    <w:p>
      <w:pPr>
        <w:ind w:firstLine="656"/>
        <w:spacing w:after="0" w:line="245" w:lineRule="auto"/>
        <w:tabs>
          <w:tab w:leader="none" w:pos="128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Consolidated Interest Coverage Ratio</w:t>
      </w:r>
      <w:r>
        <w:rPr>
          <w:rFonts w:ascii="Times New Roman" w:cs="Times New Roman" w:eastAsia="Times New Roman" w:hAnsi="Times New Roman"/>
          <w:sz w:val="20"/>
          <w:szCs w:val="20"/>
          <w:color w:val="auto"/>
        </w:rPr>
        <w:t>. Permit the Consolidated Interest Coverage Ratio as of the end of any Measurement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Period ending as of the end of any fiscal quarter of the Borrower to be </w:t>
      </w:r>
      <w:r>
        <w:rPr>
          <w:rFonts w:ascii="Times New Roman" w:cs="Times New Roman" w:eastAsia="Times New Roman" w:hAnsi="Times New Roman"/>
          <w:sz w:val="20"/>
          <w:szCs w:val="20"/>
          <w:i w:val="1"/>
          <w:iCs w:val="1"/>
          <w:color w:val="auto"/>
        </w:rPr>
        <w:t>less than</w:t>
      </w:r>
      <w:r>
        <w:rPr>
          <w:rFonts w:ascii="Times New Roman" w:cs="Times New Roman" w:eastAsia="Times New Roman" w:hAnsi="Times New Roman"/>
          <w:sz w:val="20"/>
          <w:szCs w:val="20"/>
          <w:color w:val="auto"/>
        </w:rPr>
        <w:t xml:space="preserve"> 3.00 to 1.00.</w:t>
      </w:r>
    </w:p>
    <w:p>
      <w:pPr>
        <w:spacing w:after="0" w:line="151"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Liquidity</w:t>
      </w:r>
      <w:r>
        <w:rPr>
          <w:rFonts w:ascii="Times New Roman" w:cs="Times New Roman" w:eastAsia="Times New Roman" w:hAnsi="Times New Roman"/>
          <w:sz w:val="20"/>
          <w:szCs w:val="20"/>
          <w:color w:val="auto"/>
        </w:rPr>
        <w:t>. Permit Liquidity at any time during any period: (a) on and after the Second Amendment Effective Date but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the Third Amendment Effective Date to be </w:t>
      </w:r>
      <w:r>
        <w:rPr>
          <w:rFonts w:ascii="Times New Roman" w:cs="Times New Roman" w:eastAsia="Times New Roman" w:hAnsi="Times New Roman"/>
          <w:sz w:val="20"/>
          <w:szCs w:val="20"/>
          <w:i w:val="1"/>
          <w:iCs w:val="1"/>
          <w:color w:val="auto"/>
        </w:rPr>
        <w:t>less than</w:t>
      </w:r>
      <w:r>
        <w:rPr>
          <w:rFonts w:ascii="Times New Roman" w:cs="Times New Roman" w:eastAsia="Times New Roman" w:hAnsi="Times New Roman"/>
          <w:sz w:val="20"/>
          <w:szCs w:val="20"/>
          <w:color w:val="auto"/>
        </w:rPr>
        <w:t xml:space="preserve"> $50,000,000; or (b) on or after the Third Amendment Effective Date to be </w:t>
      </w:r>
      <w:r>
        <w:rPr>
          <w:rFonts w:ascii="Times New Roman" w:cs="Times New Roman" w:eastAsia="Times New Roman" w:hAnsi="Times New Roman"/>
          <w:sz w:val="20"/>
          <w:szCs w:val="20"/>
          <w:i w:val="1"/>
          <w:iCs w:val="1"/>
          <w:color w:val="auto"/>
        </w:rPr>
        <w:t>less than</w:t>
      </w:r>
      <w:r>
        <w:rPr>
          <w:rFonts w:ascii="Times New Roman" w:cs="Times New Roman" w:eastAsia="Times New Roman" w:hAnsi="Times New Roman"/>
          <w:sz w:val="20"/>
          <w:szCs w:val="20"/>
          <w:color w:val="auto"/>
        </w:rPr>
        <w:t xml:space="preserve"> $60,000,000.</w:t>
      </w:r>
    </w:p>
    <w:p>
      <w:pPr>
        <w:spacing w:after="0" w:line="157"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b w:val="1"/>
          <w:bCs w:val="1"/>
          <w:color w:val="auto"/>
        </w:rPr>
        <w:t>Amendments of Organization Documents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Legal Name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State of 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Form of Entity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Accounting Changes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300" w:hanging="644"/>
        <w:spacing w:after="0"/>
        <w:tabs>
          <w:tab w:leader="none" w:pos="13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of its Organization Documents;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fiscal year;</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providing 10 days prior written notice to the Administrative Agent (or such extended period of time as agreed to by the Administrative Agent), change its name, state of formation, form of organization or principal place of business; or</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accounting policies or reporting practices, except as required by GAAP.</w:t>
      </w:r>
    </w:p>
    <w:p>
      <w:pPr>
        <w:spacing w:after="0" w:line="1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b w:val="1"/>
          <w:bCs w:val="1"/>
          <w:color w:val="auto"/>
        </w:rPr>
        <w:t>Sale and Leaseback Transactions</w:t>
      </w:r>
      <w:r>
        <w:rPr>
          <w:rFonts w:ascii="Times New Roman" w:cs="Times New Roman" w:eastAsia="Times New Roman" w:hAnsi="Times New Roman"/>
          <w:sz w:val="19"/>
          <w:szCs w:val="19"/>
          <w:color w:val="auto"/>
        </w:rPr>
        <w:t>. Enter into any Sale and Leaseback Transaction.</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Directly or indirectly, use any Credit Extension or the proceeds of any Credit Extension, or lend, contribute or otherwise make available such Credit Extension or the proceeds of any Credit Extension to any Person, to fund any activities of or business</w:t>
      </w:r>
    </w:p>
    <w:p>
      <w:pPr>
        <w:spacing w:after="0" w:line="213" w:lineRule="auto"/>
        <w:rPr>
          <w:sz w:val="20"/>
          <w:szCs w:val="20"/>
          <w:color w:val="auto"/>
        </w:rPr>
      </w:pPr>
      <w:r>
        <w:rPr>
          <w:rFonts w:ascii="Times New Roman" w:cs="Times New Roman" w:eastAsia="Times New Roman" w:hAnsi="Times New Roman"/>
          <w:sz w:val="20"/>
          <w:szCs w:val="20"/>
          <w:color w:val="auto"/>
        </w:rPr>
        <w:t>with any Person, that, at the time of such funding, is the subject of Sanctions, or in any other manner that will result in a violation by any</w:t>
      </w:r>
    </w:p>
    <w:p>
      <w:pPr>
        <w:spacing w:after="0" w:line="221" w:lineRule="auto"/>
        <w:rPr>
          <w:sz w:val="20"/>
          <w:szCs w:val="20"/>
          <w:color w:val="auto"/>
        </w:rPr>
      </w:pPr>
      <w:r>
        <w:rPr>
          <w:rFonts w:ascii="Times New Roman" w:cs="Times New Roman" w:eastAsia="Times New Roman" w:hAnsi="Times New Roman"/>
          <w:sz w:val="20"/>
          <w:szCs w:val="20"/>
          <w:color w:val="auto"/>
        </w:rPr>
        <w:t>Person (including any Person participating in the transaction, whether as Lender, Arranger, Administrative Agent, L/C Issuer, Swingline Lender, or otherwise) of Sanctions.</w:t>
      </w:r>
    </w:p>
    <w:p>
      <w:pPr>
        <w:spacing w:after="0" w:line="15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20"/>
          <w:szCs w:val="20"/>
          <w:b w:val="1"/>
          <w:bCs w:val="1"/>
          <w:color w:val="auto"/>
        </w:rPr>
        <w:t>Anti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Corruption Laws</w:t>
      </w:r>
      <w:r>
        <w:rPr>
          <w:rFonts w:ascii="Times New Roman" w:cs="Times New Roman" w:eastAsia="Times New Roman" w:hAnsi="Times New Roman"/>
          <w:sz w:val="20"/>
          <w:szCs w:val="20"/>
          <w:color w:val="auto"/>
        </w:rPr>
        <w:t>. Directly or indirectly, use any Credit Extension or the proceeds of any Credit Extension for any</w:t>
      </w:r>
    </w:p>
    <w:p>
      <w:pPr>
        <w:spacing w:after="0" w:line="221" w:lineRule="auto"/>
        <w:rPr>
          <w:sz w:val="20"/>
          <w:szCs w:val="20"/>
          <w:color w:val="auto"/>
        </w:rPr>
      </w:pPr>
      <w:r>
        <w:rPr>
          <w:rFonts w:ascii="Times New Roman" w:cs="Times New Roman" w:eastAsia="Times New Roman" w:hAnsi="Times New Roman"/>
          <w:sz w:val="20"/>
          <w:szCs w:val="20"/>
          <w:color w:val="auto"/>
        </w:rPr>
        <w:t>purpose which would breach the United States Foreign Corrupt Practices Act of 1977, the UK Bribery Act 2010 and other anti-corruption legislation in other jurisdictions.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VIII.</w:t>
      </w:r>
      <w:r>
        <w:rPr>
          <w:sz w:val="20"/>
          <w:szCs w:val="20"/>
          <w:color w:val="auto"/>
        </w:rPr>
        <w:tab/>
      </w:r>
      <w:r>
        <w:rPr>
          <w:rFonts w:ascii="Times New Roman" w:cs="Times New Roman" w:eastAsia="Times New Roman" w:hAnsi="Times New Roman"/>
          <w:sz w:val="20"/>
          <w:szCs w:val="20"/>
          <w:b w:val="1"/>
          <w:bCs w:val="1"/>
          <w:color w:val="auto"/>
        </w:rPr>
        <w:t>EVENTS OF DEFAULT AND REMEDIES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8.01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 Any of the following shall constitute an event of default (each, an “</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firstLine="644"/>
        <w:spacing w:after="0" w:line="245" w:lineRule="auto"/>
        <w:tabs>
          <w:tab w:leader="none" w:pos="194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The Borrower or any other Loan Party fails to pay (i) when and as required to be paid herein, and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currency required hereunder, any amount of principal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any Loan or any L/C Obligation or deposit any funds as Cash Collateral in respect of L/C Obligations, or (ii) within three (3) days</w:t>
      </w:r>
    </w:p>
    <w:p>
      <w:pPr>
        <w:ind w:left="640"/>
        <w:spacing w:after="0" w:line="221" w:lineRule="auto"/>
        <w:rPr>
          <w:sz w:val="20"/>
          <w:szCs w:val="20"/>
          <w:color w:val="auto"/>
        </w:rPr>
      </w:pPr>
      <w:r>
        <w:rPr>
          <w:rFonts w:ascii="Times New Roman" w:cs="Times New Roman" w:eastAsia="Times New Roman" w:hAnsi="Times New Roman"/>
          <w:sz w:val="20"/>
          <w:szCs w:val="20"/>
          <w:color w:val="auto"/>
        </w:rPr>
        <w:t>after the same becomes due, any interest on any Loan or on any L/C Obligation, or any fee due hereunder, or (iii) within five (5) days after the same becomes due, any other amount payable hereunder or under any other Loan Document; or</w:t>
      </w:r>
    </w:p>
    <w:p>
      <w:pPr>
        <w:spacing w:after="0" w:line="158" w:lineRule="exact"/>
        <w:rPr>
          <w:sz w:val="20"/>
          <w:szCs w:val="20"/>
          <w:color w:val="auto"/>
        </w:rPr>
      </w:pPr>
    </w:p>
    <w:p>
      <w:pPr>
        <w:ind w:left="640" w:firstLine="644"/>
        <w:spacing w:after="0" w:line="245" w:lineRule="auto"/>
        <w:tabs>
          <w:tab w:leader="none" w:pos="174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Specific Covenants</w:t>
      </w:r>
      <w:r>
        <w:rPr>
          <w:rFonts w:ascii="Times New Roman" w:cs="Times New Roman" w:eastAsia="Times New Roman" w:hAnsi="Times New Roman"/>
          <w:sz w:val="20"/>
          <w:szCs w:val="20"/>
          <w:color w:val="auto"/>
        </w:rPr>
        <w:t>. Any Loan Party fails to perform or observe any term, covenant or agreement contained in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Sections 2.05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2.16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6.03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6.05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6.08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6.11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7.01, 7.04, 7.06, 7.11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14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15</w:t>
      </w:r>
      <w:r>
        <w:rPr>
          <w:rFonts w:ascii="Times New Roman" w:cs="Times New Roman" w:eastAsia="Times New Roman" w:hAnsi="Times New Roman"/>
          <w:sz w:val="20"/>
          <w:szCs w:val="20"/>
          <w:color w:val="auto"/>
        </w:rPr>
        <w:t>.</w:t>
      </w:r>
    </w:p>
    <w:p>
      <w:pPr>
        <w:spacing w:after="0" w:line="137" w:lineRule="exact"/>
        <w:rPr>
          <w:rFonts w:ascii="Times New Roman" w:cs="Times New Roman" w:eastAsia="Times New Roman" w:hAnsi="Times New Roman"/>
          <w:sz w:val="20"/>
          <w:szCs w:val="20"/>
          <w:color w:val="auto"/>
        </w:rPr>
      </w:pPr>
    </w:p>
    <w:p>
      <w:pPr>
        <w:jc w:val="both"/>
        <w:ind w:left="640" w:firstLine="644"/>
        <w:spacing w:after="0" w:line="232" w:lineRule="auto"/>
        <w:tabs>
          <w:tab w:leader="none" w:pos="18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Defaults</w:t>
      </w:r>
      <w:r>
        <w:rPr>
          <w:rFonts w:ascii="Times New Roman" w:cs="Times New Roman" w:eastAsia="Times New Roman" w:hAnsi="Times New Roman"/>
          <w:sz w:val="20"/>
          <w:szCs w:val="20"/>
          <w:color w:val="auto"/>
        </w:rPr>
        <w:t>. Any Loan Party fails to perform or observe any other covenant or agreement (not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8.01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above) contained in any Loan Documen</w:t>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its part to be performed or observed and such failure continues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30 days; or</w:t>
      </w:r>
    </w:p>
    <w:p>
      <w:pPr>
        <w:spacing w:after="0" w:line="143" w:lineRule="exact"/>
        <w:rPr>
          <w:rFonts w:ascii="Times New Roman" w:cs="Times New Roman" w:eastAsia="Times New Roman" w:hAnsi="Times New Roman"/>
          <w:sz w:val="20"/>
          <w:szCs w:val="20"/>
          <w:color w:val="auto"/>
        </w:rPr>
      </w:pPr>
    </w:p>
    <w:p>
      <w:pPr>
        <w:jc w:val="both"/>
        <w:ind w:left="640" w:firstLine="644"/>
        <w:spacing w:after="0" w:line="232" w:lineRule="auto"/>
        <w:tabs>
          <w:tab w:leader="none" w:pos="1797"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by or on behalf of the Borrower or any other Loan Party herein, in any other Loan Document, or in any document delivered in connection herewith or therewith shall be incorrect or misleading when made or deemed made; or</w:t>
      </w:r>
    </w:p>
    <w:p>
      <w:pPr>
        <w:spacing w:after="0" w:line="143" w:lineRule="exact"/>
        <w:rPr>
          <w:rFonts w:ascii="Times New Roman" w:cs="Times New Roman" w:eastAsia="Times New Roman" w:hAnsi="Times New Roman"/>
          <w:sz w:val="20"/>
          <w:szCs w:val="20"/>
          <w:color w:val="auto"/>
        </w:rPr>
      </w:pPr>
    </w:p>
    <w:p>
      <w:pPr>
        <w:jc w:val="both"/>
        <w:ind w:left="640" w:firstLine="644"/>
        <w:spacing w:after="0" w:line="208" w:lineRule="auto"/>
        <w:tabs>
          <w:tab w:leader="none" w:pos="1773"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Cross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(i) Any Loan Party or any Subsidiary thereof (A) fails to make any payment when due (whether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w:t>
      </w:r>
      <w:r>
        <w:rPr>
          <w:rFonts w:ascii="Times New Roman" w:cs="Times New Roman" w:eastAsia="Times New Roman" w:hAnsi="Times New Roman"/>
          <w:sz w:val="20"/>
          <w:szCs w:val="20"/>
          <w:i w:val="1"/>
          <w:iCs w:val="1"/>
          <w:color w:val="auto"/>
        </w:rPr>
        <w:t>more than</w:t>
      </w:r>
      <w:r>
        <w:rPr>
          <w:rFonts w:ascii="Times New Roman" w:cs="Times New Roman" w:eastAsia="Times New Roman" w:hAnsi="Times New Roman"/>
          <w:sz w:val="20"/>
          <w:szCs w:val="20"/>
          <w:color w:val="auto"/>
        </w:rPr>
        <w:t xml:space="preserve">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w:t>
      </w:r>
    </w:p>
    <w:p>
      <w:pPr>
        <w:spacing w:after="0" w:line="10" w:lineRule="exact"/>
        <w:rPr>
          <w:rFonts w:ascii="Times New Roman" w:cs="Times New Roman" w:eastAsia="Times New Roman" w:hAnsi="Times New Roman"/>
          <w:sz w:val="20"/>
          <w:szCs w:val="20"/>
          <w:color w:val="auto"/>
        </w:rPr>
      </w:pPr>
    </w:p>
    <w:p>
      <w:pPr>
        <w:jc w:val="both"/>
        <w:ind w:left="640" w:hanging="4"/>
        <w:spacing w:after="0" w:line="216" w:lineRule="auto"/>
        <w:tabs>
          <w:tab w:leader="none" w:pos="98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spacing w:after="0" w:line="158" w:lineRule="exact"/>
        <w:rPr>
          <w:rFonts w:ascii="Times New Roman" w:cs="Times New Roman" w:eastAsia="Times New Roman" w:hAnsi="Times New Roman"/>
          <w:sz w:val="20"/>
          <w:szCs w:val="20"/>
          <w:color w:val="auto"/>
        </w:rPr>
      </w:pPr>
    </w:p>
    <w:p>
      <w:pPr>
        <w:jc w:val="both"/>
        <w:ind w:left="640" w:firstLine="725"/>
        <w:spacing w:after="0" w:line="213" w:lineRule="auto"/>
        <w:tabs>
          <w:tab w:leader="none" w:pos="1775"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Insolvency Proceedings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Etc</w:t>
      </w:r>
      <w:r>
        <w:rPr>
          <w:rFonts w:ascii="Times New Roman" w:cs="Times New Roman" w:eastAsia="Times New Roman" w:hAnsi="Times New Roman"/>
          <w:sz w:val="20"/>
          <w:szCs w:val="20"/>
          <w:color w:val="auto"/>
        </w:rPr>
        <w:t>. Any Loan Party or any Subsidiary thereof institutes or consents to the institution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40" w:firstLine="644"/>
        <w:spacing w:after="0" w:line="223" w:lineRule="auto"/>
        <w:tabs>
          <w:tab w:leader="none" w:pos="182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Inability to Pay Debts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Attachment</w:t>
      </w:r>
      <w:r>
        <w:rPr>
          <w:rFonts w:ascii="Times New Roman" w:cs="Times New Roman" w:eastAsia="Times New Roman" w:hAnsi="Times New Roman"/>
          <w:sz w:val="20"/>
          <w:szCs w:val="20"/>
          <w:color w:val="auto"/>
        </w:rPr>
        <w:t>. (i) Any Loan Party or any Subsidiary thereof becomes unable or admits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57" w:lineRule="exact"/>
        <w:rPr>
          <w:rFonts w:ascii="Times New Roman" w:cs="Times New Roman" w:eastAsia="Times New Roman" w:hAnsi="Times New Roman"/>
          <w:sz w:val="20"/>
          <w:szCs w:val="20"/>
          <w:color w:val="auto"/>
        </w:rPr>
      </w:pPr>
    </w:p>
    <w:p>
      <w:pPr>
        <w:jc w:val="both"/>
        <w:ind w:left="640" w:firstLine="644"/>
        <w:spacing w:after="0" w:line="213" w:lineRule="auto"/>
        <w:tabs>
          <w:tab w:leader="none" w:pos="171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Judgments</w:t>
      </w:r>
      <w:r>
        <w:rPr>
          <w:rFonts w:ascii="Times New Roman" w:cs="Times New Roman" w:eastAsia="Times New Roman" w:hAnsi="Times New Roman"/>
          <w:sz w:val="20"/>
          <w:szCs w:val="20"/>
          <w:color w:val="auto"/>
        </w:rPr>
        <w:t>. (i) There is entered against any Loan Party or any Subsidiary thereof one or more final judgments or orders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the payment of money in an aggregate amount (as to all such judgments and orders) exceeding the Threshold Amount (to the extent not covered by independent third-party insurance as to which the insurer is rated </w:t>
      </w:r>
      <w:r>
        <w:rPr>
          <w:rFonts w:ascii="Times New Roman" w:cs="Times New Roman" w:eastAsia="Times New Roman" w:hAnsi="Times New Roman"/>
          <w:sz w:val="20"/>
          <w:szCs w:val="20"/>
          <w:i w:val="1"/>
          <w:iCs w:val="1"/>
          <w:color w:val="auto"/>
        </w:rPr>
        <w:t>at least</w:t>
      </w:r>
      <w:r>
        <w:rPr>
          <w:rFonts w:ascii="Times New Roman" w:cs="Times New Roman" w:eastAsia="Times New Roman" w:hAnsi="Times New Roman"/>
          <w:sz w:val="20"/>
          <w:szCs w:val="20"/>
          <w:color w:val="auto"/>
        </w:rPr>
        <w:t xml:space="preserve">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pacing w:after="0" w:line="162" w:lineRule="exact"/>
        <w:rPr>
          <w:rFonts w:ascii="Times New Roman" w:cs="Times New Roman" w:eastAsia="Times New Roman" w:hAnsi="Times New Roman"/>
          <w:sz w:val="20"/>
          <w:szCs w:val="20"/>
          <w:color w:val="auto"/>
        </w:rPr>
      </w:pPr>
    </w:p>
    <w:p>
      <w:pPr>
        <w:jc w:val="both"/>
        <w:ind w:left="640" w:firstLine="644"/>
        <w:spacing w:after="0" w:line="220" w:lineRule="auto"/>
        <w:tabs>
          <w:tab w:leader="none" w:pos="17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47" w:lineRule="exact"/>
        <w:rPr>
          <w:rFonts w:ascii="Times New Roman" w:cs="Times New Roman" w:eastAsia="Times New Roman" w:hAnsi="Times New Roman"/>
          <w:sz w:val="20"/>
          <w:szCs w:val="20"/>
          <w:color w:val="auto"/>
        </w:rPr>
      </w:pPr>
    </w:p>
    <w:p>
      <w:pPr>
        <w:jc w:val="both"/>
        <w:ind w:left="640" w:firstLine="644"/>
        <w:spacing w:after="0" w:line="220" w:lineRule="auto"/>
        <w:tabs>
          <w:tab w:leader="none" w:pos="168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Invalidity of Loan Documents</w:t>
      </w:r>
      <w:r>
        <w:rPr>
          <w:rFonts w:ascii="Times New Roman" w:cs="Times New Roman" w:eastAsia="Times New Roman" w:hAnsi="Times New Roman"/>
          <w:sz w:val="20"/>
          <w:szCs w:val="20"/>
          <w:color w:val="auto"/>
        </w:rPr>
        <w:t>. Any provision of any Loan Document, at any time after its execution and delivery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reason other than as expressly permitted hereunder or thereunder or satisfaction in full of all Obligations arising under the Loan Documents,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147" w:lineRule="exact"/>
        <w:rPr>
          <w:rFonts w:ascii="Times New Roman" w:cs="Times New Roman" w:eastAsia="Times New Roman" w:hAnsi="Times New Roman"/>
          <w:sz w:val="20"/>
          <w:szCs w:val="20"/>
          <w:color w:val="auto"/>
        </w:rPr>
      </w:pPr>
    </w:p>
    <w:p>
      <w:pPr>
        <w:jc w:val="both"/>
        <w:ind w:left="640" w:firstLine="644"/>
        <w:spacing w:after="0" w:line="232" w:lineRule="auto"/>
        <w:tabs>
          <w:tab w:leader="none" w:pos="1743"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Any Collateral Document after delivery thereof pursuant to the terms of the Loan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for any reason cease to create a valid and perfected first priority Lien (subject to Permitted Liens) on the Collateral purported to be covered thereby, or any Loan Party shall assert the invalidity of such Liens; or</w:t>
      </w:r>
    </w:p>
    <w:p>
      <w:pPr>
        <w:spacing w:after="0" w:line="143" w:lineRule="exact"/>
        <w:rPr>
          <w:rFonts w:ascii="Times New Roman" w:cs="Times New Roman" w:eastAsia="Times New Roman" w:hAnsi="Times New Roman"/>
          <w:sz w:val="20"/>
          <w:szCs w:val="20"/>
          <w:color w:val="auto"/>
        </w:rPr>
      </w:pPr>
    </w:p>
    <w:p>
      <w:pPr>
        <w:ind w:left="1660" w:hanging="376"/>
        <w:spacing w:after="0"/>
        <w:tabs>
          <w:tab w:leader="none" w:pos="16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There occurs any Change of Control;</w:t>
      </w:r>
    </w:p>
    <w:p>
      <w:pPr>
        <w:spacing w:after="0" w:line="188" w:lineRule="exact"/>
        <w:rPr>
          <w:rFonts w:ascii="Times New Roman" w:cs="Times New Roman" w:eastAsia="Times New Roman" w:hAnsi="Times New Roman"/>
          <w:sz w:val="20"/>
          <w:szCs w:val="20"/>
          <w:color w:val="auto"/>
        </w:rPr>
      </w:pPr>
    </w:p>
    <w:p>
      <w:pPr>
        <w:ind w:left="1760" w:hanging="476"/>
        <w:spacing w:after="0"/>
        <w:tabs>
          <w:tab w:leader="none" w:pos="17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A Material Adverse Effect shall have occurred; or</w:t>
      </w:r>
    </w:p>
    <w:p>
      <w:pPr>
        <w:spacing w:after="0" w:line="188" w:lineRule="exact"/>
        <w:rPr>
          <w:rFonts w:ascii="Times New Roman" w:cs="Times New Roman" w:eastAsia="Times New Roman" w:hAnsi="Times New Roman"/>
          <w:sz w:val="20"/>
          <w:szCs w:val="20"/>
          <w:color w:val="auto"/>
        </w:rPr>
      </w:pPr>
    </w:p>
    <w:p>
      <w:pPr>
        <w:jc w:val="both"/>
        <w:ind w:left="640" w:firstLine="644"/>
        <w:spacing w:after="0" w:line="217" w:lineRule="auto"/>
        <w:tabs>
          <w:tab w:leader="none" w:pos="1743"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Specified Cash Collateral Trigger Event</w:t>
      </w:r>
      <w:r>
        <w:rPr>
          <w:rFonts w:ascii="Times New Roman" w:cs="Times New Roman" w:eastAsia="Times New Roman" w:hAnsi="Times New Roman"/>
          <w:sz w:val="20"/>
          <w:szCs w:val="20"/>
          <w:color w:val="auto"/>
        </w:rPr>
        <w:t>. (i) A Specified Cash Collateral Trigger Event has occurred and by no later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than thirty (30) days after the last day of the Specified Cash Collateral Trigger Event Standstill Period the Borrower has not Cash Collateralized the Obligations or settled in writing or obtained a written waiver from the applicable contract counterparty customer or otherwise cured to the reasonable satisfaction of the applicable surety and customer the event(s) which gave rise to the Specified Cash Collateral Trigger Event, or (ii) to the extent the Obligations have been Cash Collateralized in accordance with </w:t>
      </w:r>
      <w:r>
        <w:rPr>
          <w:rFonts w:ascii="Times New Roman" w:cs="Times New Roman" w:eastAsia="Times New Roman" w:hAnsi="Times New Roman"/>
          <w:sz w:val="20"/>
          <w:szCs w:val="20"/>
          <w:b w:val="1"/>
          <w:bCs w:val="1"/>
          <w:i w:val="1"/>
          <w:iCs w:val="1"/>
          <w:color w:val="auto"/>
        </w:rPr>
        <w:t>Section 6.17</w:t>
      </w:r>
      <w:r>
        <w:rPr>
          <w:rFonts w:ascii="Times New Roman" w:cs="Times New Roman" w:eastAsia="Times New Roman" w:hAnsi="Times New Roman"/>
          <w:sz w:val="20"/>
          <w:szCs w:val="20"/>
          <w:color w:val="auto"/>
        </w:rPr>
        <w:t>, the Borrower fails at any time after five (5) Business Days written notice from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
        <w:spacing w:after="0"/>
        <w:rPr>
          <w:sz w:val="20"/>
          <w:szCs w:val="20"/>
          <w:color w:val="auto"/>
        </w:rPr>
      </w:pPr>
      <w:r>
        <w:rPr>
          <w:rFonts w:ascii="Times New Roman" w:cs="Times New Roman" w:eastAsia="Times New Roman" w:hAnsi="Times New Roman"/>
          <w:sz w:val="20"/>
          <w:szCs w:val="20"/>
          <w:color w:val="auto"/>
        </w:rPr>
        <w:t xml:space="preserve">to maintain Cash Collateral to secure the Obligations at all times during the continuance of a Specified Cash Collateral Trigger Event, in either case in accordance with </w:t>
      </w:r>
      <w:r>
        <w:rPr>
          <w:rFonts w:ascii="Times New Roman" w:cs="Times New Roman" w:eastAsia="Times New Roman" w:hAnsi="Times New Roman"/>
          <w:sz w:val="20"/>
          <w:szCs w:val="20"/>
          <w:b w:val="1"/>
          <w:bCs w:val="1"/>
          <w:i w:val="1"/>
          <w:iCs w:val="1"/>
          <w:color w:val="auto"/>
        </w:rPr>
        <w:t>Section 6.17</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Without limiting the provisions of </w:t>
      </w:r>
      <w:r>
        <w:rPr>
          <w:rFonts w:ascii="Times New Roman" w:cs="Times New Roman" w:eastAsia="Times New Roman" w:hAnsi="Times New Roman"/>
          <w:sz w:val="19"/>
          <w:szCs w:val="19"/>
          <w:b w:val="1"/>
          <w:bCs w:val="1"/>
          <w:i w:val="1"/>
          <w:iCs w:val="1"/>
          <w:color w:val="auto"/>
        </w:rPr>
        <w:t>Article IX</w:t>
      </w:r>
      <w:r>
        <w:rPr>
          <w:rFonts w:ascii="Times New Roman" w:cs="Times New Roman" w:eastAsia="Times New Roman" w:hAnsi="Times New Roman"/>
          <w:sz w:val="19"/>
          <w:szCs w:val="19"/>
          <w:color w:val="auto"/>
        </w:rPr>
        <w:t>, if a Default shall have occurred under the Loan Documents, then such Default will continue to exist until it either is cured (to the extent specifically permitted) in accordance with the Loan Documents or is otherwise expressly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waived by Administrative Agent (with the approval of requisite Appropriate Lenders (in their sole discretion)) as determined in accordance with </w:t>
      </w:r>
      <w:r>
        <w:rPr>
          <w:rFonts w:ascii="Times New Roman" w:cs="Times New Roman" w:eastAsia="Times New Roman" w:hAnsi="Times New Roman"/>
          <w:sz w:val="19"/>
          <w:szCs w:val="19"/>
          <w:b w:val="1"/>
          <w:bCs w:val="1"/>
          <w:i w:val="1"/>
          <w:iCs w:val="1"/>
          <w:color w:val="auto"/>
        </w:rPr>
        <w:t>Section 11.01</w:t>
      </w:r>
      <w:r>
        <w:rPr>
          <w:rFonts w:ascii="Times New Roman" w:cs="Times New Roman" w:eastAsia="Times New Roman" w:hAnsi="Times New Roman"/>
          <w:sz w:val="19"/>
          <w:szCs w:val="19"/>
          <w:color w:val="auto"/>
        </w:rPr>
        <w:t>; and once an Event of Default occurs under the Loan Documents, then such Event of Default will continue to exist until it</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is expressly waived by the requisite Appropriate Lenders or by the Administrative Agent with the approval of the requisite Appropriate Lenders, as required hereunder in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 xml:space="preserve">8.02 </w:t>
      </w:r>
      <w:r>
        <w:rPr>
          <w:rFonts w:ascii="Times New Roman" w:cs="Times New Roman" w:eastAsia="Times New Roman" w:hAnsi="Times New Roman"/>
          <w:sz w:val="20"/>
          <w:szCs w:val="20"/>
          <w:b w:val="1"/>
          <w:bCs w:val="1"/>
          <w:color w:val="auto"/>
        </w:rPr>
        <w:t>Remedies upon Event of Default</w:t>
      </w:r>
      <w:r>
        <w:rPr>
          <w:rFonts w:ascii="Times New Roman" w:cs="Times New Roman" w:eastAsia="Times New Roman" w:hAnsi="Times New Roman"/>
          <w:sz w:val="20"/>
          <w:szCs w:val="20"/>
          <w:color w:val="auto"/>
        </w:rPr>
        <w:t>. If any Event of Default occurs and is continuing, the Administrative Agent shall, at the request of, or may, with the consent of, the Required Lenders, take any or all of the following actions:</w:t>
      </w:r>
    </w:p>
    <w:p>
      <w:pPr>
        <w:spacing w:after="0" w:line="155" w:lineRule="exact"/>
        <w:rPr>
          <w:sz w:val="20"/>
          <w:szCs w:val="20"/>
          <w:color w:val="auto"/>
        </w:rPr>
      </w:pPr>
    </w:p>
    <w:p>
      <w:pPr>
        <w:ind w:left="660" w:right="20" w:firstLine="644"/>
        <w:spacing w:after="0" w:line="233" w:lineRule="auto"/>
        <w:tabs>
          <w:tab w:leader="none" w:pos="194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L/C Obligations (in an amount equal to the Minimum Collateral Amount with respect thereto); and</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39"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upon the occurrence of an actual or deemed entry of an order for relief with respect to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8.03</w:t>
      </w:r>
      <w:r>
        <w:rPr>
          <w:sz w:val="20"/>
          <w:szCs w:val="20"/>
          <w:color w:val="auto"/>
        </w:rPr>
        <w:tab/>
      </w:r>
      <w:r>
        <w:rPr>
          <w:rFonts w:ascii="Times New Roman" w:cs="Times New Roman" w:eastAsia="Times New Roman" w:hAnsi="Times New Roman"/>
          <w:sz w:val="19"/>
          <w:szCs w:val="19"/>
          <w:b w:val="1"/>
          <w:bCs w:val="1"/>
          <w:color w:val="auto"/>
        </w:rPr>
        <w:t>Application of Funds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0" w:lineRule="auto"/>
        <w:tabs>
          <w:tab w:leader="none" w:pos="128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Times New Roman" w:cs="Times New Roman" w:eastAsia="Times New Roman" w:hAnsi="Times New Roman"/>
          <w:sz w:val="20"/>
          <w:szCs w:val="20"/>
          <w:b w:val="1"/>
          <w:bCs w:val="1"/>
          <w:i w:val="1"/>
          <w:iCs w:val="1"/>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2.15</w:t>
      </w:r>
      <w:r>
        <w:rPr>
          <w:rFonts w:ascii="Times New Roman" w:cs="Times New Roman" w:eastAsia="Times New Roman" w:hAnsi="Times New Roman"/>
          <w:sz w:val="20"/>
          <w:szCs w:val="20"/>
          <w:color w:val="auto"/>
        </w:rPr>
        <w:t>, be applied by the Administrative Agent in the following order:</w:t>
      </w:r>
    </w:p>
    <w:p>
      <w:pPr>
        <w:spacing w:after="0" w:line="147" w:lineRule="exact"/>
        <w:rPr>
          <w:sz w:val="20"/>
          <w:szCs w:val="20"/>
          <w:color w:val="auto"/>
        </w:rPr>
      </w:pPr>
    </w:p>
    <w:p>
      <w:pPr>
        <w:ind w:left="66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Secured Obligations constituting fees, indemnities, expenses and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fees, charges and disbursements of counsel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the Administrative Agent and amounts payable under </w:t>
      </w:r>
      <w:r>
        <w:rPr>
          <w:rFonts w:ascii="Times New Roman" w:cs="Times New Roman" w:eastAsia="Times New Roman" w:hAnsi="Times New Roman"/>
          <w:sz w:val="20"/>
          <w:szCs w:val="20"/>
          <w:b w:val="1"/>
          <w:bCs w:val="1"/>
          <w:i w:val="1"/>
          <w:iCs w:val="1"/>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89" w:lineRule="exact"/>
        <w:rPr>
          <w:sz w:val="20"/>
          <w:szCs w:val="20"/>
          <w:color w:val="auto"/>
        </w:rPr>
      </w:pPr>
    </w:p>
    <w:p>
      <w:pPr>
        <w:jc w:val="both"/>
        <w:ind w:left="660" w:firstLine="648"/>
        <w:spacing w:after="0" w:line="229" w:lineRule="auto"/>
        <w:rPr>
          <w:sz w:val="20"/>
          <w:szCs w:val="20"/>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payment of that portion of the Secured Obligations constituting fees, indemnities and other amounts (other than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principal, interest, and Letter of Credit Fees) payable to the Lender and the L/C Issuer (including fees, charges and disbursements of</w:t>
      </w:r>
    </w:p>
    <w:p>
      <w:pPr>
        <w:spacing w:after="0" w:line="1"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 xml:space="preserve">counsel to the respective Lenders and the L/C Issuer) arising under the Loan Documents and amounts payable under </w:t>
      </w:r>
      <w:r>
        <w:rPr>
          <w:rFonts w:ascii="Times New Roman" w:cs="Times New Roman" w:eastAsia="Times New Roman" w:hAnsi="Times New Roman"/>
          <w:sz w:val="20"/>
          <w:szCs w:val="20"/>
          <w:b w:val="1"/>
          <w:bCs w:val="1"/>
          <w:i w:val="1"/>
          <w:iCs w:val="1"/>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w:t>
      </w:r>
      <w:r>
        <w:rPr>
          <w:rFonts w:ascii="Times New Roman" w:cs="Times New Roman" w:eastAsia="Times New Roman" w:hAnsi="Times New Roman"/>
          <w:sz w:val="20"/>
          <w:szCs w:val="20"/>
          <w:b w:val="1"/>
          <w:bCs w:val="1"/>
          <w:i w:val="1"/>
          <w:iCs w:val="1"/>
          <w:color w:val="auto"/>
        </w:rPr>
        <w:t>clause Second</w:t>
      </w:r>
      <w:r>
        <w:rPr>
          <w:rFonts w:ascii="Times New Roman" w:cs="Times New Roman" w:eastAsia="Times New Roman" w:hAnsi="Times New Roman"/>
          <w:sz w:val="20"/>
          <w:szCs w:val="20"/>
          <w:color w:val="auto"/>
        </w:rPr>
        <w:t xml:space="preserve"> payable to them;</w:t>
      </w:r>
    </w:p>
    <w:p>
      <w:pPr>
        <w:spacing w:after="0" w:line="145" w:lineRule="exact"/>
        <w:rPr>
          <w:sz w:val="20"/>
          <w:szCs w:val="20"/>
          <w:color w:val="auto"/>
        </w:rPr>
      </w:pPr>
    </w:p>
    <w:p>
      <w:pPr>
        <w:jc w:val="both"/>
        <w:ind w:left="660" w:firstLine="648"/>
        <w:spacing w:after="0" w:line="232" w:lineRule="auto"/>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Secured Obligations constituting accrued and unpaid Letter of Credit Fees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interest on the Loans, L/C Borrowings and other Secured Obligations arising under the Loan Documents, ratably among the Lenders and the L/C Issuer in proportion to the respective amounts described in this </w:t>
      </w:r>
      <w:r>
        <w:rPr>
          <w:rFonts w:ascii="Times New Roman" w:cs="Times New Roman" w:eastAsia="Times New Roman" w:hAnsi="Times New Roman"/>
          <w:sz w:val="20"/>
          <w:szCs w:val="20"/>
          <w:b w:val="1"/>
          <w:bCs w:val="1"/>
          <w:i w:val="1"/>
          <w:iCs w:val="1"/>
          <w:color w:val="auto"/>
        </w:rPr>
        <w:t>clause Third</w:t>
      </w:r>
      <w:r>
        <w:rPr>
          <w:rFonts w:ascii="Times New Roman" w:cs="Times New Roman" w:eastAsia="Times New Roman" w:hAnsi="Times New Roman"/>
          <w:sz w:val="20"/>
          <w:szCs w:val="20"/>
          <w:color w:val="auto"/>
        </w:rPr>
        <w:t xml:space="preserve"> payable to them;</w:t>
      </w:r>
    </w:p>
    <w:p>
      <w:pPr>
        <w:spacing w:after="0" w:line="143"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to payment of that portion of the Secured Obligations constituting unpaid principal of the Loans, L/C Borrowings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Secured Obligations then owing under Secured Hedge Agreements and Secured Cash Management Agreements and to the to the</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Administrative Agent for the account of the L/C Issuer, to Cash Collateralize that portion of L/C Obligations comprised of the aggregate undrawn amount of Letters of Credit to the extent not otherwise Cash Collateralized by the Borrower pursuant to</w:t>
      </w:r>
    </w:p>
    <w:p>
      <w:pPr>
        <w:spacing w:after="0" w:line="1"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Sections 2.03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2.14</w:t>
      </w:r>
      <w:r>
        <w:rPr>
          <w:rFonts w:ascii="Times New Roman" w:cs="Times New Roman" w:eastAsia="Times New Roman" w:hAnsi="Times New Roman"/>
          <w:sz w:val="20"/>
          <w:szCs w:val="20"/>
          <w:color w:val="auto"/>
        </w:rPr>
        <w:t>, in each case ratably among the Administrative Agent, the Lenders, the L/C Issuer, the Hedge Banks 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Cash Management Banks in proportion to the respective amounts described in this </w:t>
      </w:r>
      <w:r>
        <w:rPr>
          <w:rFonts w:ascii="Times New Roman" w:cs="Times New Roman" w:eastAsia="Times New Roman" w:hAnsi="Times New Roman"/>
          <w:sz w:val="20"/>
          <w:szCs w:val="20"/>
          <w:b w:val="1"/>
          <w:bCs w:val="1"/>
          <w:i w:val="1"/>
          <w:iCs w:val="1"/>
          <w:color w:val="auto"/>
        </w:rPr>
        <w:t>clause Fourth</w:t>
      </w:r>
      <w:r>
        <w:rPr>
          <w:rFonts w:ascii="Times New Roman" w:cs="Times New Roman" w:eastAsia="Times New Roman" w:hAnsi="Times New Roman"/>
          <w:sz w:val="20"/>
          <w:szCs w:val="20"/>
          <w:color w:val="auto"/>
        </w:rPr>
        <w:t xml:space="preserve"> held by them; and</w:t>
      </w:r>
    </w:p>
    <w:p>
      <w:pPr>
        <w:spacing w:after="0" w:line="145" w:lineRule="exact"/>
        <w:rPr>
          <w:sz w:val="20"/>
          <w:szCs w:val="20"/>
          <w:color w:val="auto"/>
        </w:rPr>
      </w:pPr>
    </w:p>
    <w:p>
      <w:pPr>
        <w:jc w:val="both"/>
        <w:ind w:left="660"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all of the Secured Obligations have been indefeasibly paid in full, to the Borrower or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required by Law.</w:t>
      </w:r>
    </w:p>
    <w:p>
      <w:pPr>
        <w:spacing w:after="0" w:line="151" w:lineRule="exact"/>
        <w:rPr>
          <w:sz w:val="20"/>
          <w:szCs w:val="20"/>
          <w:color w:val="auto"/>
        </w:rPr>
      </w:pPr>
    </w:p>
    <w:p>
      <w:pPr>
        <w:jc w:val="both"/>
        <w:ind w:firstLine="656"/>
        <w:spacing w:after="0" w:line="217" w:lineRule="auto"/>
        <w:tabs>
          <w:tab w:leader="none" w:pos="128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i w:val="1"/>
          <w:iCs w:val="1"/>
          <w:color w:val="auto"/>
        </w:rPr>
        <w:t>Sections 2.03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2.14</w:t>
      </w:r>
      <w:r>
        <w:rPr>
          <w:rFonts w:ascii="Times New Roman" w:cs="Times New Roman" w:eastAsia="Times New Roman" w:hAnsi="Times New Roman"/>
          <w:sz w:val="20"/>
          <w:szCs w:val="20"/>
          <w:color w:val="auto"/>
        </w:rPr>
        <w:t xml:space="preserve">, amounts used to Cash Collateralize the aggregate undrawn amount of Letters of Credit pursuant to the </w:t>
      </w:r>
      <w:r>
        <w:rPr>
          <w:rFonts w:ascii="Times New Roman" w:cs="Times New Roman" w:eastAsia="Times New Roman" w:hAnsi="Times New Roman"/>
          <w:sz w:val="20"/>
          <w:szCs w:val="20"/>
          <w:b w:val="1"/>
          <w:bCs w:val="1"/>
          <w:i w:val="1"/>
          <w:iCs w:val="1"/>
          <w:color w:val="auto"/>
        </w:rPr>
        <w:t>clause 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 w:cs="Times New Roman" w:eastAsia="Times New Roman" w:hAnsi="Times New Roman"/>
          <w:sz w:val="20"/>
          <w:szCs w:val="20"/>
          <w:b w:val="1"/>
          <w:bCs w:val="1"/>
          <w:i w:val="1"/>
          <w:iCs w:val="1"/>
          <w:color w:val="auto"/>
        </w:rPr>
        <w:t>Section 8.03</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19"/>
          <w:szCs w:val="19"/>
          <w:b w:val="1"/>
          <w:bCs w:val="1"/>
          <w:color w:val="auto"/>
        </w:rPr>
        <w:t>ADMINISTRATIVE AGENT.</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9.01</w:t>
      </w:r>
      <w:r>
        <w:rPr>
          <w:sz w:val="20"/>
          <w:szCs w:val="20"/>
          <w:color w:val="auto"/>
        </w:rPr>
        <w:tab/>
      </w:r>
      <w:r>
        <w:rPr>
          <w:rFonts w:ascii="Times New Roman" w:cs="Times New Roman" w:eastAsia="Times New Roman" w:hAnsi="Times New Roman"/>
          <w:sz w:val="19"/>
          <w:szCs w:val="19"/>
          <w:b w:val="1"/>
          <w:bCs w:val="1"/>
          <w:color w:val="auto"/>
        </w:rPr>
        <w:t>Appointment and Authority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3" w:lineRule="auto"/>
        <w:tabs>
          <w:tab w:leader="none" w:pos="128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Appointment</w:t>
      </w:r>
      <w:r>
        <w:rPr>
          <w:rFonts w:ascii="Times New Roman" w:cs="Times New Roman" w:eastAsia="Times New Roman" w:hAnsi="Times New Roman"/>
          <w:sz w:val="20"/>
          <w:szCs w:val="20"/>
          <w:color w:val="auto"/>
        </w:rPr>
        <w:t>. Each of the Lenders and the L/C Issuer hereby irrevocably appoints, designates and authorizes Bank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are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 required under the laws of any jurisdiction other than the United States of America, each of the Lenders and Secured Parties hereby grants to the Administrative Agent any required powers of attorney to execute any Collateral Document or other Loan Document governed by the laws of such jurisdiction on such Lender’s or Secured Party’s behalf.</w:t>
      </w:r>
    </w:p>
    <w:p>
      <w:pPr>
        <w:spacing w:after="0" w:line="142"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The Administrative Agent shall also act as the “collateral agent” under the Loan Documents, and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b w:val="1"/>
          <w:bCs w:val="1"/>
          <w:i w:val="1"/>
          <w:iCs w:val="1"/>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 xml:space="preserve">Article XI </w:t>
      </w:r>
      <w:r>
        <w:rPr>
          <w:rFonts w:ascii="Times New Roman" w:cs="Times New Roman" w:eastAsia="Times New Roman" w:hAnsi="Times New Roman"/>
          <w:sz w:val="20"/>
          <w:szCs w:val="20"/>
          <w:color w:val="auto"/>
        </w:rPr>
        <w:t>(including</w:t>
      </w:r>
      <w:r>
        <w:rPr>
          <w:rFonts w:ascii="Times New Roman" w:cs="Times New Roman" w:eastAsia="Times New Roman" w:hAnsi="Times New Roman"/>
          <w:sz w:val="20"/>
          <w:szCs w:val="20"/>
          <w:b w:val="1"/>
          <w:bCs w:val="1"/>
          <w:i w:val="1"/>
          <w:iCs w:val="1"/>
          <w:color w:val="auto"/>
        </w:rPr>
        <w:t xml:space="preserve"> Section 11.04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as though such co-agents, sub-agents and attorneys-in-fact were the “collateral agent” under the Loan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Documents) as if set forth in full herein with respect thereto.</w:t>
      </w:r>
    </w:p>
    <w:p>
      <w:pPr>
        <w:spacing w:after="0" w:line="15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9.02 </w:t>
      </w:r>
      <w:r>
        <w:rPr>
          <w:rFonts w:ascii="Times New Roman" w:cs="Times New Roman" w:eastAsia="Times New Roman" w:hAnsi="Times New Roman"/>
          <w:sz w:val="19"/>
          <w:szCs w:val="19"/>
          <w:b w:val="1"/>
          <w:bCs w:val="1"/>
          <w:color w:val="auto"/>
        </w:rPr>
        <w:t>Rights as a Lender</w:t>
      </w:r>
      <w:r>
        <w:rPr>
          <w:rFonts w:ascii="Times New Roman" w:cs="Times New Roman" w:eastAsia="Times New Roman" w:hAnsi="Times New Roman"/>
          <w:sz w:val="19"/>
          <w:szCs w:val="19"/>
          <w:color w:val="auto"/>
        </w:rPr>
        <w:t>. The Person serving as the Administrative Agent hereunder shall have the same rights and powers in its capacity as a Lender as any other Lender and may exercise the same as though it were not the Administrative Agent and the term “Lender” or</w:t>
      </w:r>
    </w:p>
    <w:p>
      <w:pPr>
        <w:spacing w:after="0" w:line="211" w:lineRule="auto"/>
        <w:rPr>
          <w:sz w:val="20"/>
          <w:szCs w:val="20"/>
          <w:color w:val="auto"/>
        </w:rPr>
      </w:pPr>
      <w:r>
        <w:rPr>
          <w:rFonts w:ascii="Times New Roman" w:cs="Times New Roman" w:eastAsia="Times New Roman" w:hAnsi="Times New Roman"/>
          <w:sz w:val="20"/>
          <w:szCs w:val="20"/>
          <w:color w:val="auto"/>
        </w:rPr>
        <w:t>“Lenders” shall, unless otherwise expressly indicated or unless the context otherwise requires, include the Person serving as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hereunder in its individual capacity. Such Person and its Affiliates may accept deposits from, lend money to, own securities of, act as the financial advisor or in any other advisory capacity for and generally engage in any kind of banking, trust, financial,</w:t>
      </w:r>
    </w:p>
    <w:p>
      <w:pPr>
        <w:spacing w:after="0" w:line="211" w:lineRule="auto"/>
        <w:rPr>
          <w:sz w:val="20"/>
          <w:szCs w:val="20"/>
          <w:color w:val="auto"/>
        </w:rPr>
      </w:pPr>
      <w:r>
        <w:rPr>
          <w:rFonts w:ascii="Times New Roman" w:cs="Times New Roman" w:eastAsia="Times New Roman" w:hAnsi="Times New Roman"/>
          <w:sz w:val="20"/>
          <w:szCs w:val="20"/>
          <w:color w:val="auto"/>
        </w:rPr>
        <w:t>advisory, underwriting or other business with any Loan Party or any Subsidiary or other Affiliate thereof as if such Person were not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hereunder and without any duty to account therefor to the Lenders or to provide notice to or consent of the Lenders with respect thereto.</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9.03</w:t>
      </w:r>
      <w:r>
        <w:rPr>
          <w:sz w:val="20"/>
          <w:szCs w:val="20"/>
          <w:color w:val="auto"/>
        </w:rPr>
        <w:tab/>
      </w:r>
      <w:r>
        <w:rPr>
          <w:rFonts w:ascii="Times New Roman" w:cs="Times New Roman" w:eastAsia="Times New Roman" w:hAnsi="Times New Roman"/>
          <w:sz w:val="19"/>
          <w:szCs w:val="19"/>
          <w:b w:val="1"/>
          <w:bCs w:val="1"/>
          <w:color w:val="auto"/>
        </w:rPr>
        <w:t>Exculpatory Provisions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firstLine="656"/>
        <w:spacing w:after="0" w:line="233" w:lineRule="auto"/>
        <w:tabs>
          <w:tab w:leader="none" w:pos="128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Arranger, as applicable, shall not have any duties or obligations except those expressly set forth herein and in the other Loan Documents, and its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hereunder shall be administrative in nature. Without limiting the generality of the foregoing, the Administrative Agent or the Arranger, as applicable, and its Related Parties:</w:t>
      </w:r>
    </w:p>
    <w:p>
      <w:pPr>
        <w:spacing w:after="0" w:line="144" w:lineRule="exact"/>
        <w:rPr>
          <w:sz w:val="20"/>
          <w:szCs w:val="20"/>
          <w:color w:val="auto"/>
        </w:rPr>
      </w:pPr>
    </w:p>
    <w:p>
      <w:pPr>
        <w:ind w:left="1300" w:right="20" w:firstLine="652"/>
        <w:spacing w:after="0" w:line="245" w:lineRule="auto"/>
        <w:tabs>
          <w:tab w:leader="none" w:pos="259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subject to any fiduciary or other implied duties, regardless of whether a Default has occurred and is continuing;</w:t>
      </w:r>
    </w:p>
    <w:p>
      <w:pPr>
        <w:spacing w:after="0" w:line="151" w:lineRule="exact"/>
        <w:rPr>
          <w:rFonts w:ascii="Times New Roman" w:cs="Times New Roman" w:eastAsia="Times New Roman" w:hAnsi="Times New Roman"/>
          <w:sz w:val="20"/>
          <w:szCs w:val="20"/>
          <w:color w:val="auto"/>
        </w:rPr>
      </w:pPr>
    </w:p>
    <w:p>
      <w:pPr>
        <w:jc w:val="both"/>
        <w:ind w:left="1300" w:firstLine="652"/>
        <w:spacing w:after="0" w:line="213" w:lineRule="auto"/>
        <w:tabs>
          <w:tab w:leader="none" w:pos="2595"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2" w:lineRule="exact"/>
        <w:rPr>
          <w:rFonts w:ascii="Times New Roman" w:cs="Times New Roman" w:eastAsia="Times New Roman" w:hAnsi="Times New Roman"/>
          <w:sz w:val="20"/>
          <w:szCs w:val="20"/>
          <w:color w:val="auto"/>
        </w:rPr>
      </w:pPr>
    </w:p>
    <w:p>
      <w:pPr>
        <w:jc w:val="both"/>
        <w:ind w:left="1300" w:firstLine="652"/>
        <w:spacing w:after="0" w:line="217" w:lineRule="auto"/>
        <w:tabs>
          <w:tab w:leader="none" w:pos="2596"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the Arranger or any of their Related Parties in any capacity, except for notices, reports and other documents expressly required to be furnished to the Lenders and/or the L/C Issuer by the Administrative Agent herein.</w:t>
      </w:r>
    </w:p>
    <w:p>
      <w:pPr>
        <w:spacing w:after="0" w:line="160" w:lineRule="exact"/>
        <w:rPr>
          <w:rFonts w:ascii="Times New Roman" w:cs="Times New Roman" w:eastAsia="Times New Roman" w:hAnsi="Times New Roman"/>
          <w:sz w:val="20"/>
          <w:szCs w:val="20"/>
          <w:color w:val="auto"/>
        </w:rPr>
      </w:pPr>
    </w:p>
    <w:p>
      <w:pPr>
        <w:jc w:val="both"/>
        <w:ind w:firstLine="656"/>
        <w:spacing w:after="0" w:line="215" w:lineRule="auto"/>
        <w:tabs>
          <w:tab w:leader="none" w:pos="121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b w:val="1"/>
          <w:bCs w:val="1"/>
          <w:i w:val="1"/>
          <w:iCs w:val="1"/>
          <w:color w:val="auto"/>
        </w:rPr>
        <w:t xml:space="preserve">Sections 11.01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8.02</w:t>
      </w:r>
      <w:r>
        <w:rPr>
          <w:rFonts w:ascii="Times New Roman" w:cs="Times New Roman" w:eastAsia="Times New Roman" w:hAnsi="Times New Roman"/>
          <w:sz w:val="20"/>
          <w:szCs w:val="20"/>
          <w:color w:val="auto"/>
        </w:rPr>
        <w:t>) or (ii) in the absence of its own gross negligence or willful misconduct as determined by a court of competent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50" w:lineRule="exact"/>
        <w:rPr>
          <w:rFonts w:ascii="Times New Roman" w:cs="Times New Roman" w:eastAsia="Times New Roman" w:hAnsi="Times New Roman"/>
          <w:sz w:val="20"/>
          <w:szCs w:val="20"/>
          <w:color w:val="auto"/>
        </w:rPr>
      </w:pPr>
    </w:p>
    <w:p>
      <w:pPr>
        <w:jc w:val="both"/>
        <w:ind w:firstLine="656"/>
        <w:spacing w:after="0" w:line="215" w:lineRule="auto"/>
        <w:tabs>
          <w:tab w:leader="none" w:pos="1087"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b w:val="1"/>
          <w:bCs w:val="1"/>
          <w:i w:val="1"/>
          <w:iCs w:val="1"/>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9.04</w:t>
      </w:r>
      <w:r>
        <w:rPr>
          <w:sz w:val="20"/>
          <w:szCs w:val="20"/>
          <w:color w:val="auto"/>
        </w:rPr>
        <w:tab/>
      </w:r>
      <w:r>
        <w:rPr>
          <w:rFonts w:ascii="Times New Roman" w:cs="Times New Roman" w:eastAsia="Times New Roman" w:hAnsi="Times New Roman"/>
          <w:sz w:val="20"/>
          <w:szCs w:val="20"/>
          <w:b w:val="1"/>
          <w:bCs w:val="1"/>
          <w:color w:val="auto"/>
        </w:rPr>
        <w:t>Reliance by Administrative Agent</w:t>
      </w:r>
      <w:r>
        <w:rPr>
          <w:rFonts w:ascii="Times New Roman" w:cs="Times New Roman" w:eastAsia="Times New Roman" w:hAnsi="Times New Roman"/>
          <w:sz w:val="20"/>
          <w:szCs w:val="20"/>
          <w:color w:val="auto"/>
        </w:rPr>
        <w:t>. The Administrative Agent shall be entitled to rely upon, and shall be fully protected in</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relying and shall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incur any liability for relying upon, any notice, request, certificate, communication, consent, statement, instrument, document or other writing (including any electronic message, Internet or intranet website posting or other distribution) believed by it to be</w:t>
      </w:r>
    </w:p>
    <w:p>
      <w:pPr>
        <w:spacing w:after="0" w:line="211" w:lineRule="auto"/>
        <w:rPr>
          <w:sz w:val="20"/>
          <w:szCs w:val="20"/>
          <w:color w:val="auto"/>
        </w:rPr>
      </w:pPr>
      <w:r>
        <w:rPr>
          <w:rFonts w:ascii="Times New Roman" w:cs="Times New Roman" w:eastAsia="Times New Roman" w:hAnsi="Times New Roman"/>
          <w:sz w:val="20"/>
          <w:szCs w:val="20"/>
          <w:color w:val="auto"/>
        </w:rPr>
        <w:t>genuine and to have been signed, sent or otherwise authenticated by the proper Person. The Administrative Agent also may rely upon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w:t>
      </w:r>
    </w:p>
    <w:p>
      <w:pPr>
        <w:spacing w:after="0" w:line="211" w:lineRule="auto"/>
        <w:rPr>
          <w:sz w:val="20"/>
          <w:szCs w:val="20"/>
          <w:color w:val="auto"/>
        </w:rPr>
      </w:pPr>
      <w:r>
        <w:rPr>
          <w:rFonts w:ascii="Times New Roman" w:cs="Times New Roman" w:eastAsia="Times New Roman" w:hAnsi="Times New Roman"/>
          <w:sz w:val="20"/>
          <w:szCs w:val="20"/>
          <w:color w:val="auto"/>
        </w:rPr>
        <w:t>issuance, extension, renewal or increase of a Letter of Credit, that by its terms must be fulfilled to the satisfaction of a Lender or the L/C</w:t>
      </w:r>
    </w:p>
    <w:p>
      <w:pPr>
        <w:spacing w:after="0" w:line="215" w:lineRule="auto"/>
        <w:rPr>
          <w:sz w:val="20"/>
          <w:szCs w:val="20"/>
          <w:color w:val="auto"/>
        </w:rPr>
      </w:pPr>
      <w:r>
        <w:rPr>
          <w:rFonts w:ascii="Times New Roman" w:cs="Times New Roman" w:eastAsia="Times New Roman" w:hAnsi="Times New Roman"/>
          <w:sz w:val="19"/>
          <w:szCs w:val="19"/>
          <w:color w:val="auto"/>
        </w:rPr>
        <w:t>Issuer, the Administrative Agent may presume that such condition is satisfactory to such Lender or the L/C Issuer unless the Administrative Agent shall have received notice to the contrary from such Lender or the L/C Issuer prior to the making of such Loan or the issuance of such</w:t>
      </w:r>
    </w:p>
    <w:p>
      <w:pPr>
        <w:spacing w:after="0" w:line="211" w:lineRule="auto"/>
        <w:rPr>
          <w:sz w:val="20"/>
          <w:szCs w:val="20"/>
          <w:color w:val="auto"/>
        </w:rPr>
      </w:pPr>
      <w:r>
        <w:rPr>
          <w:rFonts w:ascii="Times New Roman" w:cs="Times New Roman" w:eastAsia="Times New Roman" w:hAnsi="Times New Roman"/>
          <w:sz w:val="20"/>
          <w:szCs w:val="20"/>
          <w:color w:val="auto"/>
        </w:rPr>
        <w:t>Letter of Credit. The Administrative Agent may consult with legal counsel (who may be counsel for the Loan Parties), independent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19"/>
          <w:szCs w:val="19"/>
          <w:b w:val="1"/>
          <w:bCs w:val="1"/>
          <w:i w:val="1"/>
          <w:iCs w:val="1"/>
          <w:color w:val="auto"/>
        </w:rPr>
        <w:t>Section 4.01</w:t>
      </w:r>
      <w:r>
        <w:rPr>
          <w:rFonts w:ascii="Times New Roman" w:cs="Times New Roman" w:eastAsia="Times New Roman" w:hAnsi="Times New Roman"/>
          <w:sz w:val="19"/>
          <w:szCs w:val="19"/>
          <w:color w:val="auto"/>
        </w:rPr>
        <w:t>, each Lender</w:t>
      </w:r>
    </w:p>
    <w:p>
      <w:pPr>
        <w:spacing w:after="0" w:line="211" w:lineRule="auto"/>
        <w:rPr>
          <w:sz w:val="20"/>
          <w:szCs w:val="20"/>
          <w:color w:val="auto"/>
        </w:rPr>
      </w:pPr>
      <w:r>
        <w:rPr>
          <w:rFonts w:ascii="Times New Roman" w:cs="Times New Roman" w:eastAsia="Times New Roman" w:hAnsi="Times New Roman"/>
          <w:sz w:val="20"/>
          <w:szCs w:val="20"/>
          <w:color w:val="auto"/>
        </w:rPr>
        <w:t>that has signed this Agreement shall be deemed to have consented to, approved or accepted or to be satisfied with, each document or other</w:t>
      </w:r>
    </w:p>
    <w:p>
      <w:pPr>
        <w:spacing w:after="0" w:line="221" w:lineRule="auto"/>
        <w:rPr>
          <w:sz w:val="20"/>
          <w:szCs w:val="20"/>
          <w:color w:val="auto"/>
        </w:rPr>
      </w:pPr>
      <w:r>
        <w:rPr>
          <w:rFonts w:ascii="Times New Roman" w:cs="Times New Roman" w:eastAsia="Times New Roman" w:hAnsi="Times New Roman"/>
          <w:sz w:val="20"/>
          <w:szCs w:val="20"/>
          <w:color w:val="auto"/>
        </w:rPr>
        <w:t>matter required thereunder to be consented to or approved by or acceptable or satisfactory to a Lender unless the Administrative Agent shall have received notice from such Lender prior to the proposed Closing Date specifying its objections.</w:t>
      </w:r>
    </w:p>
    <w:p>
      <w:pPr>
        <w:spacing w:after="0" w:line="15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9.05</w:t>
      </w:r>
      <w:r>
        <w:rPr>
          <w:sz w:val="20"/>
          <w:szCs w:val="20"/>
          <w:color w:val="auto"/>
        </w:rPr>
        <w:tab/>
      </w:r>
      <w:r>
        <w:rPr>
          <w:rFonts w:ascii="Times New Roman" w:cs="Times New Roman" w:eastAsia="Times New Roman" w:hAnsi="Times New Roman"/>
          <w:sz w:val="20"/>
          <w:szCs w:val="20"/>
          <w:b w:val="1"/>
          <w:bCs w:val="1"/>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w:t>
      </w:r>
    </w:p>
    <w:p>
      <w:pPr>
        <w:spacing w:after="0" w:line="204" w:lineRule="auto"/>
        <w:rPr>
          <w:sz w:val="20"/>
          <w:szCs w:val="20"/>
          <w:color w:val="auto"/>
        </w:rPr>
      </w:pPr>
      <w:r>
        <w:rPr>
          <w:rFonts w:ascii="Times New Roman" w:cs="Times New Roman" w:eastAsia="Times New Roman" w:hAnsi="Times New Roman"/>
          <w:sz w:val="20"/>
          <w:szCs w:val="20"/>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respective Related Parties. The exculpatory provisions of this </w:t>
      </w:r>
      <w:r>
        <w:rPr>
          <w:rFonts w:ascii="Times New Roman" w:cs="Times New Roman" w:eastAsia="Times New Roman" w:hAnsi="Times New Roman"/>
          <w:sz w:val="19"/>
          <w:szCs w:val="19"/>
          <w:b w:val="1"/>
          <w:bCs w:val="1"/>
          <w:i w:val="1"/>
          <w:iCs w:val="1"/>
          <w:color w:val="auto"/>
        </w:rPr>
        <w:t>Article IX</w:t>
      </w:r>
      <w:r>
        <w:rPr>
          <w:rFonts w:ascii="Times New Roman" w:cs="Times New Roman" w:eastAsia="Times New Roman" w:hAnsi="Times New Roman"/>
          <w:sz w:val="19"/>
          <w:szCs w:val="19"/>
          <w:color w:val="auto"/>
        </w:rPr>
        <w:t xml:space="preserve"> shall apply to any such sub-agent and to the Related Parties of the Administrative Agent and any such sub-agent, and shall apply to their respective activities in connection with the syndication of the Facilities</w:t>
      </w:r>
    </w:p>
    <w:p>
      <w:pPr>
        <w:spacing w:after="0" w:line="222" w:lineRule="auto"/>
        <w:rPr>
          <w:sz w:val="20"/>
          <w:szCs w:val="20"/>
          <w:color w:val="auto"/>
        </w:rPr>
      </w:pPr>
      <w:r>
        <w:rPr>
          <w:rFonts w:ascii="Times New Roman" w:cs="Times New Roman" w:eastAsia="Times New Roman" w:hAnsi="Times New Roman"/>
          <w:sz w:val="19"/>
          <w:szCs w:val="19"/>
          <w:color w:val="auto"/>
        </w:rPr>
        <w:t>as well as activities as Administrative Agent. The Administrative Agent shall not be responsible for the negligence or misconduct of any sub-</w:t>
      </w:r>
    </w:p>
    <w:p>
      <w:pPr>
        <w:spacing w:after="0" w:line="221" w:lineRule="auto"/>
        <w:rPr>
          <w:sz w:val="20"/>
          <w:szCs w:val="20"/>
          <w:color w:val="auto"/>
        </w:rPr>
      </w:pPr>
      <w:r>
        <w:rPr>
          <w:rFonts w:ascii="Times New Roman" w:cs="Times New Roman" w:eastAsia="Times New Roman" w:hAnsi="Times New Roman"/>
          <w:sz w:val="20"/>
          <w:szCs w:val="20"/>
          <w:color w:val="auto"/>
        </w:rPr>
        <w:t>agents except to the extent that a court of competent jurisdiction determines in a final and non-appealable judgment that the Administrative Agent acted with gross negligence or willful misconduct in the selection of such sub-agents.</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9.06</w:t>
      </w:r>
      <w:r>
        <w:rPr>
          <w:sz w:val="20"/>
          <w:szCs w:val="20"/>
          <w:color w:val="auto"/>
        </w:rPr>
        <w:tab/>
      </w:r>
      <w:r>
        <w:rPr>
          <w:rFonts w:ascii="Times New Roman" w:cs="Times New Roman" w:eastAsia="Times New Roman" w:hAnsi="Times New Roman"/>
          <w:sz w:val="19"/>
          <w:szCs w:val="19"/>
          <w:b w:val="1"/>
          <w:bCs w:val="1"/>
          <w:color w:val="auto"/>
        </w:rPr>
        <w:t>Resignation of Administrative Agent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The Administrative Agent may at any time give notice of its resignation to the Lenders, the L/C Issuer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any successor Administrative Agent be a Defaulting Lender. Whether or not a successor has been appointed, such resignation shall become effective in accordance with such notice on the Resignation Effective Date.</w:t>
      </w:r>
    </w:p>
    <w:p>
      <w:pPr>
        <w:spacing w:after="0" w:line="161"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Defaulting Lender. </w:t>
      </w:r>
      <w:r>
        <w:rPr>
          <w:rFonts w:ascii="Times New Roman" w:cs="Times New Roman" w:eastAsia="Times New Roman" w:hAnsi="Times New Roman"/>
          <w:sz w:val="20"/>
          <w:szCs w:val="20"/>
          <w:color w:val="auto"/>
        </w:rPr>
        <w:t>If the Person serving as Administrative Agent is a Defaulting Lender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definition thereof, the Required Lenders may, to the extent permitted by Applicable Law, by notice in writing to the Borrower and such Person remove such Person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Administrative Agent and, in consultation with the Borrower, appoint a successor. If no such successor shall have been so appointed by the</w:t>
      </w:r>
    </w:p>
    <w:p>
      <w:pPr>
        <w:spacing w:after="0" w:line="204" w:lineRule="auto"/>
        <w:rPr>
          <w:sz w:val="20"/>
          <w:szCs w:val="20"/>
          <w:color w:val="auto"/>
        </w:rPr>
      </w:pPr>
      <w:r>
        <w:rPr>
          <w:rFonts w:ascii="Times New Roman" w:cs="Times New Roman" w:eastAsia="Times New Roman" w:hAnsi="Times New Roman"/>
          <w:sz w:val="20"/>
          <w:szCs w:val="20"/>
          <w:color w:val="auto"/>
        </w:rPr>
        <w:t>Required Lenders and shall have accepted such appointment within 30 days (or such earlier day as shall be agreed by the Required Lenders) (the “</w:t>
      </w:r>
      <w:r>
        <w:rPr>
          <w:rFonts w:ascii="Times New Roman" w:cs="Times New Roman" w:eastAsia="Times New Roman" w:hAnsi="Times New Roman"/>
          <w:sz w:val="20"/>
          <w:szCs w:val="20"/>
          <w:b w:val="1"/>
          <w:bCs w:val="1"/>
          <w:i w:val="1"/>
          <w:i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w:t>
      </w:r>
    </w:p>
    <w:p>
      <w:pPr>
        <w:spacing w:after="0" w:line="163" w:lineRule="exact"/>
        <w:rPr>
          <w:sz w:val="20"/>
          <w:szCs w:val="20"/>
          <w:color w:val="auto"/>
        </w:rPr>
      </w:pPr>
    </w:p>
    <w:p>
      <w:pPr>
        <w:jc w:val="both"/>
        <w:ind w:firstLine="656"/>
        <w:spacing w:after="0" w:line="209" w:lineRule="auto"/>
        <w:tabs>
          <w:tab w:leader="none" w:pos="128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 of Resignation or Removal</w:t>
      </w:r>
      <w:r>
        <w:rPr>
          <w:rFonts w:ascii="Times New Roman" w:cs="Times New Roman" w:eastAsia="Times New Roman" w:hAnsi="Times New Roman"/>
          <w:sz w:val="20"/>
          <w:szCs w:val="20"/>
          <w:color w:val="auto"/>
        </w:rPr>
        <w:t>. With effect from the Resignation Effective Date or the Removal Effective Date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b w:val="1"/>
          <w:bCs w:val="1"/>
          <w:i w:val="1"/>
          <w:iCs w:val="1"/>
          <w:color w:val="auto"/>
        </w:rPr>
        <w:t>Section 9.06</w:t>
      </w:r>
      <w:r>
        <w:rPr>
          <w:rFonts w:ascii="Times New Roman" w:cs="Times New Roman" w:eastAsia="Times New Roman" w:hAnsi="Times New Roman"/>
          <w:sz w:val="20"/>
          <w:szCs w:val="20"/>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20"/>
          <w:szCs w:val="20"/>
          <w:b w:val="1"/>
          <w:bCs w:val="1"/>
          <w:i w:val="1"/>
          <w:iCs w:val="1"/>
          <w:color w:val="auto"/>
        </w:rPr>
        <w:t>Article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color w:val="auto"/>
        </w:rPr>
        <w:t xml:space="preserve"> shall continue in effect for the benefit of such retiring or removed Administrative Agent, its sub 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154"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L/C Issuer and Swingline Lender</w:t>
      </w:r>
      <w:r>
        <w:rPr>
          <w:rFonts w:ascii="Times New Roman" w:cs="Times New Roman" w:eastAsia="Times New Roman" w:hAnsi="Times New Roman"/>
          <w:sz w:val="20"/>
          <w:szCs w:val="20"/>
          <w:color w:val="auto"/>
        </w:rPr>
        <w:t>. Any resignation or removal by Bank of America as Administrative Agent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i w:val="1"/>
          <w:iCs w:val="1"/>
          <w:color w:val="auto"/>
        </w:rPr>
        <w:t>Section 9.06</w:t>
      </w:r>
      <w:r>
        <w:rPr>
          <w:rFonts w:ascii="Times New Roman" w:cs="Times New Roman" w:eastAsia="Times New Roman" w:hAnsi="Times New Roman"/>
          <w:sz w:val="20"/>
          <w:szCs w:val="20"/>
          <w:color w:val="auto"/>
        </w:rPr>
        <w:t xml:space="preserve">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b w:val="1"/>
          <w:bCs w:val="1"/>
          <w:i w:val="1"/>
          <w:iCs w:val="1"/>
          <w:color w:val="auto"/>
        </w:rPr>
        <w:t>Section 2.03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20"/>
          <w:szCs w:val="20"/>
          <w:b w:val="1"/>
          <w:bCs w:val="1"/>
          <w:i w:val="1"/>
          <w:iCs w:val="1"/>
          <w:color w:val="auto"/>
        </w:rPr>
        <w:t>Section 2.04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outstanding at the time of such succession or make other arrangements satisfactory to Bank of America to effectively assume the obligations of Bank of America with respect to such Letters of Credit.</w:t>
      </w:r>
    </w:p>
    <w:p>
      <w:pPr>
        <w:spacing w:after="0" w:line="13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9.07</w:t>
      </w:r>
      <w:r>
        <w:rPr>
          <w:sz w:val="20"/>
          <w:szCs w:val="20"/>
          <w:color w:val="auto"/>
        </w:rPr>
        <w:tab/>
      </w:r>
      <w:r>
        <w:rPr>
          <w:rFonts w:ascii="Times New Roman" w:cs="Times New Roman" w:eastAsia="Times New Roman" w:hAnsi="Times New Roman"/>
          <w:sz w:val="20"/>
          <w:szCs w:val="20"/>
          <w:b w:val="1"/>
          <w:bCs w:val="1"/>
          <w:color w:val="auto"/>
        </w:rPr>
        <w:t>Non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Reliance on Administrative Agent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Arranger and the Other Lenders</w:t>
      </w:r>
      <w:r>
        <w:rPr>
          <w:rFonts w:ascii="Times New Roman" w:cs="Times New Roman" w:eastAsia="Times New Roman" w:hAnsi="Times New Roman"/>
          <w:sz w:val="20"/>
          <w:szCs w:val="20"/>
          <w:color w:val="auto"/>
        </w:rPr>
        <w:t>. Each Lender and the L/C Issuer expressly</w:t>
      </w:r>
    </w:p>
    <w:p>
      <w:pPr>
        <w:spacing w:after="0" w:line="211" w:lineRule="auto"/>
        <w:rPr>
          <w:sz w:val="20"/>
          <w:szCs w:val="20"/>
          <w:color w:val="auto"/>
        </w:rPr>
      </w:pPr>
      <w:r>
        <w:rPr>
          <w:rFonts w:ascii="Times New Roman" w:cs="Times New Roman" w:eastAsia="Times New Roman" w:hAnsi="Times New Roman"/>
          <w:sz w:val="20"/>
          <w:szCs w:val="20"/>
          <w:color w:val="auto"/>
        </w:rPr>
        <w:t>acknowledges that none of the Administrative Agent nor the Arranger has made any representation or warranty to it, and that no act by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or the Arranger hereafter taken, including any consent to, and acceptance of any assignment or review of the affairs of any Loan Party or any Affiliate thereof, shall be deemed to constitute any representation or warranty by the Administrative Agent or the</w:t>
      </w:r>
    </w:p>
    <w:p>
      <w:pPr>
        <w:spacing w:after="0" w:line="211" w:lineRule="auto"/>
        <w:rPr>
          <w:sz w:val="20"/>
          <w:szCs w:val="20"/>
          <w:color w:val="auto"/>
        </w:rPr>
      </w:pPr>
      <w:r>
        <w:rPr>
          <w:rFonts w:ascii="Times New Roman" w:cs="Times New Roman" w:eastAsia="Times New Roman" w:hAnsi="Times New Roman"/>
          <w:sz w:val="20"/>
          <w:szCs w:val="20"/>
          <w:color w:val="auto"/>
        </w:rPr>
        <w:t>Arranger to any Lender or the L/C Issuer as to any matter, including whether the Administrative Agent or the Arranger have disclosed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material information in their (or their Related Parties’) possession. Each Lender and the L/C Issuer represents to the Administrative Agent and the Arranger that it has, independently and without reliance upon the Administrative Agent, the Arranger or any other Lender or any of</w:t>
      </w:r>
    </w:p>
    <w:p>
      <w:pPr>
        <w:spacing w:after="0" w:line="211" w:lineRule="auto"/>
        <w:rPr>
          <w:sz w:val="20"/>
          <w:szCs w:val="20"/>
          <w:color w:val="auto"/>
        </w:rPr>
      </w:pPr>
      <w:r>
        <w:rPr>
          <w:rFonts w:ascii="Times New Roman" w:cs="Times New Roman" w:eastAsia="Times New Roman" w:hAnsi="Times New Roman"/>
          <w:sz w:val="20"/>
          <w:szCs w:val="20"/>
          <w:color w:val="auto"/>
        </w:rPr>
        <w:t>their Related Parties and based on such documents and information as it has deemed appropriate, made its own credit analysis of, appraisal</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of, and investigation into, the business, prospects, operations, property, financial and other condition and creditworthiness of the Loan Parties and their Subsidiaries, and all applicable bank or other regulatory Laws relating to the transactions contemplated hereby, and made its own</w:t>
      </w:r>
    </w:p>
    <w:p>
      <w:pPr>
        <w:spacing w:after="0" w:line="222" w:lineRule="auto"/>
        <w:rPr>
          <w:sz w:val="20"/>
          <w:szCs w:val="20"/>
          <w:color w:val="auto"/>
        </w:rPr>
      </w:pPr>
      <w:r>
        <w:rPr>
          <w:rFonts w:ascii="Times New Roman" w:cs="Times New Roman" w:eastAsia="Times New Roman" w:hAnsi="Times New Roman"/>
          <w:sz w:val="19"/>
          <w:szCs w:val="19"/>
          <w:color w:val="auto"/>
        </w:rPr>
        <w:t>decision to enter into this Agreement and to extend credit to the Borrower hereunder. Each Lender and the L/C Issuer also acknowledges that</w:t>
      </w:r>
    </w:p>
    <w:p>
      <w:pPr>
        <w:jc w:val="both"/>
        <w:spacing w:after="0" w:line="204" w:lineRule="auto"/>
        <w:rPr>
          <w:sz w:val="20"/>
          <w:szCs w:val="20"/>
          <w:color w:val="auto"/>
        </w:rPr>
      </w:pPr>
      <w:r>
        <w:rPr>
          <w:rFonts w:ascii="Times New Roman" w:cs="Times New Roman" w:eastAsia="Times New Roman" w:hAnsi="Times New Roman"/>
          <w:sz w:val="20"/>
          <w:szCs w:val="20"/>
          <w:color w:val="auto"/>
        </w:rPr>
        <w:t>it will, independently and without reliance upon the Administrative Agent, the Arranger or any other Lender or any of their Related Parties and based on such documents and information as it shall from time to time deem appropriate, continue to make its own credit analysis,</w:t>
      </w:r>
    </w:p>
    <w:p>
      <w:pPr>
        <w:spacing w:after="0" w:line="211" w:lineRule="auto"/>
        <w:rPr>
          <w:sz w:val="20"/>
          <w:szCs w:val="20"/>
          <w:color w:val="auto"/>
        </w:rPr>
      </w:pPr>
      <w:r>
        <w:rPr>
          <w:rFonts w:ascii="Times New Roman" w:cs="Times New Roman" w:eastAsia="Times New Roman" w:hAnsi="Times New Roman"/>
          <w:sz w:val="20"/>
          <w:szCs w:val="20"/>
          <w:color w:val="auto"/>
        </w:rPr>
        <w:t>appraisals and decisions in taking or not taking action under or based upon this Agreement, any other Loan Document or any related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agreement or any document furnished hereunder or thereunder, and to make such investigations as it deems necessary to inform itself as to the business, prospects, operations, property, financial and other condition and creditworthiness of the Loan Parties. Each Lender and the L/C</w:t>
      </w:r>
    </w:p>
    <w:p>
      <w:pPr>
        <w:jc w:val="both"/>
        <w:spacing w:after="0" w:line="204" w:lineRule="auto"/>
        <w:rPr>
          <w:sz w:val="20"/>
          <w:szCs w:val="20"/>
          <w:color w:val="auto"/>
        </w:rPr>
      </w:pPr>
      <w:r>
        <w:rPr>
          <w:rFonts w:ascii="Times New Roman" w:cs="Times New Roman" w:eastAsia="Times New Roman" w:hAnsi="Times New Roman"/>
          <w:sz w:val="20"/>
          <w:szCs w:val="20"/>
          <w:color w:val="auto"/>
        </w:rPr>
        <w:t>Issuer represents and warrants that (i) the Loan Documents set forth the terms of a commercial lending facility, and (ii) it is engaged in making, acquiring or holding commercial loans in the ordinary course and is entering into this Agreement as a Lender or L/C Issuer for the</w:t>
      </w:r>
    </w:p>
    <w:p>
      <w:pPr>
        <w:spacing w:after="0" w:line="223" w:lineRule="auto"/>
        <w:rPr>
          <w:sz w:val="20"/>
          <w:szCs w:val="20"/>
          <w:color w:val="auto"/>
        </w:rPr>
      </w:pPr>
      <w:r>
        <w:rPr>
          <w:rFonts w:ascii="Times New Roman" w:cs="Times New Roman" w:eastAsia="Times New Roman" w:hAnsi="Times New Roman"/>
          <w:sz w:val="19"/>
          <w:szCs w:val="19"/>
          <w:color w:val="auto"/>
        </w:rPr>
        <w:t>purpose of making, acquiring or holding commercial loans and providing other facilities set forth herein as may be applicable to such Lender</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or L/C Issuer, and not for the purpose of purchasing, acquiring or holding any other type of financial instrument, and each Lender and the L/C Issuer agrees not to assert a claim in contravention of the foregoing. Each Lender and the L/C Issuer represents and warrants that it is</w:t>
      </w:r>
    </w:p>
    <w:p>
      <w:pPr>
        <w:spacing w:after="0" w:line="211" w:lineRule="auto"/>
        <w:rPr>
          <w:sz w:val="20"/>
          <w:szCs w:val="20"/>
          <w:color w:val="auto"/>
        </w:rPr>
      </w:pPr>
      <w:r>
        <w:rPr>
          <w:rFonts w:ascii="Times New Roman" w:cs="Times New Roman" w:eastAsia="Times New Roman" w:hAnsi="Times New Roman"/>
          <w:sz w:val="20"/>
          <w:szCs w:val="20"/>
          <w:color w:val="auto"/>
        </w:rPr>
        <w:t>sophisticated with respect to decisions to make, acquire and/or hold commercial loans and to provide other facilities set forth herein, as may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be applicable to such Lender or such L/C Issuer, and either it, or the Person exercising discretion in making its decision to make, acquire and/or hold such commercial loans or to provide such other facilities, is experienced in making, acquiring or holding such commercial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providing such other facilities.</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9.08 </w:t>
      </w:r>
      <w:r>
        <w:rPr>
          <w:rFonts w:ascii="Times New Roman" w:cs="Times New Roman" w:eastAsia="Times New Roman" w:hAnsi="Times New Roman"/>
          <w:sz w:val="19"/>
          <w:szCs w:val="19"/>
          <w:b w:val="1"/>
          <w:bCs w:val="1"/>
          <w:color w:val="auto"/>
        </w:rPr>
        <w:t>No Other Duties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Etc</w:t>
      </w:r>
      <w:r>
        <w:rPr>
          <w:rFonts w:ascii="Times New Roman" w:cs="Times New Roman" w:eastAsia="Times New Roman" w:hAnsi="Times New Roman"/>
          <w:sz w:val="19"/>
          <w:szCs w:val="19"/>
          <w:color w:val="auto"/>
        </w:rPr>
        <w:t>. Anything herein to the contrary notwithstanding, none of the titles listed on the cover page hereof shall have any powers, duties or responsibilities under this Agreement or any of the other Loan Documents, except in its capacity, as applicable,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Administrative Agent, the Arranger, a Lender or the L/C Issuer hereunder.</w:t>
      </w:r>
    </w:p>
    <w:p>
      <w:pPr>
        <w:spacing w:after="0" w:line="16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9.09</w:t>
      </w:r>
      <w:r>
        <w:rPr>
          <w:sz w:val="20"/>
          <w:szCs w:val="20"/>
          <w:color w:val="auto"/>
        </w:rPr>
        <w:tab/>
      </w:r>
      <w:r>
        <w:rPr>
          <w:rFonts w:ascii="Times New Roman" w:cs="Times New Roman" w:eastAsia="Times New Roman" w:hAnsi="Times New Roman"/>
          <w:sz w:val="19"/>
          <w:szCs w:val="19"/>
          <w:b w:val="1"/>
          <w:bCs w:val="1"/>
          <w:color w:val="auto"/>
        </w:rPr>
        <w:t>Administrative Agent May File Proofs of Claim</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Credit Bidding</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56"/>
        <w:spacing w:after="0" w:line="222" w:lineRule="auto"/>
        <w:tabs>
          <w:tab w:leader="none" w:pos="128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firstLine="652"/>
        <w:spacing w:after="0" w:line="215" w:lineRule="auto"/>
        <w:tabs>
          <w:tab w:leader="none" w:pos="259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b w:val="1"/>
          <w:bCs w:val="1"/>
          <w:i w:val="1"/>
          <w:iCs w:val="1"/>
          <w:color w:val="auto"/>
        </w:rPr>
        <w:t>Sections 2.03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11.04</w:t>
      </w:r>
      <w:r>
        <w:rPr>
          <w:rFonts w:ascii="Times New Roman" w:cs="Times New Roman" w:eastAsia="Times New Roman" w:hAnsi="Times New Roman"/>
          <w:sz w:val="20"/>
          <w:szCs w:val="20"/>
          <w:color w:val="auto"/>
        </w:rPr>
        <w:t>) allowed in such judicial proceeding; and</w:t>
      </w:r>
    </w:p>
    <w:p>
      <w:pPr>
        <w:spacing w:after="0" w:line="164" w:lineRule="exact"/>
        <w:rPr>
          <w:rFonts w:ascii="Times New Roman" w:cs="Times New Roman" w:eastAsia="Times New Roman" w:hAnsi="Times New Roman"/>
          <w:sz w:val="20"/>
          <w:szCs w:val="20"/>
          <w:color w:val="auto"/>
        </w:rPr>
      </w:pPr>
    </w:p>
    <w:p>
      <w:pPr>
        <w:ind w:left="1300" w:firstLine="652"/>
        <w:spacing w:after="0" w:line="233" w:lineRule="auto"/>
        <w:tabs>
          <w:tab w:leader="none" w:pos="259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and any custodian, receiver, assignee, trustee, liquidator, sequestrator or other similar official in any such judicial proceeding</w:t>
      </w:r>
    </w:p>
    <w:p>
      <w:pPr>
        <w:spacing w:after="0" w:line="6"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is hereby authorized by each Lender and the L/C Issuer to make such payments to the Administrative Agent and, in the event that the Administrative Agent shall consent to the making of such payments directly to the Lenders and the L/C Issuer, to pay</w:t>
      </w:r>
    </w:p>
    <w:p>
      <w:pPr>
        <w:ind w:left="1300"/>
        <w:spacing w:after="0" w:line="211" w:lineRule="auto"/>
        <w:rPr>
          <w:sz w:val="20"/>
          <w:szCs w:val="20"/>
          <w:color w:val="auto"/>
        </w:rPr>
      </w:pPr>
      <w:r>
        <w:rPr>
          <w:rFonts w:ascii="Times New Roman" w:cs="Times New Roman" w:eastAsia="Times New Roman" w:hAnsi="Times New Roman"/>
          <w:sz w:val="20"/>
          <w:szCs w:val="20"/>
          <w:color w:val="auto"/>
        </w:rPr>
        <w:t>to the Administrative Agent any amount due for the reasonable compensation, expenses, disbursements and advances of the</w:t>
      </w: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 xml:space="preserve">Administrative Agent and its agents and counsel, and any other amounts due the Administrative Agent under </w:t>
      </w:r>
      <w:r>
        <w:rPr>
          <w:rFonts w:ascii="Times New Roman" w:cs="Times New Roman" w:eastAsia="Times New Roman" w:hAnsi="Times New Roman"/>
          <w:sz w:val="20"/>
          <w:szCs w:val="20"/>
          <w:b w:val="1"/>
          <w:bCs w:val="1"/>
          <w:i w:val="1"/>
          <w:iCs w:val="1"/>
          <w:color w:val="auto"/>
        </w:rPr>
        <w:t>Sections 2.09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2.10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11.04</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56"/>
        <w:spacing w:after="0" w:line="222" w:lineRule="auto"/>
        <w:tabs>
          <w:tab w:leader="none" w:pos="128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spacing w:after="0" w:line="148" w:lineRule="exact"/>
        <w:rPr>
          <w:rFonts w:ascii="Times New Roman" w:cs="Times New Roman" w:eastAsia="Times New Roman" w:hAnsi="Times New Roman"/>
          <w:sz w:val="20"/>
          <w:szCs w:val="20"/>
          <w:color w:val="auto"/>
        </w:rPr>
      </w:pPr>
    </w:p>
    <w:p>
      <w:pPr>
        <w:jc w:val="both"/>
        <w:ind w:firstLine="656"/>
        <w:spacing w:after="0" w:line="221" w:lineRule="auto"/>
        <w:tabs>
          <w:tab w:leader="none" w:pos="1286"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w:t>
      </w:r>
      <w:r>
        <w:rPr>
          <w:rFonts w:ascii="Times New Roman" w:cs="Times New Roman" w:eastAsia="Times New Roman" w:hAnsi="Times New Roman"/>
          <w:sz w:val="19"/>
          <w:szCs w:val="19"/>
          <w:i w:val="1"/>
          <w:iCs w:val="1"/>
          <w:color w:val="auto"/>
        </w:rPr>
        <w:t>Sections 363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1123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1129</w:t>
      </w:r>
      <w:r>
        <w:rPr>
          <w:rFonts w:ascii="Times New Roman" w:cs="Times New Roman" w:eastAsia="Times New Roman" w:hAnsi="Times New Roman"/>
          <w:sz w:val="19"/>
          <w:szCs w:val="19"/>
          <w:color w:val="auto"/>
        </w:rPr>
        <w:t xml:space="preserve">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9"/>
          <w:szCs w:val="19"/>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Section 11.01</w:t>
      </w:r>
      <w:r>
        <w:rPr>
          <w:rFonts w:ascii="Times New Roman" w:cs="Times New Roman" w:eastAsia="Times New Roman" w:hAnsi="Times New Roman"/>
          <w:sz w:val="19"/>
          <w:szCs w:val="19"/>
          <w:color w:val="auto"/>
        </w:rPr>
        <w:t xml:space="preserve"> of this Agreement), and (C)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that Secured Obligations that are assigned to an acquisition vehicle are not used to acquire Collateral for any reason (as a result of another bid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being higher or better, because the amount of Secured Obligations assigned to the acquisition vehicle exceeds the amount of debt credit bid by the acquisition vehicle or otherwise), such Secured Obligations shall automatically be reassigned to the Lenders pro rata and the Equity</w:t>
      </w:r>
    </w:p>
    <w:p>
      <w:pPr>
        <w:spacing w:after="0" w:line="211" w:lineRule="auto"/>
        <w:rPr>
          <w:sz w:val="20"/>
          <w:szCs w:val="20"/>
          <w:color w:val="auto"/>
        </w:rPr>
      </w:pPr>
      <w:r>
        <w:rPr>
          <w:rFonts w:ascii="Times New Roman" w:cs="Times New Roman" w:eastAsia="Times New Roman" w:hAnsi="Times New Roman"/>
          <w:sz w:val="20"/>
          <w:szCs w:val="20"/>
          <w:color w:val="auto"/>
        </w:rPr>
        <w:t>Interests and/or debt instruments issued by any acquisition vehicle on account of the Secured Obligations that had been assigned to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acquisition vehicle shall automatically be cancelled, without the need for any Secured Party or any acquisition vehicle to take any further action.</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9.10</w:t>
      </w:r>
      <w:r>
        <w:rPr>
          <w:sz w:val="20"/>
          <w:szCs w:val="20"/>
          <w:color w:val="auto"/>
        </w:rPr>
        <w:tab/>
      </w:r>
      <w:r>
        <w:rPr>
          <w:rFonts w:ascii="Times New Roman" w:cs="Times New Roman" w:eastAsia="Times New Roman" w:hAnsi="Times New Roman"/>
          <w:sz w:val="19"/>
          <w:szCs w:val="19"/>
          <w:b w:val="1"/>
          <w:bCs w:val="1"/>
          <w:color w:val="auto"/>
        </w:rPr>
        <w:t>Collateral and Guaranty Matters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firstLine="656"/>
        <w:spacing w:after="0" w:line="233" w:lineRule="auto"/>
        <w:tabs>
          <w:tab w:leader="none" w:pos="128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Cash Management Bank and a potential Hedge Bank) and the L/C Issuer irrevocably authorize the Administrative Agent, at its option and in its discretion,</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5" w:lineRule="auto"/>
        <w:tabs>
          <w:tab w:leader="none" w:pos="2594" w:val="left"/>
        </w:tabs>
        <w:numPr>
          <w:ilvl w:val="2"/>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or</w:t>
      </w:r>
    </w:p>
    <w:p>
      <w:pPr>
        <w:spacing w:after="0" w:line="1" w:lineRule="exact"/>
        <w:rPr>
          <w:rFonts w:ascii="Times New Roman" w:cs="Times New Roman" w:eastAsia="Times New Roman" w:hAnsi="Times New Roman"/>
          <w:sz w:val="19"/>
          <w:szCs w:val="19"/>
          <w:color w:val="auto"/>
        </w:rPr>
      </w:pPr>
    </w:p>
    <w:p>
      <w:pPr>
        <w:ind w:left="1660" w:hanging="356"/>
        <w:spacing w:after="0"/>
        <w:tabs>
          <w:tab w:leader="none" w:pos="1660"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approved, authorized or ratified in writing by the Required Lenders in accordance with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left="1300" w:right="20" w:firstLine="652"/>
        <w:spacing w:after="0" w:line="233" w:lineRule="auto"/>
        <w:tabs>
          <w:tab w:leader="none" w:pos="2595"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b w:val="1"/>
          <w:bCs w:val="1"/>
          <w:i w:val="1"/>
          <w:iCs w:val="1"/>
          <w:color w:val="auto"/>
        </w:rPr>
        <w:t>Section 7.01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ind w:left="1300" w:firstLine="652"/>
        <w:spacing w:after="0"/>
        <w:tabs>
          <w:tab w:leader="none" w:pos="2596"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Guaranty if such Person ceases to be a Subsidiary as a result of a transaction permitted under the Loan Documents.</w:t>
      </w:r>
    </w:p>
    <w:p>
      <w:pPr>
        <w:spacing w:after="0" w:line="147"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b w:val="1"/>
          <w:bCs w:val="1"/>
          <w:i w:val="1"/>
          <w:iCs w:val="1"/>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b w:val="1"/>
          <w:bCs w:val="1"/>
          <w:i w:val="1"/>
          <w:iCs w:val="1"/>
          <w:color w:val="auto"/>
        </w:rPr>
        <w:t>Section 9.10</w:t>
      </w:r>
      <w:r>
        <w:rPr>
          <w:rFonts w:ascii="Times New Roman" w:cs="Times New Roman" w:eastAsia="Times New Roman" w:hAnsi="Times New Roman"/>
          <w:sz w:val="20"/>
          <w:szCs w:val="20"/>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0"/>
          <w:szCs w:val="20"/>
          <w:b w:val="1"/>
          <w:bCs w:val="1"/>
          <w:i w:val="1"/>
          <w:iCs w:val="1"/>
          <w:color w:val="auto"/>
        </w:rPr>
        <w:t>Section 9.10</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3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20"/>
          <w:szCs w:val="20"/>
          <w:b w:val="1"/>
          <w:bCs w:val="1"/>
          <w:color w:val="auto"/>
        </w:rPr>
        <w:t>Secured Cash Management Agreements and Secured Hedge Agreements</w:t>
      </w:r>
      <w:r>
        <w:rPr>
          <w:rFonts w:ascii="Times New Roman" w:cs="Times New Roman" w:eastAsia="Times New Roman" w:hAnsi="Times New Roman"/>
          <w:sz w:val="20"/>
          <w:szCs w:val="20"/>
          <w:color w:val="auto"/>
        </w:rPr>
        <w:t>. Except as otherwise expressly set forth herein</w:t>
      </w:r>
    </w:p>
    <w:p>
      <w:pPr>
        <w:spacing w:after="0" w:line="211" w:lineRule="auto"/>
        <w:rPr>
          <w:sz w:val="20"/>
          <w:szCs w:val="20"/>
          <w:color w:val="auto"/>
        </w:rPr>
      </w:pPr>
      <w:r>
        <w:rPr>
          <w:rFonts w:ascii="Times New Roman" w:cs="Times New Roman" w:eastAsia="Times New Roman" w:hAnsi="Times New Roman"/>
          <w:sz w:val="20"/>
          <w:szCs w:val="20"/>
          <w:color w:val="auto"/>
        </w:rPr>
        <w:t>or in any Guaranty or any Collateral Document, no Cash Management Bank or Hedge Bank that obtains the benefit of the provisions of</w:t>
      </w:r>
    </w:p>
    <w:p>
      <w:pPr>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Section 8.03</w:t>
      </w:r>
      <w:r>
        <w:rPr>
          <w:rFonts w:ascii="Times New Roman" w:cs="Times New Roman" w:eastAsia="Times New Roman" w:hAnsi="Times New Roman"/>
          <w:sz w:val="20"/>
          <w:szCs w:val="20"/>
          <w:color w:val="auto"/>
        </w:rPr>
        <w:t>, any Guaranty or any Collateral by virtue of the provisions hereof or any Collateral Document shall have any right to notice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action or to consent to, direct or object to any action hereunder or under any other Loan Document or otherwise in respect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Collateral (including the release or impairment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Collateral) (or to notice of or to consent to any amendment, waiver or modification of the provisions hereof or of the Guaranty or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b w:val="1"/>
          <w:bCs w:val="1"/>
          <w:i w:val="1"/>
          <w:iCs w:val="1"/>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w:t>
      </w:r>
    </w:p>
    <w:p>
      <w:pPr>
        <w:spacing w:after="0" w:line="211" w:lineRule="auto"/>
        <w:rPr>
          <w:sz w:val="20"/>
          <w:szCs w:val="20"/>
          <w:color w:val="auto"/>
        </w:rPr>
      </w:pPr>
      <w:r>
        <w:rPr>
          <w:rFonts w:ascii="Times New Roman" w:cs="Times New Roman" w:eastAsia="Times New Roman" w:hAnsi="Times New Roman"/>
          <w:sz w:val="20"/>
          <w:szCs w:val="20"/>
          <w:color w:val="auto"/>
        </w:rPr>
        <w:t>of, or that other satisfactory arrangements have been made with respect to, Secured Obligations arising under Secured Cash Management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Agreements and Secured Hedge Agreements except to the extent expressly provided herein and unless the Administrative Agent has received a Secured Party Designation Notice of such Secured Obligations, together with such supporting documentation as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may request, from the applicable Cash Management Bank or Hedge Bank, as the case may be. The Administrative Agent shall not be</w:t>
      </w:r>
    </w:p>
    <w:p>
      <w:pPr>
        <w:ind w:right="20"/>
        <w:spacing w:after="0" w:line="221" w:lineRule="auto"/>
        <w:rPr>
          <w:sz w:val="20"/>
          <w:szCs w:val="20"/>
          <w:color w:val="auto"/>
        </w:rPr>
      </w:pPr>
      <w:r>
        <w:rPr>
          <w:rFonts w:ascii="Times New Roman" w:cs="Times New Roman" w:eastAsia="Times New Roman" w:hAnsi="Times New Roman"/>
          <w:sz w:val="20"/>
          <w:szCs w:val="20"/>
          <w:color w:val="auto"/>
        </w:rPr>
        <w:t>required to verify the payment of, or that other satisfactory arrangements have been made with respect to, Secured Obligations arising under Secured Cash Management Agreements and Secured Hedge Agreements in the case of a Facility Termination Date.</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b w:val="1"/>
          <w:bCs w:val="1"/>
          <w:color w:val="auto"/>
        </w:rPr>
        <w:t>Certain ERISA Matters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22" w:lineRule="auto"/>
        <w:tabs>
          <w:tab w:leader="none" w:pos="128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44"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95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w:t>
      </w:r>
      <w:r>
        <w:rPr>
          <w:rFonts w:ascii="Times New Roman" w:cs="Times New Roman" w:eastAsia="Times New Roman" w:hAnsi="Times New Roman"/>
          <w:sz w:val="20"/>
          <w:szCs w:val="20"/>
          <w:i w:val="1"/>
          <w:iCs w:val="1"/>
          <w:color w:val="auto"/>
        </w:rPr>
        <w:t>plan assets</w:t>
      </w:r>
      <w:r>
        <w:rPr>
          <w:rFonts w:ascii="Times New Roman" w:cs="Times New Roman" w:eastAsia="Times New Roman" w:hAnsi="Times New Roman"/>
          <w:sz w:val="20"/>
          <w:szCs w:val="20"/>
          <w:color w:val="auto"/>
        </w:rPr>
        <w:t xml:space="preserve">” (within the meaning of </w:t>
      </w:r>
      <w:r>
        <w:rPr>
          <w:rFonts w:ascii="Times New Roman" w:cs="Times New Roman" w:eastAsia="Times New Roman" w:hAnsi="Times New Roman"/>
          <w:sz w:val="20"/>
          <w:szCs w:val="20"/>
          <w:i w:val="1"/>
          <w:iCs w:val="1"/>
          <w:color w:val="auto"/>
        </w:rPr>
        <w:t>Section 3(42)</w:t>
      </w:r>
      <w:r>
        <w:rPr>
          <w:rFonts w:ascii="Times New Roman" w:cs="Times New Roman" w:eastAsia="Times New Roman" w:hAnsi="Times New Roman"/>
          <w:sz w:val="20"/>
          <w:szCs w:val="20"/>
          <w:color w:val="auto"/>
        </w:rPr>
        <w:t xml:space="preserve"> of ERISA or otherwise) of one or more Benefit Plans with respect to such Lender’s entrance into, participation in, administration of and performance of the Loans, the Letters of Credit, the Commitments, or this agreement,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5"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56"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w:t>
      </w:r>
      <w:r>
        <w:rPr>
          <w:rFonts w:ascii="Times New Roman" w:cs="Times New Roman" w:eastAsia="Times New Roman" w:hAnsi="Times New Roman"/>
          <w:sz w:val="20"/>
          <w:szCs w:val="20"/>
          <w:i w:val="1"/>
          <w:iCs w:val="1"/>
          <w:color w:val="auto"/>
        </w:rPr>
        <w:t>Qualified Professional Asset Manager</w:t>
      </w:r>
      <w:r>
        <w:rPr>
          <w:rFonts w:ascii="Times New Roman" w:cs="Times New Roman" w:eastAsia="Times New Roman" w:hAnsi="Times New Roman"/>
          <w:sz w:val="20"/>
          <w:szCs w:val="20"/>
          <w:color w:val="auto"/>
        </w:rPr>
        <w:t xml:space="preserve">” (within the meaning of </w:t>
      </w:r>
      <w:r>
        <w:rPr>
          <w:rFonts w:ascii="Times New Roman" w:cs="Times New Roman" w:eastAsia="Times New Roman" w:hAnsi="Times New Roman"/>
          <w:sz w:val="20"/>
          <w:szCs w:val="20"/>
          <w:i w:val="1"/>
          <w:iCs w:val="1"/>
          <w:color w:val="auto"/>
        </w:rPr>
        <w:t>Part VI</w:t>
      </w:r>
      <w:r>
        <w:rPr>
          <w:rFonts w:ascii="Times New Roman" w:cs="Times New Roman" w:eastAsia="Times New Roman" w:hAnsi="Times New Roman"/>
          <w:sz w:val="20"/>
          <w:szCs w:val="20"/>
          <w:color w:val="auto"/>
        </w:rPr>
        <w:t xml:space="preserve">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w:t>
      </w:r>
      <w:r>
        <w:rPr>
          <w:rFonts w:ascii="Times New Roman" w:cs="Times New Roman" w:eastAsia="Times New Roman" w:hAnsi="Times New Roman"/>
          <w:sz w:val="20"/>
          <w:szCs w:val="20"/>
          <w:i w:val="1"/>
          <w:iCs w:val="1"/>
          <w:color w:val="auto"/>
        </w:rPr>
        <w:t>subsections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i w:val="1"/>
          <w:iCs w:val="1"/>
          <w:color w:val="auto"/>
        </w:rPr>
        <w:t>Part I</w:t>
      </w:r>
      <w:r>
        <w:rPr>
          <w:rFonts w:ascii="Times New Roman" w:cs="Times New Roman" w:eastAsia="Times New Roman" w:hAnsi="Times New Roman"/>
          <w:sz w:val="20"/>
          <w:szCs w:val="20"/>
          <w:color w:val="auto"/>
        </w:rPr>
        <w:t xml:space="preserve"> of PTE 84-14 and (D) to the best knowledge of such Lender, the requirements of </w:t>
      </w:r>
      <w:r>
        <w:rPr>
          <w:rFonts w:ascii="Times New Roman" w:cs="Times New Roman" w:eastAsia="Times New Roman" w:hAnsi="Times New Roman"/>
          <w:sz w:val="20"/>
          <w:szCs w:val="20"/>
          <w:i w:val="1"/>
          <w:iCs w:val="1"/>
          <w:color w:val="auto"/>
        </w:rPr>
        <w:t>subsection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i w:val="1"/>
          <w:iCs w:val="1"/>
          <w:color w:val="auto"/>
        </w:rPr>
        <w:t>Part I</w:t>
      </w:r>
      <w:r>
        <w:rPr>
          <w:rFonts w:ascii="Times New Roman" w:cs="Times New Roman" w:eastAsia="Times New Roman" w:hAnsi="Times New Roman"/>
          <w:sz w:val="20"/>
          <w:szCs w:val="20"/>
          <w:color w:val="auto"/>
        </w:rPr>
        <w:t xml:space="preserve"> of PTE 84-14 are satisfied with respect to such Lender’s entrance into, participation in, administration of and performance of the Loans, the Letters of Credit, the Commitments and this Agreement, or</w:t>
      </w:r>
    </w:p>
    <w:p>
      <w:pPr>
        <w:spacing w:after="0" w:line="148" w:lineRule="exact"/>
        <w:rPr>
          <w:rFonts w:ascii="Times New Roman" w:cs="Times New Roman" w:eastAsia="Times New Roman" w:hAnsi="Times New Roman"/>
          <w:sz w:val="20"/>
          <w:szCs w:val="20"/>
          <w:color w:val="auto"/>
        </w:rPr>
      </w:pPr>
    </w:p>
    <w:p>
      <w:pPr>
        <w:ind w:left="660" w:right="20" w:firstLine="644"/>
        <w:spacing w:after="0"/>
        <w:tabs>
          <w:tab w:leader="none" w:pos="1945"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0" w:firstLine="642"/>
        <w:spacing w:after="0" w:line="226" w:lineRule="auto"/>
        <w:tabs>
          <w:tab w:leader="none" w:pos="1303"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unless either (1) </w:t>
      </w:r>
      <w:r>
        <w:rPr>
          <w:rFonts w:ascii="Times New Roman" w:cs="Times New Roman" w:eastAsia="Times New Roman" w:hAnsi="Times New Roman"/>
          <w:sz w:val="19"/>
          <w:szCs w:val="19"/>
          <w:b w:val="1"/>
          <w:bCs w:val="1"/>
          <w:i w:val="1"/>
          <w:iCs w:val="1"/>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b w:val="1"/>
          <w:bCs w:val="1"/>
          <w:i w:val="1"/>
          <w:iCs w:val="1"/>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w:t>
      </w:r>
      <w:r>
        <w:rPr>
          <w:rFonts w:ascii="Times New Roman" w:cs="Times New Roman" w:eastAsia="Times New Roman" w:hAnsi="Times New Roman"/>
          <w:sz w:val="19"/>
          <w:szCs w:val="19"/>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9"/>
          <w:szCs w:val="19"/>
          <w:b w:val="1"/>
          <w:bCs w:val="1"/>
          <w:i w:val="1"/>
          <w:iCs w:val="1"/>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iv</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b w:val="1"/>
          <w:bCs w:val="1"/>
          <w:i w:val="1"/>
          <w:iCs w:val="1"/>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w:t>
      </w:r>
      <w:r>
        <w:rPr>
          <w:rFonts w:ascii="Times New Roman" w:cs="Times New Roman" w:eastAsia="Times New Roman" w:hAnsi="Times New Roman"/>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0"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9.13 </w:t>
      </w:r>
      <w:r>
        <w:rPr>
          <w:rFonts w:ascii="Times New Roman" w:cs="Times New Roman" w:eastAsia="Times New Roman" w:hAnsi="Times New Roman"/>
          <w:sz w:val="20"/>
          <w:szCs w:val="20"/>
          <w:b w:val="1"/>
          <w:bCs w:val="1"/>
          <w:color w:val="auto"/>
        </w:rPr>
        <w:t>Recovery of Erroneous Payments</w:t>
      </w:r>
      <w:r>
        <w:rPr>
          <w:rFonts w:ascii="Times New Roman" w:cs="Times New Roman" w:eastAsia="Times New Roman" w:hAnsi="Times New Roman"/>
          <w:sz w:val="20"/>
          <w:szCs w:val="20"/>
          <w:color w:val="auto"/>
        </w:rPr>
        <w:t>. Without limitation of any other provision in this Agreement, if at any time the Administrative Agent makes a payment hereunder in error to any Lender or the L/C Issuer (the “</w:t>
      </w:r>
      <w:r>
        <w:rPr>
          <w:rFonts w:ascii="Times New Roman" w:cs="Times New Roman" w:eastAsia="Times New Roman" w:hAnsi="Times New Roman"/>
          <w:sz w:val="20"/>
          <w:szCs w:val="20"/>
          <w:b w:val="1"/>
          <w:bCs w:val="1"/>
          <w:i w:val="1"/>
          <w:iCs w:val="1"/>
          <w:color w:val="auto"/>
        </w:rPr>
        <w:t>Credit Party</w:t>
      </w:r>
      <w:r>
        <w:rPr>
          <w:rFonts w:ascii="Times New Roman" w:cs="Times New Roman" w:eastAsia="Times New Roman" w:hAnsi="Times New Roman"/>
          <w:sz w:val="20"/>
          <w:szCs w:val="20"/>
          <w:color w:val="auto"/>
        </w:rPr>
        <w:t>”), whether or not in respect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 Obligation due and owing by the Borrower at such time, where such payment is a Rescindable Amount, then in any such event, each Credit Party receiving a Rescindable Amount severally agrees to repay to the Administrative Agent forthwith on demand the Rescindable</w:t>
      </w:r>
    </w:p>
    <w:p>
      <w:pPr>
        <w:spacing w:after="0" w:line="211" w:lineRule="auto"/>
        <w:rPr>
          <w:sz w:val="20"/>
          <w:szCs w:val="20"/>
          <w:color w:val="auto"/>
        </w:rPr>
      </w:pPr>
      <w:r>
        <w:rPr>
          <w:rFonts w:ascii="Times New Roman" w:cs="Times New Roman" w:eastAsia="Times New Roman" w:hAnsi="Times New Roman"/>
          <w:sz w:val="20"/>
          <w:szCs w:val="20"/>
          <w:color w:val="auto"/>
        </w:rPr>
        <w:t>Amount received by such Credit Party in immediately available funds in the currency so received, with interest thereon, for each day from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including the date such Rescindable Amount is received by it to but excluding the date of payment to the Administrative Agent, at the greater of the Federal Funds Rate and a rate determined by the Administrative Agent in accordance with banking industry rules on interbank</w:t>
      </w:r>
    </w:p>
    <w:p>
      <w:pPr>
        <w:spacing w:after="0" w:line="223" w:lineRule="auto"/>
        <w:rPr>
          <w:sz w:val="20"/>
          <w:szCs w:val="20"/>
          <w:color w:val="auto"/>
        </w:rPr>
      </w:pPr>
      <w:r>
        <w:rPr>
          <w:rFonts w:ascii="Times New Roman" w:cs="Times New Roman" w:eastAsia="Times New Roman" w:hAnsi="Times New Roman"/>
          <w:sz w:val="19"/>
          <w:szCs w:val="19"/>
          <w:color w:val="auto"/>
        </w:rPr>
        <w:t>compensation. Each Credit Party irrevocably waives any and all defenses, including any “discharge for value” (under which a creditor might</w:t>
      </w:r>
    </w:p>
    <w:p>
      <w:pPr>
        <w:spacing w:after="0" w:line="204" w:lineRule="auto"/>
        <w:rPr>
          <w:sz w:val="20"/>
          <w:szCs w:val="20"/>
          <w:color w:val="auto"/>
        </w:rPr>
      </w:pPr>
      <w:r>
        <w:rPr>
          <w:rFonts w:ascii="Times New Roman" w:cs="Times New Roman" w:eastAsia="Times New Roman" w:hAnsi="Times New Roman"/>
          <w:sz w:val="20"/>
          <w:szCs w:val="20"/>
          <w:color w:val="auto"/>
        </w:rPr>
        <w:t>otherwise claim a right to retain funds mistakenly paid by a third party in respect of a debt owed by another) or similar defense to its obligation to return any Rescindable Amount. The Administrative Agent shall inform each Credit Party promptly upon determining that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made to such Credit Party comprised, in whole or in part, a Rescindable Amount.</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IX.</w:t>
      </w:r>
      <w:r>
        <w:rPr>
          <w:sz w:val="20"/>
          <w:szCs w:val="20"/>
          <w:color w:val="auto"/>
        </w:rPr>
        <w:tab/>
      </w:r>
      <w:r>
        <w:rPr>
          <w:rFonts w:ascii="Times New Roman" w:cs="Times New Roman" w:eastAsia="Times New Roman" w:hAnsi="Times New Roman"/>
          <w:sz w:val="20"/>
          <w:szCs w:val="20"/>
          <w:b w:val="1"/>
          <w:bCs w:val="1"/>
          <w:color w:val="auto"/>
        </w:rPr>
        <w:t>CONTINUING GUARANTY</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10.01</w:t>
      </w:r>
      <w:r>
        <w:rPr>
          <w:sz w:val="20"/>
          <w:szCs w:val="20"/>
          <w:color w:val="auto"/>
        </w:rPr>
        <w:tab/>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Each Guarantor hereby absolutely and unconditionally, jointly and severally guarantees, as primary obligor and</w:t>
      </w:r>
    </w:p>
    <w:p>
      <w:pPr>
        <w:spacing w:after="0" w:line="215" w:lineRule="auto"/>
        <w:rPr>
          <w:sz w:val="20"/>
          <w:szCs w:val="20"/>
          <w:color w:val="auto"/>
        </w:rPr>
      </w:pPr>
      <w:r>
        <w:rPr>
          <w:rFonts w:ascii="Times New Roman" w:cs="Times New Roman" w:eastAsia="Times New Roman" w:hAnsi="Times New Roman"/>
          <w:sz w:val="19"/>
          <w:szCs w:val="19"/>
          <w:color w:val="auto"/>
        </w:rPr>
        <w:t>as a guaranty of payment and performance and not merely as a guaranty of collection, prompt payment when due, whether at stated maturity, by required prepayment, upon acceleration, demand or otherwise, and at all times thereafter, of any and all Secured Obligations (for each</w:t>
      </w:r>
    </w:p>
    <w:p>
      <w:pPr>
        <w:spacing w:after="0" w:line="211" w:lineRule="auto"/>
        <w:rPr>
          <w:sz w:val="20"/>
          <w:szCs w:val="20"/>
          <w:color w:val="auto"/>
        </w:rPr>
      </w:pPr>
      <w:r>
        <w:rPr>
          <w:rFonts w:ascii="Times New Roman" w:cs="Times New Roman" w:eastAsia="Times New Roman" w:hAnsi="Times New Roman"/>
          <w:sz w:val="20"/>
          <w:szCs w:val="20"/>
          <w:color w:val="auto"/>
        </w:rPr>
        <w:t>Guarantor, subject to the proviso in this sentence, its “</w:t>
      </w:r>
      <w:r>
        <w:rPr>
          <w:rFonts w:ascii="Times New Roman" w:cs="Times New Roman" w:eastAsia="Times New Roman" w:hAnsi="Times New Roman"/>
          <w:sz w:val="20"/>
          <w:szCs w:val="20"/>
          <w:b w:val="1"/>
          <w:bCs w:val="1"/>
          <w:i w:val="1"/>
          <w:iCs w:val="1"/>
          <w:color w:val="auto"/>
        </w:rPr>
        <w:t>Guaranteed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Guaranteed Obligations of a</w:t>
      </w:r>
    </w:p>
    <w:p>
      <w:pPr>
        <w:ind w:right="20"/>
        <w:spacing w:after="0" w:line="204" w:lineRule="auto"/>
        <w:rPr>
          <w:sz w:val="20"/>
          <w:szCs w:val="20"/>
          <w:color w:val="auto"/>
        </w:rPr>
      </w:pPr>
      <w:r>
        <w:rPr>
          <w:rFonts w:ascii="Times New Roman" w:cs="Times New Roman" w:eastAsia="Times New Roman" w:hAnsi="Times New Roman"/>
          <w:sz w:val="20"/>
          <w:szCs w:val="20"/>
          <w:color w:val="auto"/>
        </w:rPr>
        <w:t>Guarantor shall exclude any Excluded Swap Obligations with respect to such Guarantor and (b) the liability of each Guarantor individually with respect to this Guaranty shall be limited to an aggregate amount equal to the largest amount that would not render its obligations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hereunder subject to avoidance under </w:t>
      </w:r>
      <w:r>
        <w:rPr>
          <w:rFonts w:ascii="Times New Roman" w:cs="Times New Roman" w:eastAsia="Times New Roman" w:hAnsi="Times New Roman"/>
          <w:sz w:val="20"/>
          <w:szCs w:val="20"/>
          <w:i w:val="1"/>
          <w:iCs w:val="1"/>
          <w:color w:val="auto"/>
        </w:rPr>
        <w:t>Section 548</w:t>
      </w:r>
      <w:r>
        <w:rPr>
          <w:rFonts w:ascii="Times New Roman" w:cs="Times New Roman" w:eastAsia="Times New Roman" w:hAnsi="Times New Roman"/>
          <w:sz w:val="20"/>
          <w:szCs w:val="20"/>
          <w:color w:val="auto"/>
        </w:rPr>
        <w:t xml:space="preserve"> of the Bankruptcy Code of the United States or any comparable provisions of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applicable state law or other Applicable Law. Without limiting the generality of the foregoing, the Guaranteed Obligations shall include any such indebtedness, obligations, and liabilities, or portion thereof, which may be or hereafter become unenforceable or compromised or shall</w:t>
      </w:r>
    </w:p>
    <w:p>
      <w:pPr>
        <w:spacing w:after="0" w:line="211" w:lineRule="auto"/>
        <w:rPr>
          <w:sz w:val="20"/>
          <w:szCs w:val="20"/>
          <w:color w:val="auto"/>
        </w:rPr>
      </w:pPr>
      <w:r>
        <w:rPr>
          <w:rFonts w:ascii="Times New Roman" w:cs="Times New Roman" w:eastAsia="Times New Roman" w:hAnsi="Times New Roman"/>
          <w:sz w:val="20"/>
          <w:szCs w:val="20"/>
          <w:color w:val="auto"/>
        </w:rPr>
        <w:t>be an allowed or disallowed claim under any proceeding or case commenced by or against any debtor under any Debtor Relief Laws.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Agent’s books and records showing the amount of the Obligations shall be admissible in evidence in any action or proceeding, and shall be binding upon each Guarantor, and conclusive for the purpose of establishing the amount of the Secured Obligations.</w:t>
      </w:r>
    </w:p>
    <w:p>
      <w:pPr>
        <w:spacing w:after="0" w:line="211" w:lineRule="auto"/>
        <w:rPr>
          <w:sz w:val="20"/>
          <w:szCs w:val="20"/>
          <w:color w:val="auto"/>
        </w:rPr>
      </w:pPr>
      <w:r>
        <w:rPr>
          <w:rFonts w:ascii="Times New Roman" w:cs="Times New Roman" w:eastAsia="Times New Roman" w:hAnsi="Times New Roman"/>
          <w:sz w:val="20"/>
          <w:szCs w:val="20"/>
          <w:color w:val="auto"/>
        </w:rPr>
        <w:t>This Guaranty shall not be affected by the genuineness, validity, regularity or enforceability of the Secured Obligations or any instrument or</w:t>
      </w:r>
    </w:p>
    <w:p>
      <w:pPr>
        <w:spacing w:after="0" w:line="204" w:lineRule="auto"/>
        <w:rPr>
          <w:sz w:val="20"/>
          <w:szCs w:val="20"/>
          <w:color w:val="auto"/>
        </w:rPr>
      </w:pPr>
      <w:r>
        <w:rPr>
          <w:rFonts w:ascii="Times New Roman" w:cs="Times New Roman" w:eastAsia="Times New Roman" w:hAnsi="Times New Roman"/>
          <w:sz w:val="20"/>
          <w:szCs w:val="20"/>
          <w:color w:val="auto"/>
        </w:rPr>
        <w:t>agreement evidencing any Secured Obligations, or by the existence, validity, enforceability, perfection, non-perfection or extent of any collateral therefor, or by any fact or circumstance relating to the Secured Obligations which might otherwise constitute a defense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of the Guarantors, or any of them, under this Guaranty, and each Guarantor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irrevocably waives any defenses it may now have or hereafter acquire in any way relating to any or all of the foregoing.</w:t>
      </w:r>
    </w:p>
    <w:p>
      <w:pPr>
        <w:spacing w:after="0" w:line="185"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19"/>
          <w:szCs w:val="19"/>
          <w:color w:val="auto"/>
        </w:rPr>
        <w:t xml:space="preserve">10.02 </w:t>
      </w:r>
      <w:r>
        <w:rPr>
          <w:rFonts w:ascii="Times New Roman" w:cs="Times New Roman" w:eastAsia="Times New Roman" w:hAnsi="Times New Roman"/>
          <w:sz w:val="19"/>
          <w:szCs w:val="19"/>
          <w:b w:val="1"/>
          <w:bCs w:val="1"/>
          <w:color w:val="auto"/>
        </w:rPr>
        <w:t>Rights of Lenders</w:t>
      </w:r>
      <w:r>
        <w:rPr>
          <w:rFonts w:ascii="Times New Roman" w:cs="Times New Roman" w:eastAsia="Times New Roman" w:hAnsi="Times New Roman"/>
          <w:sz w:val="19"/>
          <w:szCs w:val="19"/>
          <w:color w:val="auto"/>
        </w:rPr>
        <w:t>. Each Guarantor consents and agrees that the Secured Parties may, at any time and from time to time, without notice or demand, and without affecting the enforceability or continuing effectiveness hereof: (a) amend, extend, renew, compromise,</w:t>
      </w:r>
    </w:p>
    <w:p>
      <w:pPr>
        <w:spacing w:after="0" w:line="211" w:lineRule="auto"/>
        <w:rPr>
          <w:sz w:val="20"/>
          <w:szCs w:val="20"/>
          <w:color w:val="auto"/>
        </w:rPr>
      </w:pPr>
      <w:r>
        <w:rPr>
          <w:rFonts w:ascii="Times New Roman" w:cs="Times New Roman" w:eastAsia="Times New Roman" w:hAnsi="Times New Roman"/>
          <w:sz w:val="20"/>
          <w:szCs w:val="20"/>
          <w:color w:val="auto"/>
        </w:rPr>
        <w:t>discharge, accelerate or otherwise change the time for payment or the terms of the Secured Obligations or any part thereof; (b) take, hold,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exchange, enforce, waive, release, fail to perfect, sell, or otherwise dispose of any security for the payment of this Guaranty or any Secured Obligations; (c) apply such security and direct the order or manner of sale thereof as the Administrative Agent, the L/C Issuer and the</w:t>
      </w:r>
    </w:p>
    <w:p>
      <w:pPr>
        <w:spacing w:after="0" w:line="211" w:lineRule="auto"/>
        <w:rPr>
          <w:sz w:val="20"/>
          <w:szCs w:val="20"/>
          <w:color w:val="auto"/>
        </w:rPr>
      </w:pPr>
      <w:r>
        <w:rPr>
          <w:rFonts w:ascii="Times New Roman" w:cs="Times New Roman" w:eastAsia="Times New Roman" w:hAnsi="Times New Roman"/>
          <w:sz w:val="20"/>
          <w:szCs w:val="20"/>
          <w:color w:val="auto"/>
        </w:rPr>
        <w:t>Lenders in their sole discretion may determine; and (d) release or substitute one or more of any endorsers or other guarantors of any of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Secured Obligations. Without limiting the generality of the foregoing, each Guarantor consents to the taking of, or failure to take, any action which might in any manner or to any extent vary the risks of such Guarantor under this Guaranty or which, but for this provision, might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operate as a discharge of such Guarantor.</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10.03 </w:t>
      </w:r>
      <w:r>
        <w:rPr>
          <w:rFonts w:ascii="Times New Roman" w:cs="Times New Roman" w:eastAsia="Times New Roman" w:hAnsi="Times New Roman"/>
          <w:sz w:val="20"/>
          <w:szCs w:val="20"/>
          <w:b w:val="1"/>
          <w:bCs w:val="1"/>
          <w:color w:val="auto"/>
        </w:rPr>
        <w:t>Certain Waivers</w:t>
      </w:r>
      <w:r>
        <w:rPr>
          <w:rFonts w:ascii="Times New Roman" w:cs="Times New Roman" w:eastAsia="Times New Roman" w:hAnsi="Times New Roman"/>
          <w:sz w:val="20"/>
          <w:szCs w:val="20"/>
          <w:color w:val="auto"/>
        </w:rPr>
        <w:t>. Each Guarantor waives (a) any defense arising by reason of any disability or other defense of the Borrower or any other guarantor, or the cessation from any cause whatsoever (including any act or omission of any Secured Party) of the</w:t>
      </w:r>
    </w:p>
    <w:p>
      <w:pPr>
        <w:spacing w:after="0" w:line="213" w:lineRule="auto"/>
        <w:rPr>
          <w:sz w:val="20"/>
          <w:szCs w:val="20"/>
          <w:color w:val="auto"/>
        </w:rPr>
      </w:pPr>
      <w:r>
        <w:rPr>
          <w:rFonts w:ascii="Times New Roman" w:cs="Times New Roman" w:eastAsia="Times New Roman" w:hAnsi="Times New Roman"/>
          <w:sz w:val="20"/>
          <w:szCs w:val="20"/>
          <w:color w:val="auto"/>
        </w:rPr>
        <w:t>liability of the Borrower or any other Loan Party; (b) any defense based on any claim that such Guarantor’s obligations exceed or are more</w:t>
      </w:r>
    </w:p>
    <w:p>
      <w:pPr>
        <w:jc w:val="both"/>
        <w:spacing w:after="0" w:line="204" w:lineRule="auto"/>
        <w:rPr>
          <w:sz w:val="20"/>
          <w:szCs w:val="20"/>
          <w:color w:val="auto"/>
        </w:rPr>
      </w:pPr>
      <w:r>
        <w:rPr>
          <w:rFonts w:ascii="Times New Roman" w:cs="Times New Roman" w:eastAsia="Times New Roman" w:hAnsi="Times New Roman"/>
          <w:sz w:val="20"/>
          <w:szCs w:val="20"/>
          <w:color w:val="auto"/>
        </w:rPr>
        <w:t>burdensome than those of the Borrower or any other Loan Party; (c) the benefit of any statute of limitations affecting any Guarantor’s liability hereunder; (d) any right to proceed against the Borrower or any other Loan Party, proceed against or exhaust any security for the</w:t>
      </w:r>
    </w:p>
    <w:p>
      <w:pPr>
        <w:spacing w:after="0" w:line="223" w:lineRule="auto"/>
        <w:rPr>
          <w:sz w:val="20"/>
          <w:szCs w:val="20"/>
          <w:color w:val="auto"/>
        </w:rPr>
      </w:pPr>
      <w:r>
        <w:rPr>
          <w:rFonts w:ascii="Times New Roman" w:cs="Times New Roman" w:eastAsia="Times New Roman" w:hAnsi="Times New Roman"/>
          <w:sz w:val="19"/>
          <w:szCs w:val="19"/>
          <w:color w:val="auto"/>
        </w:rPr>
        <w:t>Secured Obligations, or pursue any other remedy in the power of any Secured Party whatsoever; (e) any benefit of and any right to participate</w:t>
      </w:r>
    </w:p>
    <w:p>
      <w:pPr>
        <w:jc w:val="both"/>
        <w:spacing w:after="0" w:line="204" w:lineRule="auto"/>
        <w:rPr>
          <w:sz w:val="20"/>
          <w:szCs w:val="20"/>
          <w:color w:val="auto"/>
        </w:rPr>
      </w:pPr>
      <w:r>
        <w:rPr>
          <w:rFonts w:ascii="Times New Roman" w:cs="Times New Roman" w:eastAsia="Times New Roman" w:hAnsi="Times New Roman"/>
          <w:sz w:val="20"/>
          <w:szCs w:val="20"/>
          <w:color w:val="auto"/>
        </w:rPr>
        <w:t>in any security now or hereafter held by any Secured Party; and (f) to the fullest extent permitted by law, any and all other defenses or benefits that may be derived from or afforded by Applicable Law limiting the liability of or exonerating guarantors or sureties. Each</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Guarantor expressly waives all setoffs and counterclaims and all presentments, demands for payment or performance, notices of nonpayment or nonperformance, protests, notices of protest, notices of dishonor and all other notices or demands of any kind or nature whatsoever with</w:t>
      </w:r>
    </w:p>
    <w:p>
      <w:pPr>
        <w:jc w:val="both"/>
        <w:spacing w:after="0" w:line="228" w:lineRule="auto"/>
        <w:rPr>
          <w:sz w:val="20"/>
          <w:szCs w:val="20"/>
          <w:color w:val="auto"/>
        </w:rPr>
      </w:pPr>
      <w:r>
        <w:rPr>
          <w:rFonts w:ascii="Times New Roman" w:cs="Times New Roman" w:eastAsia="Times New Roman" w:hAnsi="Times New Roman"/>
          <w:sz w:val="20"/>
          <w:szCs w:val="20"/>
          <w:color w:val="auto"/>
        </w:rPr>
        <w:t>respect to the Secured Obligations, and all notices of acceptance of this Guaranty or of the existence, creation or incurrence of new or additional Secured Obligations.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10.04 </w:t>
      </w:r>
      <w:r>
        <w:rPr>
          <w:rFonts w:ascii="Times New Roman" w:cs="Times New Roman" w:eastAsia="Times New Roman" w:hAnsi="Times New Roman"/>
          <w:sz w:val="20"/>
          <w:szCs w:val="20"/>
          <w:b w:val="1"/>
          <w:bCs w:val="1"/>
          <w:color w:val="auto"/>
        </w:rPr>
        <w:t>Obligations Independent</w:t>
      </w:r>
      <w:r>
        <w:rPr>
          <w:rFonts w:ascii="Times New Roman" w:cs="Times New Roman" w:eastAsia="Times New Roman" w:hAnsi="Times New Roman"/>
          <w:sz w:val="20"/>
          <w:szCs w:val="20"/>
          <w:color w:val="auto"/>
        </w:rPr>
        <w:t>. 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43" w:lineRule="exact"/>
        <w:rPr>
          <w:sz w:val="20"/>
          <w:szCs w:val="20"/>
          <w:color w:val="auto"/>
        </w:rPr>
      </w:pPr>
    </w:p>
    <w:p>
      <w:pPr>
        <w:jc w:val="both"/>
        <w:ind w:firstLine="729"/>
        <w:spacing w:after="0" w:line="224" w:lineRule="auto"/>
        <w:rPr>
          <w:sz w:val="20"/>
          <w:szCs w:val="20"/>
          <w:color w:val="auto"/>
        </w:rPr>
      </w:pPr>
      <w:r>
        <w:rPr>
          <w:rFonts w:ascii="Times New Roman" w:cs="Times New Roman" w:eastAsia="Times New Roman" w:hAnsi="Times New Roman"/>
          <w:sz w:val="20"/>
          <w:szCs w:val="20"/>
          <w:color w:val="auto"/>
        </w:rPr>
        <w:t xml:space="preserve">10.05 </w:t>
      </w:r>
      <w:r>
        <w:rPr>
          <w:rFonts w:ascii="Times New Roman" w:cs="Times New Roman" w:eastAsia="Times New Roman" w:hAnsi="Times New Roman"/>
          <w:sz w:val="20"/>
          <w:szCs w:val="20"/>
          <w:b w:val="1"/>
          <w:bCs w:val="1"/>
          <w:color w:val="auto"/>
        </w:rPr>
        <w:t>Subrogation</w:t>
      </w:r>
      <w:r>
        <w:rPr>
          <w:rFonts w:ascii="Times New Roman" w:cs="Times New Roman" w:eastAsia="Times New Roman" w:hAnsi="Times New Roman"/>
          <w:sz w:val="20"/>
          <w:szCs w:val="20"/>
          <w:color w:val="auto"/>
        </w:rPr>
        <w:t>. No Guarantor shall exercise any right of subrogation, contribution, indemnity, reimbursement or similar rights with respect to any payments it makes under this Guaranty until all of the Secured Obligations and any amounts payable under this</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w:t>
      </w:r>
    </w:p>
    <w:p>
      <w:pPr>
        <w:spacing w:after="0"/>
        <w:rPr>
          <w:sz w:val="20"/>
          <w:szCs w:val="20"/>
          <w:color w:val="auto"/>
        </w:rPr>
      </w:pPr>
      <w:r>
        <w:rPr>
          <w:rFonts w:ascii="Times New Roman" w:cs="Times New Roman" w:eastAsia="Times New Roman" w:hAnsi="Times New Roman"/>
          <w:sz w:val="20"/>
          <w:szCs w:val="20"/>
          <w:color w:val="auto"/>
        </w:rPr>
        <w:t>forthwith be paid to the Secured Parties to reduce the amount of the Secured Obligations, whether matured or unmatured.</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10.06 </w:t>
      </w:r>
      <w:r>
        <w:rPr>
          <w:rFonts w:ascii="Times New Roman" w:cs="Times New Roman" w:eastAsia="Times New Roman" w:hAnsi="Times New Roman"/>
          <w:sz w:val="20"/>
          <w:szCs w:val="20"/>
          <w:b w:val="1"/>
          <w:bCs w:val="1"/>
          <w:color w:val="auto"/>
        </w:rPr>
        <w: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Reinstatement</w:t>
      </w:r>
      <w:r>
        <w:rPr>
          <w:rFonts w:ascii="Times New Roman" w:cs="Times New Roman" w:eastAsia="Times New Roman" w:hAnsi="Times New Roman"/>
          <w:sz w:val="20"/>
          <w:szCs w:val="20"/>
          <w:color w:val="auto"/>
        </w:rPr>
        <w:t>. This Guaranty is a continuing and irrevocable guaranty of all Secured Obligations now or hereafter existing and shall remain in full force and effect until the Facility Termination Date. Notwithstanding the foregoing, this Guaranty</w:t>
      </w:r>
    </w:p>
    <w:p>
      <w:pPr>
        <w:spacing w:after="0" w:line="213" w:lineRule="auto"/>
        <w:rPr>
          <w:sz w:val="20"/>
          <w:szCs w:val="20"/>
          <w:color w:val="auto"/>
        </w:rPr>
      </w:pPr>
      <w:r>
        <w:rPr>
          <w:rFonts w:ascii="Times New Roman" w:cs="Times New Roman" w:eastAsia="Times New Roman" w:hAnsi="Times New Roman"/>
          <w:sz w:val="20"/>
          <w:szCs w:val="20"/>
          <w:color w:val="auto"/>
        </w:rPr>
        <w:t>shall continue in full force and effect or be revived, as the case may be, if any payment by or on behalf of the Borrower or a Guarantor is</w:t>
      </w:r>
    </w:p>
    <w:p>
      <w:pPr>
        <w:jc w:val="both"/>
        <w:spacing w:after="0" w:line="221" w:lineRule="auto"/>
        <w:rPr>
          <w:sz w:val="20"/>
          <w:szCs w:val="20"/>
          <w:color w:val="auto"/>
        </w:rPr>
      </w:pPr>
      <w:r>
        <w:rPr>
          <w:rFonts w:ascii="Times New Roman" w:cs="Times New Roman" w:eastAsia="Times New Roman" w:hAnsi="Times New Roman"/>
          <w:sz w:val="20"/>
          <w:szCs w:val="20"/>
          <w:color w:val="auto"/>
        </w:rPr>
        <w:t>made, or any of the Secured Parties exercises its right of setoff, in respect of the Secured Obligations and such payment or the proceeds of such setoff or any part thereof is subsequently invalidated, declared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fraudulent or preferential, set aside or required (including pursuant to any settlement entered into by any of the Secured Parties in their</w:t>
      </w:r>
    </w:p>
    <w:p>
      <w:pPr>
        <w:jc w:val="both"/>
        <w:spacing w:after="0" w:line="215" w:lineRule="auto"/>
        <w:rPr>
          <w:sz w:val="20"/>
          <w:szCs w:val="20"/>
          <w:color w:val="auto"/>
        </w:rPr>
      </w:pPr>
      <w:r>
        <w:rPr>
          <w:rFonts w:ascii="Times New Roman" w:cs="Times New Roman" w:eastAsia="Times New Roman" w:hAnsi="Times New Roman"/>
          <w:sz w:val="19"/>
          <w:szCs w:val="19"/>
          <w:color w:val="auto"/>
        </w:rPr>
        <w:t>discretion) to be repaid to a trustee, receiver or any other party, in connection with any proceeding under any Debtor Relief Laws or otherwise, all as if such payment had not been made or such setoff had not occurred and whether or not the Secured Parties are in possession</w:t>
      </w: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of or have released this Guaranty and regardless of any prior revocation, rescission, termination or reduction. The obligations of each Guarantor under this </w:t>
      </w:r>
      <w:r>
        <w:rPr>
          <w:rFonts w:ascii="Times New Roman" w:cs="Times New Roman" w:eastAsia="Times New Roman" w:hAnsi="Times New Roman"/>
          <w:sz w:val="20"/>
          <w:szCs w:val="20"/>
          <w:b w:val="1"/>
          <w:bCs w:val="1"/>
          <w:i w:val="1"/>
          <w:iCs w:val="1"/>
          <w:color w:val="auto"/>
        </w:rPr>
        <w:t>Section 10.06</w:t>
      </w:r>
      <w:r>
        <w:rPr>
          <w:rFonts w:ascii="Times New Roman" w:cs="Times New Roman" w:eastAsia="Times New Roman" w:hAnsi="Times New Roman"/>
          <w:sz w:val="20"/>
          <w:szCs w:val="20"/>
          <w:color w:val="auto"/>
        </w:rPr>
        <w:t xml:space="preserve"> shall survive termination of this Guaranty.</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10.07 </w:t>
      </w:r>
      <w:r>
        <w:rPr>
          <w:rFonts w:ascii="Times New Roman" w:cs="Times New Roman" w:eastAsia="Times New Roman" w:hAnsi="Times New Roman"/>
          <w:sz w:val="20"/>
          <w:szCs w:val="20"/>
          <w:b w:val="1"/>
          <w:bCs w:val="1"/>
          <w:color w:val="auto"/>
        </w:rPr>
        <w:t>Stay of Acceleration</w:t>
      </w:r>
      <w:r>
        <w:rPr>
          <w:rFonts w:ascii="Times New Roman" w:cs="Times New Roman" w:eastAsia="Times New Roman" w:hAnsi="Times New Roman"/>
          <w:sz w:val="20"/>
          <w:szCs w:val="20"/>
          <w:color w:val="auto"/>
        </w:rPr>
        <w:t>. 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10.08 </w:t>
      </w:r>
      <w:r>
        <w:rPr>
          <w:rFonts w:ascii="Times New Roman" w:cs="Times New Roman" w:eastAsia="Times New Roman" w:hAnsi="Times New Roman"/>
          <w:sz w:val="19"/>
          <w:szCs w:val="19"/>
          <w:b w:val="1"/>
          <w:bCs w:val="1"/>
          <w:color w:val="auto"/>
        </w:rPr>
        <w:t>Condition of Borrower</w:t>
      </w:r>
      <w:r>
        <w:rPr>
          <w:rFonts w:ascii="Times New Roman" w:cs="Times New Roman" w:eastAsia="Times New Roman" w:hAnsi="Times New Roman"/>
          <w:sz w:val="19"/>
          <w:szCs w:val="19"/>
          <w:color w:val="auto"/>
        </w:rPr>
        <w:t>. Each Guarantor acknowledges and agrees that it has the sole responsibility for, and has adequate means of, obtaining from the Borrower and any other guarantor such information concerning the financial condition, business and operations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the Borrower and any such other guarantor as such Guarantor requires, and that none of the Secured Parties has any duty, and such Guarantor is not relying on the Secured Parties at any time, to disclose to it any information relating to the business, operations or financial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condition of the Borrower or any other guarantor (each Guarantor waiving any duty on the part of the Secured Parties to disclose such information and any defense relating to the failure to provide the same).</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10.09 </w:t>
      </w:r>
      <w:r>
        <w:rPr>
          <w:rFonts w:ascii="Times New Roman" w:cs="Times New Roman" w:eastAsia="Times New Roman" w:hAnsi="Times New Roman"/>
          <w:sz w:val="20"/>
          <w:szCs w:val="20"/>
          <w:b w:val="1"/>
          <w:bCs w:val="1"/>
          <w:color w:val="auto"/>
        </w:rPr>
        <w:t>Appointment of Borrower</w:t>
      </w:r>
      <w:r>
        <w:rPr>
          <w:rFonts w:ascii="Times New Roman" w:cs="Times New Roman" w:eastAsia="Times New Roman" w:hAnsi="Times New Roman"/>
          <w:sz w:val="20"/>
          <w:szCs w:val="20"/>
          <w:color w:val="auto"/>
        </w:rPr>
        <w:t>. Each of the Loan Parties hereby appoints the Borrower to act as its agent for all purposes of this Agreement, the other Loan Documents and all other documents and electronic platforms entered into in connection herewith and agrees that</w:t>
      </w:r>
    </w:p>
    <w:p>
      <w:pPr>
        <w:spacing w:after="0" w:line="2" w:lineRule="exact"/>
        <w:rPr>
          <w:sz w:val="20"/>
          <w:szCs w:val="20"/>
          <w:color w:val="auto"/>
        </w:rPr>
      </w:pPr>
    </w:p>
    <w:p>
      <w:pPr>
        <w:jc w:val="both"/>
        <w:ind w:firstLine="8"/>
        <w:spacing w:after="0" w:line="212" w:lineRule="auto"/>
        <w:tabs>
          <w:tab w:leader="none" w:pos="30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160"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b w:val="1"/>
          <w:bCs w:val="1"/>
          <w:color w:val="auto"/>
        </w:rPr>
        <w:t>Right of Contribution</w:t>
      </w:r>
      <w:r>
        <w:rPr>
          <w:rFonts w:ascii="Times New Roman" w:cs="Times New Roman" w:eastAsia="Times New Roman" w:hAnsi="Times New Roman"/>
          <w:sz w:val="20"/>
          <w:szCs w:val="20"/>
          <w:color w:val="auto"/>
        </w:rPr>
        <w:t>. The Guarantors agree among themselves that, in connection with payments made hereunder, each Guarantor shall have contribution rights against the other Guarantors as permitted under Applicable Law.</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b w:val="1"/>
          <w:bCs w:val="1"/>
          <w:color w:val="auto"/>
        </w:rPr>
        <w:t>Keepwell</w:t>
      </w:r>
      <w:r>
        <w:rPr>
          <w:rFonts w:ascii="Times New Roman" w:cs="Times New Roman" w:eastAsia="Times New Roman" w:hAnsi="Times New Roman"/>
          <w:sz w:val="19"/>
          <w:szCs w:val="19"/>
          <w:color w:val="auto"/>
        </w:rPr>
        <w:t>. Each Loan Party that is a Qualified ECP Guarantor at the time the Guaranty or the grant of a Lien under the Loan</w:t>
      </w:r>
    </w:p>
    <w:p>
      <w:pPr>
        <w:spacing w:after="0" w:line="4"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Documents, in each case, by any Specified Loan Party becomes effective with respect to any Swap Obligation, hereby jointly and severally, absolutely, unconditionally and irrevocably undertakes to provide such funds or other support to each Specified Loan Party with respect to</w:t>
      </w:r>
    </w:p>
    <w:p>
      <w:pPr>
        <w:spacing w:after="0" w:line="211" w:lineRule="auto"/>
        <w:rPr>
          <w:sz w:val="20"/>
          <w:szCs w:val="20"/>
          <w:color w:val="auto"/>
        </w:rPr>
      </w:pPr>
      <w:r>
        <w:rPr>
          <w:rFonts w:ascii="Times New Roman" w:cs="Times New Roman" w:eastAsia="Times New Roman" w:hAnsi="Times New Roman"/>
          <w:sz w:val="20"/>
          <w:szCs w:val="20"/>
          <w:color w:val="auto"/>
        </w:rPr>
        <w:t>such Swap Obligation as may be needed by such Specified Loan Party from time to time to honor all of its obligations under the Loan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b w:val="1"/>
          <w:bCs w:val="1"/>
          <w:i w:val="1"/>
          <w:iCs w:val="1"/>
          <w:color w:val="auto"/>
        </w:rPr>
        <w:t>Article X</w:t>
      </w:r>
      <w:r>
        <w:rPr>
          <w:rFonts w:ascii="Times New Roman" w:cs="Times New Roman" w:eastAsia="Times New Roman" w:hAnsi="Times New Roman"/>
          <w:sz w:val="20"/>
          <w:szCs w:val="20"/>
          <w:color w:val="auto"/>
        </w:rPr>
        <w:t xml:space="preserve"> voidable under Applicable</w:t>
      </w:r>
    </w:p>
    <w:p>
      <w:pPr>
        <w:spacing w:after="0" w:line="211" w:lineRule="auto"/>
        <w:rPr>
          <w:sz w:val="20"/>
          <w:szCs w:val="20"/>
          <w:color w:val="auto"/>
        </w:rPr>
      </w:pPr>
      <w:r>
        <w:rPr>
          <w:rFonts w:ascii="Times New Roman" w:cs="Times New Roman" w:eastAsia="Times New Roman" w:hAnsi="Times New Roman"/>
          <w:sz w:val="20"/>
          <w:szCs w:val="20"/>
          <w:color w:val="auto"/>
        </w:rPr>
        <w:t>Law relating to fraudulent conveyance or fraudulent transfer, and not for any greater amount). The obligations and undertakings of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Qualified ECP Guarantor under this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 xml:space="preserve"> shall remain in full force and effect until the Secured Obligations have been indefeasibly paid and performed in full. Each Loan Party intends this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b w:val="1"/>
          <w:bCs w:val="1"/>
          <w:i w:val="1"/>
          <w:iCs w:val="1"/>
          <w:color w:val="auto"/>
        </w:rPr>
        <w:t>Section 10.11</w:t>
      </w:r>
      <w:r>
        <w:rPr>
          <w:rFonts w:ascii="Times New Roman" w:cs="Times New Roman" w:eastAsia="Times New Roman" w:hAnsi="Times New Roman"/>
          <w:sz w:val="20"/>
          <w:szCs w:val="20"/>
          <w:color w:val="auto"/>
        </w:rPr>
        <w:t xml:space="preserve"> shall be deemed to constitute,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guarantee of the obligations of, and a “keepwell, support, or other agreement” for the benefit of, each Specified Loan Party for all purposes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632"/>
        <w:spacing w:after="0"/>
        <w:tabs>
          <w:tab w:leader="none" w:pos="6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11.01  </w:t>
      </w:r>
      <w:r>
        <w:rPr>
          <w:rFonts w:ascii="Times New Roman" w:cs="Times New Roman" w:eastAsia="Times New Roman" w:hAnsi="Times New Roman"/>
          <w:sz w:val="20"/>
          <w:szCs w:val="20"/>
          <w:b w:val="1"/>
          <w:bCs w:val="1"/>
          <w:color w:val="auto"/>
        </w:rPr>
        <w:t>Amendments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Etc</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19" w:lineRule="auto"/>
        <w:tabs>
          <w:tab w:leader="none" w:pos="1946"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i w:val="1"/>
          <w:iCs w:val="1"/>
          <w:color w:val="auto"/>
        </w:rPr>
        <w:t>Section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Section 3.03</w:t>
      </w:r>
      <w:r>
        <w:rPr>
          <w:rFonts w:ascii="Times New Roman" w:cs="Times New Roman" w:eastAsia="Times New Roman" w:hAnsi="Times New Roman"/>
          <w:sz w:val="20"/>
          <w:szCs w:val="20"/>
          <w:color w:val="auto"/>
        </w:rPr>
        <w:t xml:space="preserve"> and the last paragraph of this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no such amendment, waiver or consent shall:</w:t>
      </w:r>
    </w:p>
    <w:p>
      <w:pPr>
        <w:spacing w:after="0" w:line="14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b w:val="1"/>
          <w:bCs w:val="1"/>
          <w:i w:val="1"/>
          <w:iCs w:val="1"/>
          <w:color w:val="auto"/>
        </w:rPr>
        <w:t>Section 4.01</w:t>
      </w:r>
      <w:r>
        <w:rPr>
          <w:rFonts w:ascii="Times New Roman" w:cs="Times New Roman" w:eastAsia="Times New Roman" w:hAnsi="Times New Roman"/>
          <w:sz w:val="20"/>
          <w:szCs w:val="20"/>
          <w:color w:val="auto"/>
        </w:rPr>
        <w:t>, without the written consent of each Lender;</w:t>
      </w:r>
    </w:p>
    <w:p>
      <w:pPr>
        <w:spacing w:after="0" w:line="188" w:lineRule="exact"/>
        <w:rPr>
          <w:rFonts w:ascii="Times New Roman" w:cs="Times New Roman" w:eastAsia="Times New Roman" w:hAnsi="Times New Roman"/>
          <w:sz w:val="20"/>
          <w:szCs w:val="20"/>
          <w:color w:val="auto"/>
        </w:rPr>
      </w:pPr>
    </w:p>
    <w:p>
      <w:pPr>
        <w:ind w:left="1300" w:firstLine="652"/>
        <w:spacing w:after="0" w:line="245" w:lineRule="auto"/>
        <w:tabs>
          <w:tab w:leader="none" w:pos="2595"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xml:space="preserve">) above, waive any condition set forth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as to any Credit Extension without the written consent of the Required Lenders;</w:t>
      </w:r>
    </w:p>
    <w:p>
      <w:pPr>
        <w:spacing w:after="0" w:line="14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6"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without the written consent of such Lender (it being understood and agreed that a waiver of any condition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precedent in </w:t>
      </w:r>
      <w:r>
        <w:rPr>
          <w:rFonts w:ascii="Times New Roman" w:cs="Times New Roman" w:eastAsia="Times New Roman" w:hAnsi="Times New Roman"/>
          <w:sz w:val="20"/>
          <w:szCs w:val="20"/>
          <w:b w:val="1"/>
          <w:bCs w:val="1"/>
          <w:i w:val="1"/>
          <w:iCs w:val="1"/>
          <w:color w:val="auto"/>
        </w:rPr>
        <w:t>Section 4.02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84"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b w:val="1"/>
          <w:bCs w:val="1"/>
          <w:i w:val="1"/>
          <w:iCs w:val="1"/>
          <w:color w:val="auto"/>
        </w:rPr>
        <w:t xml:space="preserve">clause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iv</w:t>
      </w:r>
      <w:r>
        <w:rPr>
          <w:rFonts w:ascii="Times New Roman" w:cs="Times New Roman" w:eastAsia="Times New Roman" w:hAnsi="Times New Roman"/>
          <w:sz w:val="20"/>
          <w:szCs w:val="20"/>
          <w:color w:val="auto"/>
        </w:rPr>
        <w:t>) of the second proviso to this</w:t>
      </w:r>
      <w:r>
        <w:rPr>
          <w:rFonts w:ascii="Times New Roman" w:cs="Times New Roman" w:eastAsia="Times New Roman" w:hAnsi="Times New Roman"/>
          <w:sz w:val="20"/>
          <w:szCs w:val="20"/>
          <w:b w:val="1"/>
          <w:bCs w:val="1"/>
          <w:i w:val="1"/>
          <w:iCs w:val="1"/>
          <w:color w:val="auto"/>
        </w:rPr>
        <w:t xml:space="preserve"> Section 11.01</w:t>
      </w:r>
      <w:r>
        <w:rPr>
          <w:rFonts w:ascii="Times New Roman" w:cs="Times New Roman" w:eastAsia="Times New Roman" w:hAnsi="Times New Roman"/>
          <w:sz w:val="20"/>
          <w:szCs w:val="20"/>
          <w:color w:val="auto"/>
        </w:rPr>
        <w:t>) any fees or other amounts payable hereunder or under any other Loan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Document without the written consent of each Lender entitled to such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w:t>
      </w:r>
      <w:r>
        <w:rPr>
          <w:rFonts w:ascii="Times New Roman" w:cs="Times New Roman" w:eastAsia="Times New Roman" w:hAnsi="Times New Roman"/>
          <w:sz w:val="20"/>
          <w:szCs w:val="20"/>
          <w:i w:val="1"/>
          <w:iCs w:val="1"/>
          <w:color w:val="auto"/>
        </w:rPr>
        <w:t>Default Rate</w:t>
      </w:r>
      <w:r>
        <w:rPr>
          <w:rFonts w:ascii="Times New Roman" w:cs="Times New Roman" w:eastAsia="Times New Roman" w:hAnsi="Times New Roman"/>
          <w:sz w:val="20"/>
          <w:szCs w:val="20"/>
          <w:color w:val="auto"/>
        </w:rPr>
        <w:t>”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32" w:lineRule="auto"/>
        <w:tabs>
          <w:tab w:leader="none" w:pos="2585"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change </w:t>
      </w:r>
      <w:r>
        <w:rPr>
          <w:rFonts w:ascii="Times New Roman" w:cs="Times New Roman" w:eastAsia="Times New Roman" w:hAnsi="Times New Roman"/>
          <w:sz w:val="20"/>
          <w:szCs w:val="20"/>
          <w:b w:val="1"/>
          <w:bCs w:val="1"/>
          <w:i w:val="1"/>
          <w:iCs w:val="1"/>
          <w:color w:val="auto"/>
        </w:rPr>
        <w:t>Section 8.03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or (B) </w:t>
      </w:r>
      <w:r>
        <w:rPr>
          <w:rFonts w:ascii="Times New Roman" w:cs="Times New Roman" w:eastAsia="Times New Roman" w:hAnsi="Times New Roman"/>
          <w:sz w:val="20"/>
          <w:szCs w:val="20"/>
          <w:b w:val="1"/>
          <w:bCs w:val="1"/>
          <w:i w:val="1"/>
          <w:iCs w:val="1"/>
          <w:color w:val="auto"/>
        </w:rPr>
        <w:t>Section 2.12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w:t>
      </w:r>
      <w:r>
        <w:rPr>
          <w:rFonts w:ascii="Times New Roman" w:cs="Times New Roman" w:eastAsia="Times New Roman" w:hAnsi="Times New Roman"/>
          <w:sz w:val="20"/>
          <w:szCs w:val="20"/>
          <w:color w:val="auto"/>
        </w:rPr>
        <w:t>) in a manner that would alter the pro rata application required thereby without the written consent of each Lender directly affected thereby;</w:t>
      </w:r>
    </w:p>
    <w:p>
      <w:pPr>
        <w:spacing w:after="0" w:line="143" w:lineRule="exact"/>
        <w:rPr>
          <w:rFonts w:ascii="Times New Roman" w:cs="Times New Roman" w:eastAsia="Times New Roman" w:hAnsi="Times New Roman"/>
          <w:sz w:val="20"/>
          <w:szCs w:val="20"/>
          <w:color w:val="auto"/>
        </w:rPr>
      </w:pPr>
    </w:p>
    <w:p>
      <w:pPr>
        <w:jc w:val="both"/>
        <w:ind w:left="1300" w:firstLine="652"/>
        <w:spacing w:after="0" w:line="232" w:lineRule="auto"/>
        <w:tabs>
          <w:tab w:leader="none" w:pos="2585"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b w:val="1"/>
          <w:bCs w:val="1"/>
          <w:i w:val="1"/>
          <w:iCs w:val="1"/>
          <w:color w:val="auto"/>
        </w:rPr>
        <w:t>Section 11.01</w:t>
      </w:r>
      <w:r>
        <w:rPr>
          <w:rFonts w:ascii="Times New Roman" w:cs="Times New Roman" w:eastAsia="Times New Roman" w:hAnsi="Times New Roman"/>
          <w:sz w:val="20"/>
          <w:szCs w:val="20"/>
          <w:color w:val="auto"/>
        </w:rPr>
        <w:t xml:space="preserve"> or the definition of “</w:t>
      </w:r>
      <w:r>
        <w:rPr>
          <w:rFonts w:ascii="Times New Roman" w:cs="Times New Roman" w:eastAsia="Times New Roman" w:hAnsi="Times New Roman"/>
          <w:sz w:val="20"/>
          <w:szCs w:val="20"/>
          <w:i w:val="1"/>
          <w:iCs w:val="1"/>
          <w:color w:val="auto"/>
        </w:rPr>
        <w:t>Required Lenders</w:t>
      </w:r>
      <w:r>
        <w:rPr>
          <w:rFonts w:ascii="Times New Roman" w:cs="Times New Roman" w:eastAsia="Times New Roman" w:hAnsi="Times New Roman"/>
          <w:sz w:val="20"/>
          <w:szCs w:val="20"/>
          <w:color w:val="auto"/>
        </w:rPr>
        <w:t>” or any other provision of any Loan Document specifying the number or percentage of Lenders required to amend, waive or otherwise modify any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80" w:firstLine="6"/>
        <w:spacing w:after="0"/>
        <w:rPr>
          <w:sz w:val="20"/>
          <w:szCs w:val="20"/>
          <w:color w:val="auto"/>
        </w:rPr>
      </w:pPr>
      <w:r>
        <w:rPr>
          <w:rFonts w:ascii="Times New Roman" w:cs="Times New Roman" w:eastAsia="Times New Roman" w:hAnsi="Times New Roman"/>
          <w:sz w:val="20"/>
          <w:szCs w:val="20"/>
          <w:color w:val="auto"/>
        </w:rPr>
        <w:t>hereunder or thereunder or make any determination or grant any consent hereunder, without the written consent of each Lender;</w:t>
      </w:r>
    </w:p>
    <w:p>
      <w:pPr>
        <w:spacing w:after="0" w:line="148" w:lineRule="exact"/>
        <w:rPr>
          <w:sz w:val="20"/>
          <w:szCs w:val="20"/>
          <w:color w:val="auto"/>
        </w:rPr>
      </w:pPr>
    </w:p>
    <w:p>
      <w:pPr>
        <w:ind w:left="1280" w:firstLine="652"/>
        <w:spacing w:after="0"/>
        <w:tabs>
          <w:tab w:leader="none" w:pos="256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in any transaction or series of related transactions, without the written consent of each Lender;</w:t>
      </w:r>
    </w:p>
    <w:p>
      <w:pPr>
        <w:spacing w:after="0" w:line="161" w:lineRule="exact"/>
        <w:rPr>
          <w:rFonts w:ascii="Times New Roman" w:cs="Times New Roman" w:eastAsia="Times New Roman" w:hAnsi="Times New Roman"/>
          <w:sz w:val="20"/>
          <w:szCs w:val="20"/>
          <w:color w:val="auto"/>
        </w:rPr>
      </w:pPr>
    </w:p>
    <w:p>
      <w:pPr>
        <w:jc w:val="both"/>
        <w:ind w:left="1280" w:firstLine="652"/>
        <w:spacing w:after="0" w:line="226" w:lineRule="auto"/>
        <w:tabs>
          <w:tab w:leader="none" w:pos="256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0"/>
          <w:szCs w:val="20"/>
          <w:b w:val="1"/>
          <w:bCs w:val="1"/>
          <w:i w:val="1"/>
          <w:iCs w:val="1"/>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60" w:lineRule="exact"/>
        <w:rPr>
          <w:rFonts w:ascii="Times New Roman" w:cs="Times New Roman" w:eastAsia="Times New Roman" w:hAnsi="Times New Roman"/>
          <w:sz w:val="20"/>
          <w:szCs w:val="20"/>
          <w:color w:val="auto"/>
        </w:rPr>
      </w:pPr>
    </w:p>
    <w:p>
      <w:pPr>
        <w:ind w:left="1280" w:firstLine="652"/>
        <w:spacing w:after="0" w:line="233" w:lineRule="auto"/>
        <w:tabs>
          <w:tab w:leader="none" w:pos="256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the Borrower or permit the Borrower to assign or transfer any of its rights or obligations under this Agreement or the other Loan Documents without the consent of each Lender; or</w:t>
      </w:r>
    </w:p>
    <w:p>
      <w:pPr>
        <w:spacing w:after="0" w:line="156" w:lineRule="exact"/>
        <w:rPr>
          <w:rFonts w:ascii="Times New Roman" w:cs="Times New Roman" w:eastAsia="Times New Roman" w:hAnsi="Times New Roman"/>
          <w:sz w:val="20"/>
          <w:szCs w:val="20"/>
          <w:color w:val="auto"/>
        </w:rPr>
      </w:pPr>
    </w:p>
    <w:p>
      <w:pPr>
        <w:ind w:left="1280" w:firstLine="652"/>
        <w:spacing w:after="0" w:line="245" w:lineRule="auto"/>
        <w:tabs>
          <w:tab w:leader="none" w:pos="256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b w:val="1"/>
          <w:bCs w:val="1"/>
          <w:i w:val="1"/>
          <w:iCs w:val="1"/>
          <w:color w:val="auto"/>
        </w:rPr>
        <w:t>Section 1.09</w:t>
      </w:r>
      <w:r>
        <w:rPr>
          <w:rFonts w:ascii="Times New Roman" w:cs="Times New Roman" w:eastAsia="Times New Roman" w:hAnsi="Times New Roman"/>
          <w:sz w:val="20"/>
          <w:szCs w:val="20"/>
          <w:color w:val="auto"/>
        </w:rPr>
        <w:t xml:space="preserve"> or the definition of “</w:t>
      </w:r>
      <w:r>
        <w:rPr>
          <w:rFonts w:ascii="Times New Roman" w:cs="Times New Roman" w:eastAsia="Times New Roman" w:hAnsi="Times New Roman"/>
          <w:sz w:val="20"/>
          <w:szCs w:val="20"/>
          <w:i w:val="1"/>
          <w:iCs w:val="1"/>
          <w:color w:val="auto"/>
        </w:rPr>
        <w:t>Alternative Currency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Alternative Currency Daily Rate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Alternative Currency Term Rate</w:t>
      </w:r>
      <w:r>
        <w:rPr>
          <w:rFonts w:ascii="Times New Roman" w:cs="Times New Roman" w:eastAsia="Times New Roman" w:hAnsi="Times New Roman"/>
          <w:sz w:val="20"/>
          <w:szCs w:val="20"/>
          <w:color w:val="auto"/>
        </w:rPr>
        <w:t>” without the written consent of each Lender directly affected thereby;</w:t>
      </w:r>
    </w:p>
    <w:p>
      <w:pPr>
        <w:spacing w:after="0" w:line="133" w:lineRule="exact"/>
        <w:rPr>
          <w:sz w:val="20"/>
          <w:szCs w:val="20"/>
          <w:color w:val="auto"/>
        </w:rPr>
      </w:pPr>
    </w:p>
    <w:p>
      <w:pPr>
        <w:jc w:val="both"/>
        <w:ind w:left="640"/>
        <w:spacing w:after="0" w:line="213"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 writing and signed by the Administrative Agent in addition to the Lenders required above, affect the rights or duties of the Administrative Agent under this Agreement or any other Loan Document; (D) the Fee Letter may be amended, or rights or privileges thereunder waived, in a writing executed only by the parties thereto.</w:t>
      </w:r>
    </w:p>
    <w:p>
      <w:pPr>
        <w:spacing w:after="0" w:line="48" w:lineRule="exact"/>
        <w:rPr>
          <w:sz w:val="20"/>
          <w:szCs w:val="20"/>
          <w:color w:val="auto"/>
        </w:rPr>
      </w:pPr>
    </w:p>
    <w:p>
      <w:pPr>
        <w:jc w:val="both"/>
        <w:ind w:left="640" w:firstLine="644"/>
        <w:spacing w:after="0" w:line="211" w:lineRule="auto"/>
        <w:tabs>
          <w:tab w:leader="none" w:pos="192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(i) no Defaulting Lender shall have any right to approve or disapprove any amendment, waiver or consent hereunder (and any amendment, waiver or consent which by its terms requires the consent of all Lenders or each affected Lender, or all Lenders or each affected Lender under the Revolving Facility, may be effected with the consent of the applicable Lenders other than Defaulting Lenders), except that (A) the Commitment of any Defaulting Lender may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increased or extended without the consent of such Lender and (B) any waiver, amendment or modification requiring the consent of all Lenders or each affected Lender, or all Lenders or each affected Lender under the Revolving Facility,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w:t>
      </w:r>
      <w:r>
        <w:rPr>
          <w:rFonts w:ascii="Times New Roman" w:cs="Times New Roman" w:eastAsia="Times New Roman" w:hAnsi="Times New Roman"/>
          <w:sz w:val="20"/>
          <w:szCs w:val="20"/>
          <w:i w:val="1"/>
          <w:iCs w:val="1"/>
          <w:color w:val="auto"/>
        </w:rPr>
        <w:t>Section 1126(c)</w:t>
      </w:r>
      <w:r>
        <w:rPr>
          <w:rFonts w:ascii="Times New Roman" w:cs="Times New Roman" w:eastAsia="Times New Roman" w:hAnsi="Times New Roman"/>
          <w:sz w:val="20"/>
          <w:szCs w:val="20"/>
          <w:color w:val="auto"/>
        </w:rPr>
        <w:t xml:space="preserve">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65" w:lineRule="exact"/>
        <w:rPr>
          <w:rFonts w:ascii="Times New Roman" w:cs="Times New Roman" w:eastAsia="Times New Roman" w:hAnsi="Times New Roman"/>
          <w:sz w:val="20"/>
          <w:szCs w:val="20"/>
          <w:color w:val="auto"/>
        </w:rPr>
      </w:pPr>
    </w:p>
    <w:p>
      <w:pPr>
        <w:jc w:val="both"/>
        <w:ind w:left="640" w:firstLine="644"/>
        <w:spacing w:after="0" w:line="226" w:lineRule="auto"/>
        <w:tabs>
          <w:tab w:leader="none" w:pos="192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0"/>
          <w:szCs w:val="20"/>
          <w:color w:val="auto"/>
        </w:rPr>
        <w:t>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48" w:lineRule="exact"/>
        <w:rPr>
          <w:sz w:val="20"/>
          <w:szCs w:val="20"/>
          <w:color w:val="auto"/>
        </w:rPr>
      </w:pPr>
    </w:p>
    <w:p>
      <w:pPr>
        <w:jc w:val="both"/>
        <w:ind w:left="660" w:firstLine="644"/>
        <w:spacing w:after="0" w:line="234" w:lineRule="auto"/>
        <w:tabs>
          <w:tab w:leader="none" w:pos="1944"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herein to the contrary, this Agreement may be amended with the written consent of the Administrative Agent, the L/C Issuer, the Borrower and the Lenders affected thereby to amend the definition of “</w:t>
      </w:r>
      <w:r>
        <w:rPr>
          <w:rFonts w:ascii="Times New Roman" w:cs="Times New Roman" w:eastAsia="Times New Roman" w:hAnsi="Times New Roman"/>
          <w:sz w:val="19"/>
          <w:szCs w:val="19"/>
          <w:i w:val="1"/>
          <w:iCs w:val="1"/>
          <w:color w:val="auto"/>
        </w:rPr>
        <w:t>Alternative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Currency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Alternative Currency Daily Rate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Alternative Currency Term Rate</w:t>
      </w:r>
      <w:r>
        <w:rPr>
          <w:rFonts w:ascii="Times New Roman" w:cs="Times New Roman" w:eastAsia="Times New Roman" w:hAnsi="Times New Roman"/>
          <w:sz w:val="19"/>
          <w:szCs w:val="19"/>
          <w:color w:val="auto"/>
        </w:rPr>
        <w: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1.09</w:t>
      </w:r>
      <w:r>
        <w:rPr>
          <w:rFonts w:ascii="Times New Roman" w:cs="Times New Roman" w:eastAsia="Times New Roman" w:hAnsi="Times New Roman"/>
          <w:sz w:val="19"/>
          <w:szCs w:val="19"/>
          <w:i w:val="1"/>
          <w:iCs w:val="1"/>
          <w:color w:val="auto"/>
        </w:rPr>
        <w:t xml:space="preserve"> solely </w:t>
      </w:r>
      <w:r>
        <w:rPr>
          <w:rFonts w:ascii="Times New Roman" w:cs="Times New Roman" w:eastAsia="Times New Roman" w:hAnsi="Times New Roman"/>
          <w:sz w:val="19"/>
          <w:szCs w:val="19"/>
          <w:color w:val="auto"/>
        </w:rPr>
        <w:t>to add additional currency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options and the applicable interest rate with respect thereto, in each case </w:t>
      </w:r>
      <w:r>
        <w:rPr>
          <w:rFonts w:ascii="Times New Roman" w:cs="Times New Roman" w:eastAsia="Times New Roman" w:hAnsi="Times New Roman"/>
          <w:sz w:val="19"/>
          <w:szCs w:val="19"/>
          <w:i w:val="1"/>
          <w:iCs w:val="1"/>
          <w:color w:val="auto"/>
        </w:rPr>
        <w:t>solely</w:t>
      </w:r>
      <w:r>
        <w:rPr>
          <w:rFonts w:ascii="Times New Roman" w:cs="Times New Roman" w:eastAsia="Times New Roman" w:hAnsi="Times New Roman"/>
          <w:sz w:val="19"/>
          <w:szCs w:val="19"/>
          <w:color w:val="auto"/>
        </w:rPr>
        <w:t xml:space="preserve"> to the extent permitted pursuant to </w:t>
      </w:r>
      <w:r>
        <w:rPr>
          <w:rFonts w:ascii="Times New Roman" w:cs="Times New Roman" w:eastAsia="Times New Roman" w:hAnsi="Times New Roman"/>
          <w:sz w:val="19"/>
          <w:szCs w:val="19"/>
          <w:b w:val="1"/>
          <w:bCs w:val="1"/>
          <w:i w:val="1"/>
          <w:iCs w:val="1"/>
          <w:color w:val="auto"/>
        </w:rPr>
        <w:t>Section 1.09</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jc w:val="both"/>
        <w:ind w:left="660" w:firstLine="644"/>
        <w:spacing w:after="0" w:line="220" w:lineRule="auto"/>
        <w:tabs>
          <w:tab w:leader="none" w:pos="194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4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If any Lender does not consent to a proposed amendment, waiver, consent or release with respect to any Loan Document that requires the consent of each Lender and that has been approved by the Required Lenders, the Borrower may replace such Non-Consenting Lender in accordance with </w:t>
      </w:r>
      <w:r>
        <w:rPr>
          <w:rFonts w:ascii="Times New Roman" w:cs="Times New Roman" w:eastAsia="Times New Roman" w:hAnsi="Times New Roman"/>
          <w:sz w:val="22"/>
          <w:szCs w:val="22"/>
          <w:b w:val="1"/>
          <w:bCs w:val="1"/>
          <w:i w:val="1"/>
          <w:iCs w:val="1"/>
          <w:color w:val="auto"/>
        </w:rPr>
        <w:t>Section 11.13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Effectiveness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Electronic Communications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0" w:lineRule="auto"/>
        <w:tabs>
          <w:tab w:leader="none" w:pos="128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 Generally</w:t>
      </w:r>
      <w:r>
        <w:rPr>
          <w:rFonts w:ascii="Times New Roman" w:cs="Times New Roman" w:eastAsia="Times New Roman" w:hAnsi="Times New Roman"/>
          <w:sz w:val="20"/>
          <w:szCs w:val="20"/>
          <w:color w:val="auto"/>
        </w:rPr>
        <w:t>. Except in the case of notices and other communications expressly permitted to be given by telephone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except as provided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51" w:lineRule="exact"/>
        <w:rPr>
          <w:rFonts w:ascii="Times New Roman" w:cs="Times New Roman" w:eastAsia="Times New Roman" w:hAnsi="Times New Roman"/>
          <w:sz w:val="20"/>
          <w:szCs w:val="20"/>
          <w:color w:val="auto"/>
        </w:rPr>
      </w:pPr>
    </w:p>
    <w:p>
      <w:pPr>
        <w:ind w:left="660" w:right="20" w:firstLine="644"/>
        <w:spacing w:after="0"/>
        <w:tabs>
          <w:tab w:leader="none" w:pos="1954"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or any other Loan Party, the Administrative Agent, the L/C Issuer or the Swingline Lender, to the address, fax number, e-mail address or telephone number specified for such Person on </w:t>
      </w:r>
      <w:r>
        <w:rPr>
          <w:rFonts w:ascii="Times New Roman" w:cs="Times New Roman" w:eastAsia="Times New Roman" w:hAnsi="Times New Roman"/>
          <w:sz w:val="20"/>
          <w:szCs w:val="20"/>
          <w:b w:val="1"/>
          <w:bCs w:val="1"/>
          <w:i w:val="1"/>
          <w:iCs w:val="1"/>
          <w:color w:val="auto"/>
        </w:rPr>
        <w:t>Schedule 1.01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and</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55"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44"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when sent (except that, if not given during normal business hours for the recipient, shall be deemed to have been given at the opening of business on the next Business Day for the recipient). Notices and other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delivered through electronic communications to the extent provided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300"/>
        <w:spacing w:after="0"/>
        <w:tabs>
          <w:tab w:leader="none" w:pos="4220" w:val="left"/>
        </w:tabs>
        <w:rPr>
          <w:sz w:val="20"/>
          <w:szCs w:val="20"/>
          <w:color w:val="auto"/>
        </w:rPr>
      </w:pPr>
      <w:r>
        <w:rPr>
          <w:rFonts w:ascii="Times New Roman" w:cs="Times New Roman" w:eastAsia="Times New Roman" w:hAnsi="Times New Roman"/>
          <w:sz w:val="20"/>
          <w:szCs w:val="20"/>
          <w:color w:val="auto"/>
        </w:rPr>
        <w:t>This Agreement was prepared by:</w:t>
      </w:r>
      <w:r>
        <w:rPr>
          <w:sz w:val="20"/>
          <w:szCs w:val="20"/>
          <w:color w:val="auto"/>
        </w:rPr>
        <w:tab/>
      </w:r>
      <w:r>
        <w:rPr>
          <w:rFonts w:ascii="Times New Roman" w:cs="Times New Roman" w:eastAsia="Times New Roman" w:hAnsi="Times New Roman"/>
          <w:sz w:val="19"/>
          <w:szCs w:val="19"/>
          <w:color w:val="auto"/>
        </w:rPr>
        <w:t>Haynes and Boone, LLP</w:t>
      </w:r>
    </w:p>
    <w:p>
      <w:pPr>
        <w:ind w:left="4540"/>
        <w:spacing w:after="0" w:line="211" w:lineRule="auto"/>
        <w:rPr>
          <w:sz w:val="20"/>
          <w:szCs w:val="20"/>
          <w:color w:val="auto"/>
        </w:rPr>
      </w:pPr>
      <w:r>
        <w:rPr>
          <w:rFonts w:ascii="Times New Roman" w:cs="Times New Roman" w:eastAsia="Times New Roman" w:hAnsi="Times New Roman"/>
          <w:sz w:val="20"/>
          <w:szCs w:val="20"/>
          <w:color w:val="auto"/>
        </w:rPr>
        <w:t>1221 McKinney Street</w:t>
      </w:r>
    </w:p>
    <w:p>
      <w:pPr>
        <w:ind w:left="4540"/>
        <w:spacing w:after="0" w:line="211" w:lineRule="auto"/>
        <w:rPr>
          <w:sz w:val="20"/>
          <w:szCs w:val="20"/>
          <w:color w:val="auto"/>
        </w:rPr>
      </w:pPr>
      <w:r>
        <w:rPr>
          <w:rFonts w:ascii="Times New Roman" w:cs="Times New Roman" w:eastAsia="Times New Roman" w:hAnsi="Times New Roman"/>
          <w:sz w:val="20"/>
          <w:szCs w:val="20"/>
          <w:color w:val="auto"/>
        </w:rPr>
        <w:t>Suite 2100</w:t>
      </w:r>
    </w:p>
    <w:p>
      <w:pPr>
        <w:ind w:left="4540"/>
        <w:spacing w:after="0" w:line="197" w:lineRule="auto"/>
        <w:rPr>
          <w:sz w:val="20"/>
          <w:szCs w:val="20"/>
          <w:color w:val="auto"/>
        </w:rPr>
      </w:pPr>
      <w:r>
        <w:rPr>
          <w:rFonts w:ascii="Times New Roman" w:cs="Times New Roman" w:eastAsia="Times New Roman" w:hAnsi="Times New Roman"/>
          <w:sz w:val="20"/>
          <w:szCs w:val="20"/>
          <w:color w:val="auto"/>
        </w:rPr>
        <w:t>Houston, TX 77010</w:t>
      </w:r>
    </w:p>
    <w:p>
      <w:pPr>
        <w:ind w:left="4540"/>
        <w:spacing w:after="0" w:line="212" w:lineRule="auto"/>
        <w:rPr>
          <w:sz w:val="20"/>
          <w:szCs w:val="20"/>
          <w:color w:val="auto"/>
        </w:rPr>
      </w:pPr>
      <w:r>
        <w:rPr>
          <w:rFonts w:ascii="Times New Roman" w:cs="Times New Roman" w:eastAsia="Times New Roman" w:hAnsi="Times New Roman"/>
          <w:sz w:val="20"/>
          <w:szCs w:val="20"/>
          <w:color w:val="auto"/>
        </w:rPr>
        <w:t>Attention: Neal Kaminsky</w:t>
      </w:r>
    </w:p>
    <w:p>
      <w:pPr>
        <w:ind w:left="4540"/>
        <w:spacing w:after="0" w:line="211" w:lineRule="auto"/>
        <w:rPr>
          <w:sz w:val="20"/>
          <w:szCs w:val="20"/>
          <w:color w:val="auto"/>
        </w:rPr>
      </w:pPr>
      <w:r>
        <w:rPr>
          <w:rFonts w:ascii="Times New Roman" w:cs="Times New Roman" w:eastAsia="Times New Roman" w:hAnsi="Times New Roman"/>
          <w:sz w:val="20"/>
          <w:szCs w:val="20"/>
          <w:color w:val="auto"/>
        </w:rPr>
        <w:t>Phone: (713) 547-2542</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E-mail: neal.kaminsky@haynesboone.com</w:t>
      </w:r>
    </w:p>
    <w:p>
      <w:pPr>
        <w:spacing w:after="0" w:line="149" w:lineRule="exact"/>
        <w:rPr>
          <w:sz w:val="20"/>
          <w:szCs w:val="20"/>
          <w:color w:val="auto"/>
        </w:rPr>
      </w:pPr>
    </w:p>
    <w:p>
      <w:pPr>
        <w:ind w:left="1300" w:hanging="644"/>
        <w:spacing w:after="0"/>
        <w:tabs>
          <w:tab w:leader="none" w:pos="13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Communications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4"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notices to any Lender, the Swingline Lender or the L/C Issuer pursuant to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if such Lender, the Swingline Lender or the L/C Issuer, as applicable, has notified the Administrative Agent that it is incapable of receiving notices under such </w:t>
      </w:r>
      <w:r>
        <w:rPr>
          <w:rFonts w:ascii="Times New Roman" w:cs="Times New Roman" w:eastAsia="Times New Roman" w:hAnsi="Times New Roman"/>
          <w:sz w:val="20"/>
          <w:szCs w:val="20"/>
          <w:b w:val="1"/>
          <w:bCs w:val="1"/>
          <w:i w:val="1"/>
          <w:iCs w:val="1"/>
          <w:color w:val="auto"/>
        </w:rPr>
        <w:t>Article II</w:t>
      </w:r>
      <w:r>
        <w:rPr>
          <w:rFonts w:ascii="Times New Roman" w:cs="Times New Roman" w:eastAsia="Times New Roman" w:hAnsi="Times New Roman"/>
          <w:sz w:val="20"/>
          <w:szCs w:val="20"/>
          <w:color w:val="auto"/>
        </w:rPr>
        <w:t xml:space="preserv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55"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b w:val="1"/>
          <w:bCs w:val="1"/>
          <w:i w:val="1"/>
          <w:i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jc w:val="both"/>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have any liability to the Borrower, any Lender, the L/C Issuer or any other Person for losses, claims, damages, liabilities or expenses of any kind (whether in tort, contract or otherwise) arising out of the Borrower’s,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Party’s or the Administrative Agent’s transmission of Borrower Materials or notices through the Platform, any other electronic platform or electronic messaging service, or through the Internet.</w:t>
      </w:r>
    </w:p>
    <w:p>
      <w:pPr>
        <w:spacing w:after="0" w:line="144" w:lineRule="exact"/>
        <w:rPr>
          <w:sz w:val="20"/>
          <w:szCs w:val="20"/>
          <w:color w:val="auto"/>
        </w:rPr>
      </w:pPr>
    </w:p>
    <w:p>
      <w:pPr>
        <w:jc w:val="both"/>
        <w:ind w:firstLine="656"/>
        <w:spacing w:after="0" w:line="211" w:lineRule="auto"/>
        <w:tabs>
          <w:tab w:leader="none" w:pos="1284"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of Address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Etc</w:t>
      </w:r>
      <w:r>
        <w:rPr>
          <w:rFonts w:ascii="Times New Roman" w:cs="Times New Roman" w:eastAsia="Times New Roman" w:hAnsi="Times New Roman"/>
          <w:sz w:val="20"/>
          <w:szCs w:val="20"/>
          <w:color w:val="auto"/>
        </w:rPr>
        <w:t>. Each of the Borrower, the Administrative Agent, the L/C Issuer and the Swingline Lender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w:t>
      </w:r>
    </w:p>
    <w:p>
      <w:pPr>
        <w:ind w:left="300" w:hanging="292"/>
        <w:spacing w:after="0" w:line="222" w:lineRule="auto"/>
        <w:tabs>
          <w:tab w:leader="none" w:pos="30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accurate wire instructions for such Lender. Furthermore, each Public Lender agrees to cause at least one individual at or on behalf of such</w:t>
      </w:r>
    </w:p>
    <w:p>
      <w:pPr>
        <w:spacing w:after="0" w:line="211" w:lineRule="auto"/>
        <w:rPr>
          <w:sz w:val="20"/>
          <w:szCs w:val="20"/>
          <w:color w:val="auto"/>
        </w:rPr>
      </w:pPr>
      <w:r>
        <w:rPr>
          <w:rFonts w:ascii="Times New Roman" w:cs="Times New Roman" w:eastAsia="Times New Roman" w:hAnsi="Times New Roman"/>
          <w:sz w:val="20"/>
          <w:szCs w:val="20"/>
          <w:color w:val="auto"/>
        </w:rPr>
        <w:t>Public Lender to at all times have selected the “Private Side Information” or similar designation on the content declaration screen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Platform in order to enable such Public Lender or its delegate, in accordance with such Public Lender’s compliance procedures and Applicable Law, including United States federal and state securities Laws, to make reference to Borrower Materials that are not made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available through the “Public Side Information” portion of the Platform and that may contain material non-public information with respect to the Borrower or its securities for purposes of United States federal or state securities laws.</w:t>
      </w:r>
    </w:p>
    <w:p>
      <w:pPr>
        <w:spacing w:after="0" w:line="145" w:lineRule="exact"/>
        <w:rPr>
          <w:sz w:val="20"/>
          <w:szCs w:val="20"/>
          <w:color w:val="auto"/>
        </w:rPr>
      </w:pPr>
    </w:p>
    <w:p>
      <w:pPr>
        <w:jc w:val="both"/>
        <w:ind w:firstLine="656"/>
        <w:spacing w:after="0" w:line="215" w:lineRule="auto"/>
        <w:tabs>
          <w:tab w:leader="none" w:pos="1286"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Reliance by Administrative Agent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 Issuer and Lenders</w:t>
      </w:r>
      <w:r>
        <w:rPr>
          <w:rFonts w:ascii="Times New Roman" w:cs="Times New Roman" w:eastAsia="Times New Roman" w:hAnsi="Times New Roman"/>
          <w:sz w:val="20"/>
          <w:szCs w:val="20"/>
          <w:color w:val="auto"/>
        </w:rPr>
        <w:t>. The Administrative Agent, the L/C Issuer and the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entitled to rely and act upon any notices (including, without limitation, telephonic or electronic notices, Loan Notices, Letter of Credit Applications, Notice of Loan Prepayment and Swingline Loan Notices) purportedly given by or on behalf of any Loan Party even if</w:t>
      </w:r>
    </w:p>
    <w:p>
      <w:pPr>
        <w:spacing w:after="0" w:line="1" w:lineRule="exact"/>
        <w:rPr>
          <w:rFonts w:ascii="Times New Roman" w:cs="Times New Roman" w:eastAsia="Times New Roman" w:hAnsi="Times New Roman"/>
          <w:sz w:val="20"/>
          <w:szCs w:val="20"/>
          <w:color w:val="auto"/>
        </w:rPr>
      </w:pPr>
    </w:p>
    <w:p>
      <w:pPr>
        <w:ind w:left="260" w:hanging="252"/>
        <w:spacing w:after="0" w:line="211" w:lineRule="auto"/>
        <w:tabs>
          <w:tab w:leader="none" w:pos="2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notices were not made in a manner specified herein, were incomplete or were not preceded or followed by any other form of notice</w:t>
      </w:r>
    </w:p>
    <w:p>
      <w:pPr>
        <w:spacing w:after="0" w:line="215" w:lineRule="auto"/>
        <w:rPr>
          <w:sz w:val="20"/>
          <w:szCs w:val="20"/>
          <w:color w:val="auto"/>
        </w:rPr>
      </w:pPr>
      <w:r>
        <w:rPr>
          <w:rFonts w:ascii="Times New Roman" w:cs="Times New Roman" w:eastAsia="Times New Roman" w:hAnsi="Times New Roman"/>
          <w:sz w:val="19"/>
          <w:szCs w:val="19"/>
          <w:color w:val="auto"/>
        </w:rPr>
        <w:t>specified herein, or (ii) the terms thereof, as understood by the recipient, varied from any confirmation thereof. The Loan Parties shall indemnify the Administrative Agent, the L/C Issuer, each Lender and the Related Parties of each of them from all losses, costs, expenses and</w:t>
      </w:r>
    </w:p>
    <w:p>
      <w:pPr>
        <w:spacing w:after="0" w:line="222" w:lineRule="auto"/>
        <w:rPr>
          <w:sz w:val="20"/>
          <w:szCs w:val="20"/>
          <w:color w:val="auto"/>
        </w:rPr>
      </w:pPr>
      <w:r>
        <w:rPr>
          <w:rFonts w:ascii="Times New Roman" w:cs="Times New Roman" w:eastAsia="Times New Roman" w:hAnsi="Times New Roman"/>
          <w:sz w:val="19"/>
          <w:szCs w:val="19"/>
          <w:color w:val="auto"/>
        </w:rPr>
        <w:t>liabilities resulting from the reliance by such Person on each notice purportedly given by or on behalf of a Loan Party. All telephonic notices</w:t>
      </w:r>
    </w:p>
    <w:p>
      <w:pPr>
        <w:ind w:right="20"/>
        <w:spacing w:after="0" w:line="221" w:lineRule="auto"/>
        <w:rPr>
          <w:sz w:val="20"/>
          <w:szCs w:val="20"/>
          <w:color w:val="auto"/>
        </w:rPr>
      </w:pPr>
      <w:r>
        <w:rPr>
          <w:rFonts w:ascii="Times New Roman" w:cs="Times New Roman" w:eastAsia="Times New Roman" w:hAnsi="Times New Roman"/>
          <w:sz w:val="20"/>
          <w:szCs w:val="20"/>
          <w:color w:val="auto"/>
        </w:rPr>
        <w:t>to and other telephonic communications with the Administrative Agent may be recorded by the Administrative Agent, and each of the parties hereto hereby consents to such recording.</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11.03</w:t>
      </w:r>
      <w:r>
        <w:rPr>
          <w:sz w:val="20"/>
          <w:szCs w:val="20"/>
          <w:color w:val="auto"/>
        </w:rPr>
        <w:tab/>
      </w:r>
      <w:r>
        <w:rPr>
          <w:rFonts w:ascii="Times New Roman" w:cs="Times New Roman" w:eastAsia="Times New Roman" w:hAnsi="Times New Roman"/>
          <w:sz w:val="19"/>
          <w:szCs w:val="19"/>
          <w:b w:val="1"/>
          <w:bCs w:val="1"/>
          <w:color w:val="auto"/>
        </w:rPr>
        <w:t>No Waiver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Cumulative Remedies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Enforcement</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656"/>
        <w:spacing w:after="0" w:line="216" w:lineRule="auto"/>
        <w:tabs>
          <w:tab w:leader="none" w:pos="128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62"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foregoing shall not prohibit (a) the Administrative Agent from exercising on its own behalf the rights and remedies that inure to its benefit (solely in its capacity as Administrative Agent) hereunder and under the other Loan Documents, (b) the L/C Issuer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Swingline Lender from exercising the rights and remedies that inure to its benefit (solely in its capacity as L/C Issuer or Swingline Lender, as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case may be) hereunder and under the other Loan Documents, (c) any Lender from exercising setoff rights in accordance with </w:t>
      </w:r>
      <w:r>
        <w:rPr>
          <w:rFonts w:ascii="Times New Roman" w:cs="Times New Roman" w:eastAsia="Times New Roman" w:hAnsi="Times New Roman"/>
          <w:sz w:val="20"/>
          <w:szCs w:val="20"/>
          <w:b w:val="1"/>
          <w:bCs w:val="1"/>
          <w:i w:val="1"/>
          <w:iCs w:val="1"/>
          <w:color w:val="auto"/>
        </w:rPr>
        <w:t xml:space="preserve">Section 11.08 </w:t>
      </w:r>
      <w:r>
        <w:rPr>
          <w:rFonts w:ascii="Times New Roman" w:cs="Times New Roman" w:eastAsia="Times New Roman" w:hAnsi="Times New Roman"/>
          <w:sz w:val="20"/>
          <w:szCs w:val="20"/>
          <w:color w:val="auto"/>
        </w:rPr>
        <w:t>(subject to the terms of</w:t>
      </w:r>
      <w:r>
        <w:rPr>
          <w:rFonts w:ascii="Times New Roman" w:cs="Times New Roman" w:eastAsia="Times New Roman" w:hAnsi="Times New Roman"/>
          <w:sz w:val="20"/>
          <w:szCs w:val="20"/>
          <w:b w:val="1"/>
          <w:bCs w:val="1"/>
          <w:i w:val="1"/>
          <w:iCs w:val="1"/>
          <w:color w:val="auto"/>
        </w:rPr>
        <w:t xml:space="preserve"> Section 2.13</w:t>
      </w:r>
      <w:r>
        <w:rPr>
          <w:rFonts w:ascii="Times New Roman" w:cs="Times New Roman" w:eastAsia="Times New Roman" w:hAnsi="Times New Roman"/>
          <w:sz w:val="20"/>
          <w:szCs w:val="20"/>
          <w:color w:val="auto"/>
        </w:rPr>
        <w:t>), or (d) any Lender from filing proofs of claim or appearing and filing pleadings on its</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own behalf during the pendency of a proceeding relative to any Loan Party under any Debtor Relief Law; 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if at any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b w:val="1"/>
          <w:bCs w:val="1"/>
          <w:i w:val="1"/>
          <w:iCs w:val="1"/>
          <w:color w:val="auto"/>
        </w:rPr>
        <w:t>Section 8.02</w:t>
      </w:r>
      <w:r>
        <w:rPr>
          <w:rFonts w:ascii="Times New Roman" w:cs="Times New Roman" w:eastAsia="Times New Roman" w:hAnsi="Times New Roman"/>
          <w:sz w:val="20"/>
          <w:szCs w:val="20"/>
          <w:color w:val="auto"/>
        </w:rPr>
        <w:t xml:space="preserve"> and (ii) in addition to the matters set forth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i w:val="1"/>
          <w:iCs w:val="1"/>
          <w:color w:val="auto"/>
        </w:rPr>
        <w:t xml:space="preserve">clauses (b), (c)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(d) </w:t>
      </w:r>
      <w:r>
        <w:rPr>
          <w:rFonts w:ascii="Times New Roman" w:cs="Times New Roman" w:eastAsia="Times New Roman" w:hAnsi="Times New Roman"/>
          <w:sz w:val="20"/>
          <w:szCs w:val="20"/>
          <w:color w:val="auto"/>
        </w:rPr>
        <w:t>of the preceding proviso and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Section 2.13</w:t>
      </w:r>
      <w:r>
        <w:rPr>
          <w:rFonts w:ascii="Times New Roman" w:cs="Times New Roman" w:eastAsia="Times New Roman" w:hAnsi="Times New Roman"/>
          <w:sz w:val="20"/>
          <w:szCs w:val="20"/>
          <w:color w:val="auto"/>
        </w:rPr>
        <w:t>, any Lender may, with the consent of the Required Lenders,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enforce any rights and remedies available to it and as authorized by the Required Lenders.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11.04</w:t>
      </w:r>
      <w:r>
        <w:rPr>
          <w:sz w:val="20"/>
          <w:szCs w:val="20"/>
          <w:color w:val="auto"/>
        </w:rPr>
        <w:tab/>
      </w:r>
      <w:r>
        <w:rPr>
          <w:rFonts w:ascii="Times New Roman" w:cs="Times New Roman" w:eastAsia="Times New Roman" w:hAnsi="Times New Roman"/>
          <w:sz w:val="19"/>
          <w:szCs w:val="19"/>
          <w:b w:val="1"/>
          <w:bCs w:val="1"/>
          <w:color w:val="auto"/>
        </w:rPr>
        <w:t>Expenses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Indemnity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Damage Waiver</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1" w:lineRule="auto"/>
        <w:tabs>
          <w:tab w:leader="none" w:pos="128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The Loan Parties shall pay (i) all reasonable out-of-pocket expenses incurred by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and its Affiliates (including, but not limited to, (A) the reasonable fees, charges and disbursements of counsel for the Administrative Agent and its Affiliates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extension, reinstatement or renewal of any Letter of Credit or any demand for payment thereunder and (iii) all out-of-pocket expenses incurred by the Administrative Agent, any Lender or the L/C Issuer (including the fees, charges and disbursements of any counsel for the Administrative Agent, any Lender or the L/C Issuer)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connection with the enforcement or protection of its rights (A) in connection with this Agreement and the other Loan Documents, including its rights under this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165" w:lineRule="exact"/>
        <w:rPr>
          <w:rFonts w:ascii="Times New Roman" w:cs="Times New Roman" w:eastAsia="Times New Roman" w:hAnsi="Times New Roman"/>
          <w:sz w:val="20"/>
          <w:szCs w:val="20"/>
          <w:color w:val="auto"/>
        </w:rPr>
      </w:pPr>
    </w:p>
    <w:p>
      <w:pPr>
        <w:jc w:val="both"/>
        <w:ind w:firstLine="656"/>
        <w:spacing w:after="0" w:line="219" w:lineRule="auto"/>
        <w:tabs>
          <w:tab w:leader="none" w:pos="1284"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Indemnification by the Loan Parties</w:t>
      </w:r>
      <w:r>
        <w:rPr>
          <w:rFonts w:ascii="Times New Roman" w:cs="Times New Roman" w:eastAsia="Times New Roman" w:hAnsi="Times New Roman"/>
          <w:sz w:val="19"/>
          <w:szCs w:val="19"/>
          <w:color w:val="auto"/>
        </w:rPr>
        <w:t>. The Loan Parties shall indemnify the Administrative Agent (and any sub-agent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thereof), each Lender and the L/C Issuer, and each Related Party of any of the foregoing Persons (each such Person being called an “</w:t>
      </w:r>
      <w:r>
        <w:rPr>
          <w:rFonts w:ascii="Times New Roman" w:cs="Times New Roman" w:eastAsia="Times New Roman" w:hAnsi="Times New Roman"/>
          <w:sz w:val="19"/>
          <w:szCs w:val="19"/>
          <w:b w:val="1"/>
          <w:bCs w:val="1"/>
          <w:i w:val="1"/>
          <w:iCs w:val="1"/>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b w:val="1"/>
          <w:bCs w:val="1"/>
          <w:i w:val="1"/>
          <w:iCs w:val="1"/>
          <w:color w:val="auto"/>
        </w:rPr>
        <w:t>Section 3.01</w:t>
      </w:r>
      <w:r>
        <w:rPr>
          <w:rFonts w:ascii="Times New Roman" w:cs="Times New Roman" w:eastAsia="Times New Roman" w:hAnsi="Times New Roman"/>
          <w:sz w:val="19"/>
          <w:szCs w:val="19"/>
          <w:color w:val="auto"/>
        </w:rPr>
        <w: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w:t>
      </w:r>
    </w:p>
    <w:p>
      <w:pPr>
        <w:spacing w:after="0" w:line="207" w:lineRule="auto"/>
        <w:rPr>
          <w:sz w:val="20"/>
          <w:szCs w:val="20"/>
          <w:color w:val="auto"/>
        </w:rPr>
      </w:pPr>
      <w:r>
        <w:rPr>
          <w:rFonts w:ascii="Times New Roman" w:cs="Times New Roman" w:eastAsia="Times New Roman" w:hAnsi="Times New Roman"/>
          <w:sz w:val="20"/>
          <w:szCs w:val="20"/>
          <w:color w:val="auto"/>
        </w:rPr>
        <w:t>a Loan Party or any of its Subsidiaries, or any Environmental Liability related in any way to a Loan Party or any of its Subsidiaries, or</w:t>
      </w:r>
    </w:p>
    <w:p>
      <w:pPr>
        <w:jc w:val="both"/>
        <w:ind w:firstLine="8"/>
        <w:spacing w:after="0" w:line="242" w:lineRule="auto"/>
        <w:tabs>
          <w:tab w:leader="none" w:pos="338"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actual or prospective claim, litigation, investigation or proceeding relating to any of the foregoing, whether based on contract, tort or any other theory, whether brought by a third party or by the Borrower or any other Loan Party, or any of the Borrower’s or such Loan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shareholders or creditors, and regardless of whether any Indemnitee is a party thereto, IN ALL CASES, WHETHER OR NOT</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CAUSED BY OR ARISING, IN WHOLE OR IN PART, OUT OF THE COMPARATIVE, CONTRIBUTORY OR SOLE NEGLIGENCE OF THE INDEMNITEE;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w:t>
      </w:r>
    </w:p>
    <w:p>
      <w:pPr>
        <w:spacing w:after="0" w:line="211" w:lineRule="auto"/>
        <w:rPr>
          <w:sz w:val="20"/>
          <w:szCs w:val="20"/>
          <w:color w:val="auto"/>
        </w:rPr>
      </w:pPr>
      <w:r>
        <w:rPr>
          <w:rFonts w:ascii="Times New Roman" w:cs="Times New Roman" w:eastAsia="Times New Roman" w:hAnsi="Times New Roman"/>
          <w:sz w:val="20"/>
          <w:szCs w:val="20"/>
          <w:color w:val="auto"/>
        </w:rPr>
        <w:t>damages, liabilities or related expenses are determined by a court of competent jurisdiction by final and non-appealable judgment to have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resulted from the gross negligence or willful misconduct of such Indemnitee or (y) result from a claim brought by the Borrower or any other Loan Party against an Indemnitee for breach in bad faith of such Indemnitee’s obligations hereunder or under any other Loan Document, if</w:t>
      </w:r>
    </w:p>
    <w:p>
      <w:pPr>
        <w:spacing w:after="0" w:line="211" w:lineRule="auto"/>
        <w:rPr>
          <w:sz w:val="20"/>
          <w:szCs w:val="20"/>
          <w:color w:val="auto"/>
        </w:rPr>
      </w:pPr>
      <w:r>
        <w:rPr>
          <w:rFonts w:ascii="Times New Roman" w:cs="Times New Roman" w:eastAsia="Times New Roman" w:hAnsi="Times New Roman"/>
          <w:sz w:val="20"/>
          <w:szCs w:val="20"/>
          <w:color w:val="auto"/>
        </w:rPr>
        <w:t>the Borrower or such Loan Party has obtained a final and nonappealable judgment in its favor on such claim as determined by a court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competent jurisdiction. Without limiting the provisions of </w:t>
      </w:r>
      <w:r>
        <w:rPr>
          <w:rFonts w:ascii="Times New Roman" w:cs="Times New Roman" w:eastAsia="Times New Roman" w:hAnsi="Times New Roman"/>
          <w:sz w:val="20"/>
          <w:szCs w:val="20"/>
          <w:b w:val="1"/>
          <w:bCs w:val="1"/>
          <w:i w:val="1"/>
          <w:iCs w:val="1"/>
          <w:color w:val="auto"/>
        </w:rPr>
        <w:t>Section 3.01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shall not apply with respect to Taxes other than any Taxes that represent losses, claims, damages, etc. arising from any non-Tax claim.</w:t>
      </w:r>
    </w:p>
    <w:p>
      <w:pPr>
        <w:spacing w:after="0" w:line="158" w:lineRule="exact"/>
        <w:rPr>
          <w:sz w:val="20"/>
          <w:szCs w:val="20"/>
          <w:color w:val="auto"/>
        </w:rPr>
      </w:pPr>
    </w:p>
    <w:p>
      <w:pPr>
        <w:jc w:val="both"/>
        <w:ind w:firstLine="656"/>
        <w:spacing w:after="0" w:line="211" w:lineRule="auto"/>
        <w:tabs>
          <w:tab w:leader="none" w:pos="128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Reimbursement by Lenders</w:t>
      </w:r>
      <w:r>
        <w:rPr>
          <w:rFonts w:ascii="Times New Roman" w:cs="Times New Roman" w:eastAsia="Times New Roman" w:hAnsi="Times New Roman"/>
          <w:sz w:val="20"/>
          <w:szCs w:val="20"/>
          <w:color w:val="auto"/>
        </w:rPr>
        <w:t>. To the extent that the Loan Parties for any reason fail to indefeasibly pay any amount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b w:val="1"/>
          <w:bCs w:val="1"/>
          <w:i w:val="1"/>
          <w:iCs w:val="1"/>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color w:val="auto"/>
        </w:rPr>
        <w:t xml:space="preserve">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 w:cs="Times New Roman" w:eastAsia="Times New Roman" w:hAnsi="Times New Roman"/>
          <w:sz w:val="20"/>
          <w:szCs w:val="20"/>
          <w:b w:val="1"/>
          <w:bCs w:val="1"/>
          <w:i w:val="1"/>
          <w:iCs w:val="1"/>
          <w:color w:val="auto"/>
        </w:rPr>
        <w:t xml:space="preserve">clause (c) </w:t>
      </w:r>
      <w:r>
        <w:rPr>
          <w:rFonts w:ascii="Times New Roman" w:cs="Times New Roman" w:eastAsia="Times New Roman" w:hAnsi="Times New Roman"/>
          <w:sz w:val="20"/>
          <w:szCs w:val="20"/>
          <w:color w:val="auto"/>
        </w:rPr>
        <w:t>are subject to the provisions of</w:t>
      </w:r>
      <w:r>
        <w:rPr>
          <w:rFonts w:ascii="Times New Roman" w:cs="Times New Roman" w:eastAsia="Times New Roman" w:hAnsi="Times New Roman"/>
          <w:sz w:val="20"/>
          <w:szCs w:val="20"/>
          <w:b w:val="1"/>
          <w:bCs w:val="1"/>
          <w:i w:val="1"/>
          <w:iCs w:val="1"/>
          <w:color w:val="auto"/>
        </w:rPr>
        <w:t xml:space="preserve"> Section 2.12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Consequential Damages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Etc</w:t>
      </w:r>
      <w:r>
        <w:rPr>
          <w:rFonts w:ascii="Times New Roman" w:cs="Times New Roman" w:eastAsia="Times New Roman" w:hAnsi="Times New Roman"/>
          <w:sz w:val="20"/>
          <w:szCs w:val="20"/>
          <w:color w:val="auto"/>
        </w:rPr>
        <w:t>. To the fullest extent permitted by Applicable Law, no Loan Party shall assert,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4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Payments</w:t>
      </w:r>
      <w:r>
        <w:rPr>
          <w:rFonts w:ascii="Times New Roman" w:cs="Times New Roman" w:eastAsia="Times New Roman" w:hAnsi="Times New Roman"/>
          <w:sz w:val="19"/>
          <w:szCs w:val="19"/>
          <w:color w:val="auto"/>
        </w:rPr>
        <w:t>. All amounts due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Section 11.04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payable not later than 10 Business Days after demand therefor.</w:t>
      </w:r>
    </w:p>
    <w:p>
      <w:pPr>
        <w:spacing w:after="0" w:line="200" w:lineRule="exact"/>
        <w:rPr>
          <w:rFonts w:ascii="Times New Roman" w:cs="Times New Roman" w:eastAsia="Times New Roman" w:hAnsi="Times New Roman"/>
          <w:sz w:val="19"/>
          <w:szCs w:val="19"/>
          <w:color w:val="auto"/>
        </w:rPr>
      </w:pPr>
    </w:p>
    <w:p>
      <w:pPr>
        <w:jc w:val="both"/>
        <w:ind w:firstLine="656"/>
        <w:spacing w:after="0" w:line="227" w:lineRule="auto"/>
        <w:tabs>
          <w:tab w:leader="none" w:pos="1291"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The agreements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11.04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indemnity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Section 11.02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w:t>
      </w:r>
      <w:r>
        <w:rPr>
          <w:rFonts w:ascii="Times New Roman" w:cs="Times New Roman" w:eastAsia="Times New Roman" w:hAnsi="Times New Roman"/>
          <w:sz w:val="20"/>
          <w:szCs w:val="20"/>
          <w:color w:val="auto"/>
        </w:rPr>
        <w:t>) shall survive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resignation of the Administrative Agent, the L/C Issuer and the Swingline Lender, the replacement of any Lender, the termination of the Aggregate Commitments and the repayment, satisfaction or discharge of all the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color w:val="auto"/>
        </w:rPr>
        <w:t>11.05</w:t>
      </w:r>
      <w:r>
        <w:rPr>
          <w:sz w:val="20"/>
          <w:szCs w:val="20"/>
          <w:color w:val="auto"/>
        </w:rPr>
        <w:tab/>
      </w:r>
      <w:r>
        <w:rPr>
          <w:rFonts w:ascii="Times New Roman" w:cs="Times New Roman" w:eastAsia="Times New Roman" w:hAnsi="Times New Roman"/>
          <w:sz w:val="20"/>
          <w:szCs w:val="20"/>
          <w:b w:val="1"/>
          <w:bCs w:val="1"/>
          <w:color w:val="auto"/>
        </w:rPr>
        <w:t>Payments Set Aside</w:t>
      </w:r>
      <w:r>
        <w:rPr>
          <w:rFonts w:ascii="Times New Roman" w:cs="Times New Roman" w:eastAsia="Times New Roman" w:hAnsi="Times New Roman"/>
          <w:sz w:val="20"/>
          <w:szCs w:val="20"/>
          <w:color w:val="auto"/>
        </w:rPr>
        <w:t>. To the extent that any payment by or on behalf of the Borrower is made to the Administrative Agent,</w:t>
      </w:r>
    </w:p>
    <w:p>
      <w:pPr>
        <w:ind w:right="20"/>
        <w:spacing w:after="0" w:line="204" w:lineRule="auto"/>
        <w:rPr>
          <w:sz w:val="20"/>
          <w:szCs w:val="20"/>
          <w:color w:val="auto"/>
        </w:rPr>
      </w:pPr>
      <w:r>
        <w:rPr>
          <w:rFonts w:ascii="Times New Roman" w:cs="Times New Roman" w:eastAsia="Times New Roman" w:hAnsi="Times New Roman"/>
          <w:sz w:val="20"/>
          <w:szCs w:val="20"/>
          <w:color w:val="auto"/>
        </w:rPr>
        <w:t>the L/C Issuer or any Lender, or the Administrative Agent, the L/C Issuer or any Lender exercises its right of setoff, and such payment or the proceeds of such setoff or any part thereof is subsequently invalidated, declared to be fraudulent or preferential, set aside or required</w:t>
      </w:r>
    </w:p>
    <w:p>
      <w:pPr>
        <w:spacing w:after="0" w:line="223" w:lineRule="auto"/>
        <w:rPr>
          <w:sz w:val="20"/>
          <w:szCs w:val="20"/>
          <w:color w:val="auto"/>
        </w:rPr>
      </w:pPr>
      <w:r>
        <w:rPr>
          <w:rFonts w:ascii="Times New Roman" w:cs="Times New Roman" w:eastAsia="Times New Roman" w:hAnsi="Times New Roman"/>
          <w:sz w:val="19"/>
          <w:szCs w:val="19"/>
          <w:color w:val="auto"/>
        </w:rPr>
        <w:t>(including pursuant to any settlement entered into by the Administrative Agent, the L/C Issuer or such Lender in its discretion) to be repaid to</w:t>
      </w:r>
    </w:p>
    <w:p>
      <w:pPr>
        <w:spacing w:after="0" w:line="204" w:lineRule="auto"/>
        <w:rPr>
          <w:sz w:val="20"/>
          <w:szCs w:val="20"/>
          <w:color w:val="auto"/>
        </w:rPr>
      </w:pPr>
      <w:r>
        <w:rPr>
          <w:rFonts w:ascii="Times New Roman" w:cs="Times New Roman" w:eastAsia="Times New Roman" w:hAnsi="Times New Roman"/>
          <w:sz w:val="20"/>
          <w:szCs w:val="20"/>
          <w:color w:val="auto"/>
        </w:rPr>
        <w:t>a trustee, receiver or any other party, in connection with any proceeding under any Debtor Relief Law or otherwise, then (a) to the extent of such recovery, the obligation or part thereof originally intended to be satisfied shall be revived and continued in full force and effect as if</w:t>
      </w:r>
    </w:p>
    <w:p>
      <w:pPr>
        <w:spacing w:after="0" w:line="211" w:lineRule="auto"/>
        <w:rPr>
          <w:sz w:val="20"/>
          <w:szCs w:val="20"/>
          <w:color w:val="auto"/>
        </w:rPr>
      </w:pPr>
      <w:r>
        <w:rPr>
          <w:rFonts w:ascii="Times New Roman" w:cs="Times New Roman" w:eastAsia="Times New Roman" w:hAnsi="Times New Roman"/>
          <w:sz w:val="20"/>
          <w:szCs w:val="20"/>
          <w:color w:val="auto"/>
        </w:rPr>
        <w:t>such payment had not been made or such setoff had not occurred, and (b) each Lender and the L/C Issuer severally agrees to pay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upon demand its applicable share (without duplication) of any amount so recovered from or repaid by the Administrative Agent, plus interest thereon from the date of such demand to the date such payment is made at a rate per annum equal to the</w:t>
      </w:r>
    </w:p>
    <w:p>
      <w:pPr>
        <w:spacing w:after="0" w:line="223" w:lineRule="auto"/>
        <w:rPr>
          <w:sz w:val="20"/>
          <w:szCs w:val="20"/>
          <w:color w:val="auto"/>
        </w:rPr>
      </w:pPr>
      <w:r>
        <w:rPr>
          <w:rFonts w:ascii="Times New Roman" w:cs="Times New Roman" w:eastAsia="Times New Roman" w:hAnsi="Times New Roman"/>
          <w:sz w:val="19"/>
          <w:szCs w:val="19"/>
          <w:color w:val="auto"/>
        </w:rPr>
        <w:t>applicable Overnight Rate from time to time in effect, in the applicable currency of such recovery or payment. The obligations of the Lenders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and the L/C Issuer under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of the preceding sentence shall survive the payment in full of the Obligations and the termination of this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11.06</w:t>
      </w:r>
      <w:r>
        <w:rPr>
          <w:sz w:val="20"/>
          <w:szCs w:val="20"/>
          <w:color w:val="auto"/>
        </w:rPr>
        <w:tab/>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3" w:lineRule="auto"/>
        <w:tabs>
          <w:tab w:leader="none" w:pos="1286"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Successors and Assigns Generally</w:t>
      </w:r>
      <w:r>
        <w:rPr>
          <w:rFonts w:ascii="Times New Roman" w:cs="Times New Roman" w:eastAsia="Times New Roman" w:hAnsi="Times New Roman"/>
          <w:sz w:val="19"/>
          <w:szCs w:val="19"/>
          <w:color w:val="auto"/>
        </w:rPr>
        <w:t>. The provisions of this Agreement and the other Loan Documents shall be binding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9"/>
          <w:szCs w:val="19"/>
          <w:b w:val="1"/>
          <w:bCs w:val="1"/>
          <w:i w:val="1"/>
          <w:iCs w:val="1"/>
          <w:color w:val="auto"/>
        </w:rPr>
        <w:t>Section 11.06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(ii) by way of participation in accordance with the provisions of </w:t>
      </w:r>
      <w:r>
        <w:rPr>
          <w:rFonts w:ascii="Times New Roman" w:cs="Times New Roman" w:eastAsia="Times New Roman" w:hAnsi="Times New Roman"/>
          <w:sz w:val="19"/>
          <w:szCs w:val="19"/>
          <w:b w:val="1"/>
          <w:bCs w:val="1"/>
          <w:i w:val="1"/>
          <w:iCs w:val="1"/>
          <w:color w:val="auto"/>
        </w:rPr>
        <w:t>Section 11.06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w:t>
      </w:r>
      <w:r>
        <w:rPr>
          <w:rFonts w:ascii="Times New Roman" w:cs="Times New Roman" w:eastAsia="Times New Roman" w:hAnsi="Times New Roman"/>
          <w:sz w:val="19"/>
          <w:szCs w:val="19"/>
          <w:color w:val="auto"/>
        </w:rPr>
        <w:t xml:space="preserve">), or (iii) by way of pledge or assignment of a security interest subject to the restrictions of </w:t>
      </w:r>
      <w:r>
        <w:rPr>
          <w:rFonts w:ascii="Times New Roman" w:cs="Times New Roman" w:eastAsia="Times New Roman" w:hAnsi="Times New Roman"/>
          <w:sz w:val="19"/>
          <w:szCs w:val="19"/>
          <w:b w:val="1"/>
          <w:bCs w:val="1"/>
          <w:i w:val="1"/>
          <w:iCs w:val="1"/>
          <w:color w:val="auto"/>
        </w:rPr>
        <w:t>Section 11.06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w:t>
      </w:r>
      <w:r>
        <w:rPr>
          <w:rFonts w:ascii="Times New Roman" w:cs="Times New Roman" w:eastAsia="Times New Roman" w:hAnsi="Times New Roman"/>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b w:val="1"/>
          <w:bCs w:val="1"/>
          <w:i w:val="1"/>
          <w:iCs w:val="1"/>
          <w:color w:val="auto"/>
        </w:rPr>
        <w:t>Section 11.06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w:t>
      </w:r>
      <w:r>
        <w:rPr>
          <w:rFonts w:ascii="Times New Roman" w:cs="Times New Roman" w:eastAsia="Times New Roman" w:hAnsi="Times New Roman"/>
          <w:sz w:val="19"/>
          <w:szCs w:val="19"/>
          <w:color w:val="auto"/>
        </w:rPr>
        <w:t>) and, to the extent expressly contemplated hereby, the Related Parties of each of the Administrative Agent, the L/C Issuer and the Lenders) any legal or equitable right, remedy or claim under or by reason of this Agreement.</w:t>
      </w:r>
    </w:p>
    <w:p>
      <w:pPr>
        <w:spacing w:after="0" w:line="156" w:lineRule="exact"/>
        <w:rPr>
          <w:rFonts w:ascii="Times New Roman" w:cs="Times New Roman" w:eastAsia="Times New Roman" w:hAnsi="Times New Roman"/>
          <w:sz w:val="19"/>
          <w:szCs w:val="19"/>
          <w:color w:val="auto"/>
        </w:rPr>
      </w:pPr>
    </w:p>
    <w:p>
      <w:pPr>
        <w:jc w:val="both"/>
        <w:ind w:right="20" w:firstLine="656"/>
        <w:spacing w:after="0" w:line="223" w:lineRule="auto"/>
        <w:tabs>
          <w:tab w:leader="none" w:pos="128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Assignments by Lenders</w:t>
      </w:r>
      <w:r>
        <w:rPr>
          <w:rFonts w:ascii="Times New Roman" w:cs="Times New Roman" w:eastAsia="Times New Roman" w:hAnsi="Times New Roman"/>
          <w:sz w:val="20"/>
          <w:szCs w:val="20"/>
          <w:color w:val="auto"/>
        </w:rPr>
        <w:t>. Any Lender may at any time assign to one or more assignees all or a portion of its rights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obligations under this Agreement and the other Loan Documents (including all or a portion of its Commitment(s) and the Loans (including for purposes of this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participations in L/C Obligations and in Swingline Loans) at the time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with respect to the Revolving Facility) any such assignment shall be subject to the following conditions:</w:t>
      </w:r>
    </w:p>
    <w:p>
      <w:pPr>
        <w:spacing w:after="0" w:line="15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Minimum Amounts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87" w:val="left"/>
        </w:tabs>
        <w:numPr>
          <w:ilvl w:val="2"/>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under the Revolving Facility and/or the Loans at the time owing to it (in each case with respect to the Revolving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20"/>
          <w:szCs w:val="20"/>
          <w:b w:val="1"/>
          <w:bCs w:val="1"/>
          <w:i w:val="1"/>
          <w:iCs w:val="1"/>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xml:space="preserve"> in the aggregate or in the case of an assignment to a Lender, an Affiliate of a Lender or an Approved Fund, no minimum amount need be assigned;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280" w:firstLine="652"/>
        <w:spacing w:after="0" w:line="215" w:lineRule="auto"/>
        <w:tabs>
          <w:tab w:leader="none" w:pos="2570" w:val="left"/>
        </w:tabs>
        <w:numPr>
          <w:ilvl w:val="2"/>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b w:val="1"/>
          <w:bCs w:val="1"/>
          <w:i w:val="1"/>
          <w:iCs w:val="1"/>
          <w:color w:val="auto"/>
        </w:rPr>
        <w:t>clause (b)(i)(A)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unless each of the Administrative Agent and, so long as no Event of Default has occurred and is continuing, the Borrower otherwise consents (each such consent not to be unreasonably withheld or delayed).</w:t>
      </w:r>
    </w:p>
    <w:p>
      <w:pPr>
        <w:spacing w:after="0" w:line="147" w:lineRule="exact"/>
        <w:rPr>
          <w:rFonts w:ascii="Times New Roman" w:cs="Times New Roman" w:eastAsia="Times New Roman" w:hAnsi="Times New Roman"/>
          <w:sz w:val="20"/>
          <w:szCs w:val="20"/>
          <w:color w:val="auto"/>
        </w:rPr>
      </w:pPr>
    </w:p>
    <w:p>
      <w:pPr>
        <w:jc w:val="both"/>
        <w:ind w:left="640" w:firstLine="644"/>
        <w:spacing w:after="0" w:line="223" w:lineRule="auto"/>
        <w:tabs>
          <w:tab w:leader="none" w:pos="1935"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assigning Lender’s rights and obligations under this Agreement and the other Loan Documents with respect to the Loans and/or the Commitment assigned, except that this </w:t>
      </w:r>
      <w:r>
        <w:rPr>
          <w:rFonts w:ascii="Times New Roman" w:cs="Times New Roman" w:eastAsia="Times New Roman" w:hAnsi="Times New Roman"/>
          <w:sz w:val="20"/>
          <w:szCs w:val="20"/>
          <w:b w:val="1"/>
          <w:bCs w:val="1"/>
          <w:i w:val="1"/>
          <w:iCs w:val="1"/>
          <w:color w:val="auto"/>
        </w:rPr>
        <w:t>clause (b)(ii)</w:t>
      </w:r>
      <w:r>
        <w:rPr>
          <w:rFonts w:ascii="Times New Roman" w:cs="Times New Roman" w:eastAsia="Times New Roman" w:hAnsi="Times New Roman"/>
          <w:sz w:val="20"/>
          <w:szCs w:val="20"/>
          <w:color w:val="auto"/>
        </w:rPr>
        <w:t xml:space="preserve"> shall not apply to the Swingline Lender’s rights and obligations in respect of Swingline Loans.</w:t>
      </w:r>
    </w:p>
    <w:p>
      <w:pPr>
        <w:spacing w:after="0" w:line="156" w:lineRule="exact"/>
        <w:rPr>
          <w:rFonts w:ascii="Times New Roman" w:cs="Times New Roman" w:eastAsia="Times New Roman" w:hAnsi="Times New Roman"/>
          <w:sz w:val="20"/>
          <w:szCs w:val="20"/>
          <w:color w:val="auto"/>
        </w:rPr>
      </w:pPr>
    </w:p>
    <w:p>
      <w:pPr>
        <w:ind w:left="1940" w:hanging="656"/>
        <w:spacing w:after="0"/>
        <w:tabs>
          <w:tab w:leader="none" w:pos="1940"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Required Consents</w:t>
      </w:r>
      <w:r>
        <w:rPr>
          <w:rFonts w:ascii="Times New Roman" w:cs="Times New Roman" w:eastAsia="Times New Roman" w:hAnsi="Times New Roman"/>
          <w:sz w:val="20"/>
          <w:szCs w:val="20"/>
          <w:color w:val="auto"/>
        </w:rPr>
        <w:t>. No consent shall be required for any assignment except to the extent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clause (b)(i)</w:t>
      </w:r>
    </w:p>
    <w:p>
      <w:pPr>
        <w:ind w:left="940" w:hanging="304"/>
        <w:spacing w:after="0"/>
        <w:tabs>
          <w:tab w:leader="none" w:pos="940" w:val="left"/>
        </w:tabs>
        <w:numPr>
          <w:ilvl w:val="0"/>
          <w:numId w:val="22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xml:space="preserve"> and, in addition:</w:t>
      </w:r>
    </w:p>
    <w:p>
      <w:pPr>
        <w:spacing w:after="0" w:line="153" w:lineRule="exact"/>
        <w:rPr>
          <w:rFonts w:ascii="Times New Roman" w:cs="Times New Roman" w:eastAsia="Times New Roman" w:hAnsi="Times New Roman"/>
          <w:sz w:val="20"/>
          <w:szCs w:val="20"/>
          <w:b w:val="1"/>
          <w:bCs w:val="1"/>
          <w:i w:val="1"/>
          <w:iCs w:val="1"/>
          <w:color w:val="auto"/>
        </w:rPr>
      </w:pPr>
    </w:p>
    <w:p>
      <w:pPr>
        <w:jc w:val="both"/>
        <w:ind w:left="1280" w:firstLine="652"/>
        <w:spacing w:after="0" w:line="216" w:lineRule="auto"/>
        <w:tabs>
          <w:tab w:leader="none" w:pos="2567" w:val="left"/>
        </w:tabs>
        <w:numPr>
          <w:ilvl w:val="2"/>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Business Days after having received notice thereof;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Borrower’s consent shall not be required during the primary syndication of the Facilities;</w:t>
      </w:r>
    </w:p>
    <w:p>
      <w:pPr>
        <w:spacing w:after="0" w:line="162" w:lineRule="exact"/>
        <w:rPr>
          <w:rFonts w:ascii="Times New Roman" w:cs="Times New Roman" w:eastAsia="Times New Roman" w:hAnsi="Times New Roman"/>
          <w:sz w:val="20"/>
          <w:szCs w:val="20"/>
          <w:color w:val="auto"/>
        </w:rPr>
      </w:pPr>
    </w:p>
    <w:p>
      <w:pPr>
        <w:jc w:val="both"/>
        <w:ind w:left="1280" w:firstLine="652"/>
        <w:spacing w:after="0" w:line="222" w:lineRule="auto"/>
        <w:tabs>
          <w:tab w:leader="none" w:pos="2570" w:val="left"/>
        </w:tabs>
        <w:numPr>
          <w:ilvl w:val="2"/>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Revolving Facility, an Affiliate of such Lender or an Approved Fund with respect to such Lender; and</w:t>
      </w:r>
    </w:p>
    <w:p>
      <w:pPr>
        <w:spacing w:after="0" w:line="161" w:lineRule="exact"/>
        <w:rPr>
          <w:rFonts w:ascii="Times New Roman" w:cs="Times New Roman" w:eastAsia="Times New Roman" w:hAnsi="Times New Roman"/>
          <w:sz w:val="20"/>
          <w:szCs w:val="20"/>
          <w:color w:val="auto"/>
        </w:rPr>
      </w:pPr>
    </w:p>
    <w:p>
      <w:pPr>
        <w:ind w:left="1280" w:firstLine="652"/>
        <w:spacing w:after="0" w:line="233" w:lineRule="auto"/>
        <w:tabs>
          <w:tab w:leader="none" w:pos="2570" w:val="left"/>
        </w:tabs>
        <w:numPr>
          <w:ilvl w:val="2"/>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Swingline Lender shall be required for any assignment in respect of the Revolving Facility.</w:t>
      </w:r>
    </w:p>
    <w:p>
      <w:pPr>
        <w:spacing w:after="0" w:line="156" w:lineRule="exact"/>
        <w:rPr>
          <w:rFonts w:ascii="Times New Roman" w:cs="Times New Roman" w:eastAsia="Times New Roman" w:hAnsi="Times New Roman"/>
          <w:sz w:val="20"/>
          <w:szCs w:val="20"/>
          <w:color w:val="auto"/>
        </w:rPr>
      </w:pPr>
    </w:p>
    <w:p>
      <w:pPr>
        <w:jc w:val="both"/>
        <w:ind w:left="640" w:firstLine="644"/>
        <w:spacing w:after="0" w:line="223" w:lineRule="auto"/>
        <w:tabs>
          <w:tab w:leader="none" w:pos="1925"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The parties to each assignment shall execute and deliver to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 Assignment and Assumption, together with a processing and recordation fee in the amount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57" w:lineRule="exact"/>
        <w:rPr>
          <w:rFonts w:ascii="Times New Roman" w:cs="Times New Roman" w:eastAsia="Times New Roman" w:hAnsi="Times New Roman"/>
          <w:sz w:val="20"/>
          <w:szCs w:val="20"/>
          <w:color w:val="auto"/>
        </w:rPr>
      </w:pPr>
    </w:p>
    <w:p>
      <w:pPr>
        <w:jc w:val="both"/>
        <w:ind w:left="640" w:firstLine="644"/>
        <w:spacing w:after="0" w:line="235" w:lineRule="auto"/>
        <w:tabs>
          <w:tab w:leader="none" w:pos="1924" w:val="left"/>
        </w:tabs>
        <w:numPr>
          <w:ilvl w:val="1"/>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Assignment to Certain Persons</w:t>
      </w:r>
      <w:r>
        <w:rPr>
          <w:rFonts w:ascii="Times New Roman" w:cs="Times New Roman" w:eastAsia="Times New Roman" w:hAnsi="Times New Roman"/>
          <w:sz w:val="19"/>
          <w:szCs w:val="19"/>
          <w:color w:val="auto"/>
        </w:rPr>
        <w:t>. No such assignment shall be made (A) to the Borrower or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9"/>
          <w:szCs w:val="19"/>
          <w:b w:val="1"/>
          <w:bCs w:val="1"/>
          <w:i w:val="1"/>
          <w:iCs w:val="1"/>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or (C) to a natural Person (or a holding company, investment vehicle or trust for, or owned and operated by or for the primary benefit of one or more natural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60" w:firstLine="644"/>
        <w:spacing w:after="0" w:line="211" w:lineRule="auto"/>
        <w:tabs>
          <w:tab w:leader="none" w:pos="1945"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0"/>
          <w:szCs w:val="20"/>
          <w:b w:val="1"/>
          <w:bCs w:val="1"/>
          <w:i w:val="1"/>
          <w:iCs w:val="1"/>
          <w:color w:val="auto"/>
        </w:rPr>
        <w:t>clause (b)(vi)</w:t>
      </w:r>
      <w:r>
        <w:rPr>
          <w:rFonts w:ascii="Times New Roman" w:cs="Times New Roman" w:eastAsia="Times New Roman" w:hAnsi="Times New Roman"/>
          <w:sz w:val="20"/>
          <w:szCs w:val="20"/>
          <w:color w:val="auto"/>
        </w:rPr>
        <w:t>, then the assignee of such interest shall be deemed to be a Defaulting Lender for all purposes of this Agreement until such compliance occurs.</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45"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b w:val="1"/>
          <w:bCs w:val="1"/>
          <w:i w:val="1"/>
          <w:iCs w:val="1"/>
          <w:color w:val="auto"/>
        </w:rPr>
        <w:t>Section 11.06(c)</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b w:val="1"/>
          <w:bCs w:val="1"/>
          <w:i w:val="1"/>
          <w:iCs w:val="1"/>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(and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80" w:hanging="638"/>
        <w:spacing w:after="0"/>
        <w:tabs>
          <w:tab w:leader="none" w:pos="128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40" w:firstLine="644"/>
        <w:spacing w:after="0" w:line="212" w:lineRule="auto"/>
        <w:tabs>
          <w:tab w:leader="none" w:pos="1934"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without regard to the existence of any participations.</w:t>
      </w:r>
    </w:p>
    <w:p>
      <w:pPr>
        <w:spacing w:after="0" w:line="155" w:lineRule="exact"/>
        <w:rPr>
          <w:rFonts w:ascii="Times New Roman" w:cs="Times New Roman" w:eastAsia="Times New Roman" w:hAnsi="Times New Roman"/>
          <w:sz w:val="20"/>
          <w:szCs w:val="20"/>
          <w:color w:val="auto"/>
        </w:rPr>
      </w:pPr>
    </w:p>
    <w:p>
      <w:pPr>
        <w:jc w:val="both"/>
        <w:ind w:left="640" w:firstLine="644"/>
        <w:spacing w:after="0" w:line="209" w:lineRule="auto"/>
        <w:tabs>
          <w:tab w:leader="none" w:pos="1935"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w:t>
      </w:r>
      <w:r>
        <w:rPr>
          <w:rFonts w:ascii="Times New Roman" w:cs="Times New Roman" w:eastAsia="Times New Roman" w:hAnsi="Times New Roman"/>
          <w:sz w:val="20"/>
          <w:szCs w:val="20"/>
          <w:b w:val="1"/>
          <w:bCs w:val="1"/>
          <w:i w:val="1"/>
          <w:iCs w:val="1"/>
          <w:color w:val="auto"/>
        </w:rPr>
        <w:t>Sections 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05</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b w:val="1"/>
          <w:bCs w:val="1"/>
          <w:i w:val="1"/>
          <w:iCs w:val="1"/>
          <w:color w:val="auto"/>
        </w:rPr>
        <w:t>Section 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b w:val="1"/>
          <w:bCs w:val="1"/>
          <w:i w:val="1"/>
          <w:iCs w:val="1"/>
          <w:color w:val="auto"/>
        </w:rPr>
        <w:t>Section 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 shall be subject to the provisions of </w:t>
      </w:r>
      <w:r>
        <w:rPr>
          <w:rFonts w:ascii="Times New Roman" w:cs="Times New Roman" w:eastAsia="Times New Roman" w:hAnsi="Times New Roman"/>
          <w:sz w:val="20"/>
          <w:szCs w:val="20"/>
          <w:b w:val="1"/>
          <w:bCs w:val="1"/>
          <w:i w:val="1"/>
          <w:iCs w:val="1"/>
          <w:color w:val="auto"/>
        </w:rPr>
        <w:t>Sections 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06</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b w:val="1"/>
          <w:bCs w:val="1"/>
          <w:i w:val="1"/>
          <w:iCs w:val="1"/>
          <w:color w:val="auto"/>
        </w:rPr>
        <w:t>Sections 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b w:val="1"/>
          <w:bCs w:val="1"/>
          <w:i w:val="1"/>
          <w:iCs w:val="1"/>
          <w:color w:val="auto"/>
        </w:rPr>
        <w:t>Section 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b w:val="1"/>
          <w:bCs w:val="1"/>
          <w:i w:val="1"/>
          <w:iCs w:val="1"/>
          <w:color w:val="auto"/>
        </w:rPr>
        <w:t>Section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w:t>
      </w:r>
      <w:r>
        <w:rPr>
          <w:rFonts w:ascii="Times New Roman" w:cs="Times New Roman" w:eastAsia="Times New Roman" w:hAnsi="Times New Roman"/>
          <w:sz w:val="20"/>
          <w:szCs w:val="20"/>
          <w:i w:val="1"/>
          <w:iCs w:val="1"/>
          <w:color w:val="auto"/>
        </w:rPr>
        <w:t>Section 5f.103-1(c)</w:t>
      </w:r>
      <w:r>
        <w:rPr>
          <w:rFonts w:ascii="Times New Roman" w:cs="Times New Roman" w:eastAsia="Times New Roman" w:hAnsi="Times New Roman"/>
          <w:sz w:val="20"/>
          <w:szCs w:val="20"/>
          <w:color w:val="auto"/>
        </w:rPr>
        <w:t xml:space="preserve">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20"/>
          </w:cols>
          <w:pgMar w:left="340" w:top="96"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its capacity as Administrative Agent) shall have no responsibility for maintaining a Participant Register.</w:t>
      </w:r>
    </w:p>
    <w:p>
      <w:pPr>
        <w:spacing w:after="0" w:line="185" w:lineRule="exact"/>
        <w:rPr>
          <w:sz w:val="20"/>
          <w:szCs w:val="20"/>
          <w:color w:val="auto"/>
        </w:rPr>
      </w:pPr>
    </w:p>
    <w:p>
      <w:pPr>
        <w:jc w:val="both"/>
        <w:ind w:firstLine="656"/>
        <w:spacing w:after="0" w:line="223" w:lineRule="auto"/>
        <w:tabs>
          <w:tab w:leader="none" w:pos="1286"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Pledges</w:t>
      </w:r>
      <w:r>
        <w:rPr>
          <w:rFonts w:ascii="Times New Roman" w:cs="Times New Roman" w:eastAsia="Times New Roman" w:hAnsi="Times New Roman"/>
          <w:sz w:val="20"/>
          <w:szCs w:val="20"/>
          <w:color w:val="auto"/>
        </w:rPr>
        <w:t>. Any Lender may at any time pledge or assign a security interest in all or any portion of its rights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(including under its Note or Notes,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44" w:lineRule="exact"/>
        <w:rPr>
          <w:rFonts w:ascii="Times New Roman" w:cs="Times New Roman" w:eastAsia="Times New Roman" w:hAnsi="Times New Roman"/>
          <w:sz w:val="20"/>
          <w:szCs w:val="20"/>
          <w:color w:val="auto"/>
        </w:rPr>
      </w:pPr>
    </w:p>
    <w:p>
      <w:pPr>
        <w:jc w:val="both"/>
        <w:ind w:firstLine="656"/>
        <w:spacing w:after="0" w:line="221" w:lineRule="auto"/>
        <w:tabs>
          <w:tab w:leader="none" w:pos="1291"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Resignation as 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 Issuer or Swingline Lender after Assignment</w:t>
      </w:r>
      <w:r>
        <w:rPr>
          <w:rFonts w:ascii="Times New Roman" w:cs="Times New Roman" w:eastAsia="Times New Roman" w:hAnsi="Times New Roman"/>
          <w:sz w:val="19"/>
          <w:szCs w:val="19"/>
          <w:color w:val="auto"/>
        </w:rPr>
        <w:t>. Notwithstanding anything to the contrary contained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herein, if at any time Bank of America assigns all of its Revolving Commitment and Revolving Loans pursuant to </w:t>
      </w:r>
      <w:r>
        <w:rPr>
          <w:rFonts w:ascii="Times New Roman" w:cs="Times New Roman" w:eastAsia="Times New Roman" w:hAnsi="Times New Roman"/>
          <w:sz w:val="19"/>
          <w:szCs w:val="19"/>
          <w:b w:val="1"/>
          <w:bCs w:val="1"/>
          <w:i w:val="1"/>
          <w:iCs w:val="1"/>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above, Bank of America may, (i) upon 30 days’ notice to the Administrative Agent, the Borrower and the Lenders, resign as L/C Issuer and/or (ii) upon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03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w:t>
      </w:r>
      <w:r>
        <w:rPr>
          <w:rFonts w:ascii="Times New Roman" w:cs="Times New Roman" w:eastAsia="Times New Roman" w:hAnsi="Times New Roman"/>
          <w:sz w:val="19"/>
          <w:szCs w:val="19"/>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04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w:t>
      </w:r>
      <w:r>
        <w:rPr>
          <w:rFonts w:ascii="Times New Roman" w:cs="Times New Roman" w:eastAsia="Times New Roman" w:hAnsi="Times New Roman"/>
          <w:sz w:val="19"/>
          <w:szCs w:val="19"/>
          <w:color w:val="auto"/>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11.07</w:t>
      </w:r>
      <w:r>
        <w:rPr>
          <w:sz w:val="20"/>
          <w:szCs w:val="20"/>
          <w:color w:val="auto"/>
        </w:rPr>
        <w:tab/>
      </w:r>
      <w:r>
        <w:rPr>
          <w:rFonts w:ascii="Times New Roman" w:cs="Times New Roman" w:eastAsia="Times New Roman" w:hAnsi="Times New Roman"/>
          <w:sz w:val="19"/>
          <w:szCs w:val="19"/>
          <w:b w:val="1"/>
          <w:bCs w:val="1"/>
          <w:color w:val="auto"/>
        </w:rPr>
        <w:t>Treatment of Certain Information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Confidentiality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1" w:lineRule="auto"/>
        <w:tabs>
          <w:tab w:leader="none" w:pos="1286"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Treatment of Certain Information</w:t>
      </w:r>
      <w:r>
        <w:rPr>
          <w:rFonts w:ascii="Times New Roman" w:cs="Times New Roman" w:eastAsia="Times New Roman" w:hAnsi="Times New Roman"/>
          <w:sz w:val="20"/>
          <w:szCs w:val="20"/>
          <w:color w:val="auto"/>
        </w:rPr>
        <w:t>. Each of the Administrative Agent, the Lenders and the L/C Issuer agrees to maintain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w:t>
      </w:r>
    </w:p>
    <w:p>
      <w:pPr>
        <w:spacing w:after="0" w:line="1" w:lineRule="exact"/>
        <w:rPr>
          <w:rFonts w:ascii="Times New Roman" w:cs="Times New Roman" w:eastAsia="Times New Roman" w:hAnsi="Times New Roman"/>
          <w:sz w:val="20"/>
          <w:szCs w:val="20"/>
          <w:color w:val="auto"/>
        </w:rPr>
      </w:pPr>
    </w:p>
    <w:p>
      <w:pPr>
        <w:jc w:val="both"/>
        <w:ind w:firstLine="8"/>
        <w:spacing w:after="0" w:line="204" w:lineRule="auto"/>
        <w:tabs>
          <w:tab w:leader="none" w:pos="341"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 agreement containing provisions substantially the same as those of this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07</w:t>
      </w:r>
      <w:r>
        <w:rPr>
          <w:rFonts w:ascii="Times New Roman" w:cs="Times New Roman" w:eastAsia="Times New Roman" w:hAnsi="Times New Roman"/>
          <w:sz w:val="20"/>
          <w:szCs w:val="20"/>
          <w:color w:val="auto"/>
        </w:rPr>
        <w:t xml:space="preserve">, to (A)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20"/>
          <w:szCs w:val="20"/>
          <w:b w:val="1"/>
          <w:bCs w:val="1"/>
          <w:i w:val="1"/>
          <w:iCs w:val="1"/>
          <w:color w:val="auto"/>
        </w:rPr>
        <w:t>Section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w:t>
      </w:r>
      <w:r>
        <w:rPr>
          <w:rFonts w:ascii="Times New Roman" w:cs="Times New Roman" w:eastAsia="Times New Roman" w:hAnsi="Times New Roman"/>
          <w:sz w:val="20"/>
          <w:szCs w:val="20"/>
          <w:color w:val="auto"/>
        </w:rPr>
        <w:t>) or (B) any actual or prospective party (or its Related Parties) to any swap, derivative or other transaction under which payments are to be made by reference to the Borrower and its obligations, this Agreement or payments hereunder,</w:t>
      </w:r>
    </w:p>
    <w:p>
      <w:pPr>
        <w:spacing w:after="0" w:line="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confidential basis to (A) any rating agency in connection with rating the Borrower or its Subsidiaries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credit facilities provided hereunder or (B) the provider of any Platform or other electronic delivery service used by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Agent, the L/C Issuer and/or the Swingline Lender to deliver Borrower Materials or notices to the Lenders or (viii) the CUSIP Service Bureau or any similar agency in connection with the application, issuance, publishing and monitoring of CUSIP numbers or other market</w:t>
      </w:r>
    </w:p>
    <w:p>
      <w:pPr>
        <w:spacing w:after="0" w:line="211" w:lineRule="auto"/>
        <w:rPr>
          <w:sz w:val="20"/>
          <w:szCs w:val="20"/>
          <w:color w:val="auto"/>
        </w:rPr>
      </w:pPr>
      <w:r>
        <w:rPr>
          <w:rFonts w:ascii="Times New Roman" w:cs="Times New Roman" w:eastAsia="Times New Roman" w:hAnsi="Times New Roman"/>
          <w:sz w:val="20"/>
          <w:szCs w:val="20"/>
          <w:color w:val="auto"/>
        </w:rPr>
        <w:t>identifiers with respect to the credit facilities provided hereunder, or (ix) with the consent of the Borrower or to the extent such Information</w:t>
      </w:r>
    </w:p>
    <w:p>
      <w:pPr>
        <w:spacing w:after="0" w:line="1" w:lineRule="exact"/>
        <w:rPr>
          <w:sz w:val="20"/>
          <w:szCs w:val="20"/>
          <w:color w:val="auto"/>
        </w:rPr>
      </w:pPr>
    </w:p>
    <w:p>
      <w:pPr>
        <w:jc w:val="both"/>
        <w:ind w:firstLine="8"/>
        <w:spacing w:after="0" w:line="209" w:lineRule="auto"/>
        <w:tabs>
          <w:tab w:leader="none" w:pos="29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becomes publicly available other than as a result of a breach of this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07</w:t>
      </w:r>
      <w:r>
        <w:rPr>
          <w:rFonts w:ascii="Times New Roman" w:cs="Times New Roman" w:eastAsia="Times New Roman" w:hAnsi="Times New Roman"/>
          <w:sz w:val="20"/>
          <w:szCs w:val="20"/>
          <w:color w:val="auto"/>
        </w:rPr>
        <w:t xml:space="preserve">, (xi) becomes available to the Administrative Agent, any Lender, the L/C Issuer or any of their respective Affiliates on a nonconfidential basis from a source other than the Borrower or (xii) is independently discovered or developed by a party hereto without utilizing any Information received from the Borrower or violating the terms of this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07</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07</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the case of information received from the Borrower or any Subsidiary after the date hereof, such information is clearly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identified at the time of delivery as confidential. Any Person required to maintain the confidentiality of Information as provided in this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07 </w:t>
      </w:r>
      <w:r>
        <w:rPr>
          <w:rFonts w:ascii="Times New Roman" w:cs="Times New Roman" w:eastAsia="Times New Roman" w:hAnsi="Times New Roman"/>
          <w:sz w:val="20"/>
          <w:szCs w:val="20"/>
          <w:color w:val="auto"/>
        </w:rPr>
        <w:t>shall be considered to have complied with its obligation to do so if such Person has exercised the same degree of care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51"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6"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Information</w:t>
      </w:r>
      <w:r>
        <w:rPr>
          <w:rFonts w:ascii="Times New Roman" w:cs="Times New Roman" w:eastAsia="Times New Roman" w:hAnsi="Times New Roman"/>
          <w:sz w:val="20"/>
          <w:szCs w:val="20"/>
          <w:color w:val="auto"/>
        </w:rPr>
        <w:t>. Each of the Administrative Agent, the Lenders and the L/C Issuer acknowledges that (i)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5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Press Releases</w:t>
      </w:r>
      <w:r>
        <w:rPr>
          <w:rFonts w:ascii="Times New Roman" w:cs="Times New Roman" w:eastAsia="Times New Roman" w:hAnsi="Times New Roman"/>
          <w:sz w:val="20"/>
          <w:szCs w:val="20"/>
          <w:color w:val="auto"/>
        </w:rPr>
        <w:t>. The Loan Parties and their Affiliates agree that they will not in the future issue any press releases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spacing w:after="0" w:line="15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6"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Customary Advertising Material</w:t>
      </w:r>
      <w:r>
        <w:rPr>
          <w:rFonts w:ascii="Times New Roman" w:cs="Times New Roman" w:eastAsia="Times New Roman" w:hAnsi="Times New Roman"/>
          <w:sz w:val="20"/>
          <w:szCs w:val="20"/>
          <w:color w:val="auto"/>
        </w:rPr>
        <w:t>. The Loan Parties consent to the publication by the Administrative Agent or any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customary advertising material relating to the transactions contemplated hereby using the name, product photographs, logo or trademark of the Loan Parties.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11.08</w:t>
      </w:r>
      <w:r>
        <w:rPr>
          <w:sz w:val="20"/>
          <w:szCs w:val="20"/>
          <w:color w:val="auto"/>
        </w:rPr>
        <w:tab/>
      </w:r>
      <w:r>
        <w:rPr>
          <w:rFonts w:ascii="Times New Roman" w:cs="Times New Roman" w:eastAsia="Times New Roman" w:hAnsi="Times New Roman"/>
          <w:sz w:val="20"/>
          <w:szCs w:val="20"/>
          <w:b w:val="1"/>
          <w:bCs w:val="1"/>
          <w:color w:val="auto"/>
        </w:rPr>
        <w:t>Right of Setoff</w:t>
      </w:r>
      <w:r>
        <w:rPr>
          <w:rFonts w:ascii="Times New Roman" w:cs="Times New Roman" w:eastAsia="Times New Roman" w:hAnsi="Times New Roman"/>
          <w:sz w:val="20"/>
          <w:szCs w:val="20"/>
          <w:color w:val="auto"/>
        </w:rPr>
        <w:t>. If an Event of Default shall have occurred and be continuing, each Lender, the L/C Issuer and each of their</w:t>
      </w:r>
    </w:p>
    <w:p>
      <w:pPr>
        <w:ind w:right="20"/>
        <w:spacing w:after="0" w:line="215" w:lineRule="auto"/>
        <w:rPr>
          <w:sz w:val="20"/>
          <w:szCs w:val="20"/>
          <w:color w:val="auto"/>
        </w:rPr>
      </w:pPr>
      <w:r>
        <w:rPr>
          <w:rFonts w:ascii="Times New Roman" w:cs="Times New Roman" w:eastAsia="Times New Roman" w:hAnsi="Times New Roman"/>
          <w:sz w:val="19"/>
          <w:szCs w:val="19"/>
          <w:color w:val="auto"/>
        </w:rPr>
        <w:t>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w:t>
      </w:r>
    </w:p>
    <w:p>
      <w:pPr>
        <w:spacing w:after="0" w:line="211" w:lineRule="auto"/>
        <w:rPr>
          <w:sz w:val="20"/>
          <w:szCs w:val="20"/>
          <w:color w:val="auto"/>
        </w:rPr>
      </w:pPr>
      <w:r>
        <w:rPr>
          <w:rFonts w:ascii="Times New Roman" w:cs="Times New Roman" w:eastAsia="Times New Roman" w:hAnsi="Times New Roman"/>
          <w:sz w:val="20"/>
          <w:szCs w:val="20"/>
          <w:color w:val="auto"/>
        </w:rPr>
        <w:t>final, in whatever currency) at any time held and other obligations (in whatever currency) at any time owing by such Lender, the L/C Issuer</w:t>
      </w:r>
    </w:p>
    <w:p>
      <w:pPr>
        <w:spacing w:after="0" w:line="204" w:lineRule="auto"/>
        <w:rPr>
          <w:sz w:val="20"/>
          <w:szCs w:val="20"/>
          <w:color w:val="auto"/>
        </w:rPr>
      </w:pPr>
      <w:r>
        <w:rPr>
          <w:rFonts w:ascii="Times New Roman" w:cs="Times New Roman" w:eastAsia="Times New Roman" w:hAnsi="Times New Roman"/>
          <w:sz w:val="20"/>
          <w:szCs w:val="20"/>
          <w:color w:val="auto"/>
        </w:rPr>
        <w:t>or any such Affiliate to or for the credit or the account of the Borrower or any other Loan Party against any and all of the obligations of the Borrower or such Loan Party now or hereafter existing under this Agreement or any other Loan Document to such Lender, the L/C Issuer or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such Affiliates, irrespective of whether or not such Lender, the L/C Issuer or Affiliate shall have made any demand under this Agreement or any other Loan Document and although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of the Borrower or such Loan Party may be contingent or unmatured, secured or unsecured, or are owed to a branch, office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Affiliate of such Lender or the L/C Issuer different from the branch, office or Affiliate holding such deposit or obligated on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(a) all amounts so set off shall be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paid over immediately to the Administrative Agent for further application in accordance with the provisions of </w:t>
      </w:r>
      <w:r>
        <w:rPr>
          <w:rFonts w:ascii="Times New Roman" w:cs="Times New Roman" w:eastAsia="Times New Roman" w:hAnsi="Times New Roman"/>
          <w:sz w:val="20"/>
          <w:szCs w:val="20"/>
          <w:b w:val="1"/>
          <w:bCs w:val="1"/>
          <w:i w:val="1"/>
          <w:iCs w:val="1"/>
          <w:color w:val="auto"/>
        </w:rPr>
        <w:t>Section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15</w:t>
      </w:r>
      <w:r>
        <w:rPr>
          <w:rFonts w:ascii="Times New Roman" w:cs="Times New Roman" w:eastAsia="Times New Roman" w:hAnsi="Times New Roman"/>
          <w:sz w:val="20"/>
          <w:szCs w:val="20"/>
          <w:color w:val="auto"/>
        </w:rPr>
        <w:t xml:space="preserve"> and, pending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payment, shall be segregated by such Defaulting Lender from its other funds and deemed held in trust for the benefit of the Administrative Agent, the L/C Issuer and the Lenders, and (b) the Defaulting Lender shall provide promptly to the Administrative Agent a</w:t>
      </w:r>
    </w:p>
    <w:p>
      <w:pPr>
        <w:spacing w:after="0" w:line="211" w:lineRule="auto"/>
        <w:rPr>
          <w:sz w:val="20"/>
          <w:szCs w:val="20"/>
          <w:color w:val="auto"/>
        </w:rPr>
      </w:pPr>
      <w:r>
        <w:rPr>
          <w:rFonts w:ascii="Times New Roman" w:cs="Times New Roman" w:eastAsia="Times New Roman" w:hAnsi="Times New Roman"/>
          <w:sz w:val="20"/>
          <w:szCs w:val="20"/>
          <w:color w:val="auto"/>
        </w:rPr>
        <w:t>statement describing in reasonable detail the Secured Obligations owing to such Defaulting Lender as to which it exercised such right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setoff. The rights of each Lender, the L/C Issuer and their respective Affiliates under this </w:t>
      </w:r>
      <w:r>
        <w:rPr>
          <w:rFonts w:ascii="Times New Roman" w:cs="Times New Roman" w:eastAsia="Times New Roman" w:hAnsi="Times New Roman"/>
          <w:sz w:val="20"/>
          <w:szCs w:val="20"/>
          <w:b w:val="1"/>
          <w:bCs w:val="1"/>
          <w:i w:val="1"/>
          <w:iCs w:val="1"/>
          <w:color w:val="auto"/>
        </w:rPr>
        <w:t>Section 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08</w:t>
      </w:r>
      <w:r>
        <w:rPr>
          <w:rFonts w:ascii="Times New Roman" w:cs="Times New Roman" w:eastAsia="Times New Roman" w:hAnsi="Times New Roman"/>
          <w:sz w:val="20"/>
          <w:szCs w:val="20"/>
          <w:color w:val="auto"/>
        </w:rPr>
        <w:t xml:space="preserve"> are in addition to other rights and remedies (including other rights of setoff) that such Lender, the L/C Issuer or their respective Affiliates may have under Applicable Law.</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11.09 </w:t>
      </w:r>
      <w:r>
        <w:rPr>
          <w:rFonts w:ascii="Times New Roman" w:cs="Times New Roman" w:eastAsia="Times New Roman" w:hAnsi="Times New Roman"/>
          <w:sz w:val="20"/>
          <w:szCs w:val="20"/>
          <w:b w:val="1"/>
          <w:bCs w:val="1"/>
          <w:color w:val="auto"/>
        </w:rPr>
        <w:t>Interest Rate Limitation</w:t>
      </w:r>
      <w:r>
        <w:rPr>
          <w:rFonts w:ascii="Times New Roman" w:cs="Times New Roman" w:eastAsia="Times New Roman" w:hAnsi="Times New Roman"/>
          <w:sz w:val="20"/>
          <w:szCs w:val="20"/>
          <w:color w:val="auto"/>
        </w:rPr>
        <w:t>. Notwithstanding anything to the contrary contained in any Loan Document, the interest paid or agreed to be paid under the Loan Documents shall not exceed the maximum rate of non-usurious interest permitted by Applicable Law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Maximum Rate</w:t>
      </w:r>
      <w:r>
        <w:rPr>
          <w:rFonts w:ascii="Times New Roman" w:cs="Times New Roman" w:eastAsia="Times New Roman" w:hAnsi="Times New Roman"/>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interest contracted for, charged, or received by the Administrative Agent or a Lender exceeds the Maximum Rate, such Person may, to the extent permitted by Applicable Law, (a) characterize any payment that is not principal as an expense, fee, or premium rather than interest,</w:t>
      </w:r>
    </w:p>
    <w:p>
      <w:pPr>
        <w:ind w:right="20" w:firstLine="8"/>
        <w:spacing w:after="0" w:line="228" w:lineRule="auto"/>
        <w:tabs>
          <w:tab w:leader="none" w:pos="291"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 voluntary prepayments and the effects thereof, and (c) amortize, prorate, allocate, and spread in equal or unequal parts the total amount of interest throughout the contemplated term of the Obligations hereunder.</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11.10 </w:t>
      </w:r>
      <w:r>
        <w:rPr>
          <w:rFonts w:ascii="Times New Roman" w:cs="Times New Roman" w:eastAsia="Times New Roman" w:hAnsi="Times New Roman"/>
          <w:sz w:val="20"/>
          <w:szCs w:val="20"/>
          <w:b w:val="1"/>
          <w:bCs w:val="1"/>
          <w:color w:val="auto"/>
        </w:rPr>
        <w:t>Integration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Effectiveness</w:t>
      </w:r>
      <w:r>
        <w:rPr>
          <w:rFonts w:ascii="Times New Roman" w:cs="Times New Roman" w:eastAsia="Times New Roman" w:hAnsi="Times New Roman"/>
          <w:sz w:val="20"/>
          <w:szCs w:val="20"/>
          <w:color w:val="auto"/>
        </w:rPr>
        <w:t>. This Agreement, the other Loan Documents, and any separate letter agreements with respect to fees payable to the Administrative Agent or the L/C Issuer, constitute the entire contract among the parties relating to the subject matter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b w:val="1"/>
          <w:bCs w:val="1"/>
          <w:i w:val="1"/>
          <w:iCs w:val="1"/>
          <w:color w:val="auto"/>
        </w:rPr>
        <w:t>Section 4.01</w:t>
      </w:r>
      <w:r>
        <w:rPr>
          <w:rFonts w:ascii="Times New Roman" w:cs="Times New Roman" w:eastAsia="Times New Roman" w:hAnsi="Times New Roman"/>
          <w:sz w:val="19"/>
          <w:szCs w:val="19"/>
          <w:color w:val="auto"/>
        </w:rPr>
        <w:t>, this Agreement shall become effective when it shall have been executed by the Administrative Agent and when the</w:t>
      </w:r>
    </w:p>
    <w:p>
      <w:pPr>
        <w:spacing w:after="0" w:line="228" w:lineRule="auto"/>
        <w:rPr>
          <w:sz w:val="20"/>
          <w:szCs w:val="20"/>
          <w:color w:val="auto"/>
        </w:rPr>
      </w:pPr>
      <w:r>
        <w:rPr>
          <w:rFonts w:ascii="Times New Roman" w:cs="Times New Roman" w:eastAsia="Times New Roman" w:hAnsi="Times New Roman"/>
          <w:sz w:val="20"/>
          <w:szCs w:val="20"/>
          <w:color w:val="auto"/>
        </w:rPr>
        <w:t>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b w:val="1"/>
          <w:bCs w:val="1"/>
          <w:color w:val="auto"/>
        </w:rPr>
        <w:t>Survival of Representations and Warranties</w:t>
      </w:r>
      <w:r>
        <w:rPr>
          <w:rFonts w:ascii="Times New Roman" w:cs="Times New Roman" w:eastAsia="Times New Roman" w:hAnsi="Times New Roman"/>
          <w:sz w:val="20"/>
          <w:szCs w:val="20"/>
          <w:color w:val="auto"/>
        </w:rPr>
        <w:t>. All representations and warranties made hereunder and in any other Loan Document or other document delivered pursuant hereto or thereto or in connection herewith or therewith shall survive the execution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delivery hereof and thereof. Such representations and warranties have been or will be relied upon by the Administrative Agent and each Lender, regardless of any investigation made by the Administrative Agent or any Lender or on their behalf and notwithstanding that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or any Lender may have had notice or knowledge of any Default at the time of any Credit Extension, and shall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continue in full force and effect as long as any Loan or any other Obligation hereunder shall remain unpaid or unsatisfied or any Letter of Credit shall remain outstanding.</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any provision of this Agreement or the other Loan Documents is held to be illegal, invalid or unenforceable,</w:t>
      </w:r>
    </w:p>
    <w:p>
      <w:pPr>
        <w:spacing w:after="0" w:line="4" w:lineRule="exact"/>
        <w:rPr>
          <w:sz w:val="20"/>
          <w:szCs w:val="20"/>
          <w:color w:val="auto"/>
        </w:rPr>
      </w:pPr>
    </w:p>
    <w:p>
      <w:pPr>
        <w:ind w:firstLine="8"/>
        <w:spacing w:after="0" w:line="221" w:lineRule="auto"/>
        <w:tabs>
          <w:tab w:leader="none" w:pos="27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and enforceability of the remaining provisions of this Agreement and the other Loan Documents shall not be affected or impaired thereby and (b) the parties shall endeavor in good faith negotiations to replace the illegal,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provisions with valid provisions the economic effect of which comes as close as possible to that of the illegal, invalid or unenforceable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b w:val="1"/>
          <w:bCs w:val="1"/>
          <w:i w:val="1"/>
          <w:iCs w:val="1"/>
          <w:color w:val="auto"/>
        </w:rPr>
        <w:t>Section 11.12</w:t>
      </w:r>
      <w:r>
        <w:rPr>
          <w:rFonts w:ascii="Times New Roman" w:cs="Times New Roman" w:eastAsia="Times New Roman" w:hAnsi="Times New Roman"/>
          <w:sz w:val="20"/>
          <w:szCs w:val="20"/>
          <w:color w:val="auto"/>
        </w:rPr>
        <w:t>, if and to the extent that the enforceability of any provisions in</w:t>
      </w:r>
    </w:p>
    <w:p>
      <w:pPr>
        <w:spacing w:after="0" w:line="211" w:lineRule="auto"/>
        <w:rPr>
          <w:sz w:val="20"/>
          <w:szCs w:val="20"/>
          <w:color w:val="auto"/>
        </w:rPr>
      </w:pPr>
      <w:r>
        <w:rPr>
          <w:rFonts w:ascii="Times New Roman" w:cs="Times New Roman" w:eastAsia="Times New Roman" w:hAnsi="Times New Roman"/>
          <w:sz w:val="20"/>
          <w:szCs w:val="20"/>
          <w:color w:val="auto"/>
        </w:rPr>
        <w:t>this Agreement relating to Defaulting Lenders shall be limited by Debtor Relief Laws, as determined in good faith by the Administrative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Agent, the L/C Issuer or the Swingline Lender, as applicable, then such provisions shall be deemed to be in effect only to the extent not so limited.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19"/>
          <w:szCs w:val="19"/>
          <w:b w:val="1"/>
          <w:bCs w:val="1"/>
          <w:color w:val="auto"/>
        </w:rPr>
        <w:t>Replacement of Lenders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6" w:lineRule="auto"/>
        <w:tabs>
          <w:tab w:leader="none" w:pos="128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is entitled to replace a Lender pursuant to the provisions of </w:t>
      </w:r>
      <w:r>
        <w:rPr>
          <w:rFonts w:ascii="Times New Roman" w:cs="Times New Roman" w:eastAsia="Times New Roman" w:hAnsi="Times New Roman"/>
          <w:sz w:val="20"/>
          <w:szCs w:val="20"/>
          <w:b w:val="1"/>
          <w:bCs w:val="1"/>
          <w:i w:val="1"/>
          <w:iCs w:val="1"/>
          <w:color w:val="auto"/>
        </w:rPr>
        <w:t>Section 3.06</w:t>
      </w:r>
      <w:r>
        <w:rPr>
          <w:rFonts w:ascii="Times New Roman" w:cs="Times New Roman" w:eastAsia="Times New Roman" w:hAnsi="Times New Roman"/>
          <w:sz w:val="20"/>
          <w:szCs w:val="20"/>
          <w:color w:val="auto"/>
        </w:rPr>
        <w:t xml:space="preserve">,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b w:val="1"/>
          <w:bCs w:val="1"/>
          <w:i w:val="1"/>
          <w:iCs w:val="1"/>
          <w:color w:val="auto"/>
        </w:rPr>
        <w:t>Section 11.06</w:t>
      </w:r>
      <w:r>
        <w:rPr>
          <w:rFonts w:ascii="Times New Roman" w:cs="Times New Roman" w:eastAsia="Times New Roman" w:hAnsi="Times New Roman"/>
          <w:sz w:val="20"/>
          <w:szCs w:val="20"/>
          <w:color w:val="auto"/>
        </w:rPr>
        <w:t>), all of its interests, rights (other than its existing rights to payments pursuant to</w:t>
      </w:r>
      <w:r>
        <w:rPr>
          <w:rFonts w:ascii="Times New Roman" w:cs="Times New Roman" w:eastAsia="Times New Roman" w:hAnsi="Times New Roman"/>
          <w:sz w:val="20"/>
          <w:szCs w:val="20"/>
          <w:b w:val="1"/>
          <w:bCs w:val="1"/>
          <w:i w:val="1"/>
          <w:iCs w:val="1"/>
          <w:color w:val="auto"/>
        </w:rPr>
        <w:t xml:space="preserve"> Sections 3.01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3.04</w:t>
      </w:r>
      <w:r>
        <w:rPr>
          <w:rFonts w:ascii="Times New Roman" w:cs="Times New Roman" w:eastAsia="Times New Roman" w:hAnsi="Times New Roman"/>
          <w:sz w:val="20"/>
          <w:szCs w:val="20"/>
          <w:color w:val="auto"/>
        </w:rPr>
        <w:t>) and obligations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and the related Loan Documents to an Eligible Assignee that shall assume such obligations (which assignee may be another Lender, if a Lender accepts such assignment), provided that:</w:t>
      </w:r>
    </w:p>
    <w:p>
      <w:pPr>
        <w:spacing w:after="0" w:line="14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the assignment fee (if any) specified in </w:t>
      </w:r>
      <w:r>
        <w:rPr>
          <w:rFonts w:ascii="Times New Roman" w:cs="Times New Roman" w:eastAsia="Times New Roman" w:hAnsi="Times New Roman"/>
          <w:sz w:val="20"/>
          <w:szCs w:val="20"/>
          <w:b w:val="1"/>
          <w:bCs w:val="1"/>
          <w:i w:val="1"/>
          <w:iCs w:val="1"/>
          <w:color w:val="auto"/>
        </w:rPr>
        <w:t>Section 11.06(b)</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b w:val="1"/>
          <w:bCs w:val="1"/>
          <w:i w:val="1"/>
          <w:iCs w:val="1"/>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44" w:lineRule="exact"/>
        <w:rPr>
          <w:rFonts w:ascii="Times New Roman" w:cs="Times New Roman" w:eastAsia="Times New Roman" w:hAnsi="Times New Roman"/>
          <w:sz w:val="20"/>
          <w:szCs w:val="20"/>
          <w:color w:val="auto"/>
        </w:rPr>
      </w:pPr>
    </w:p>
    <w:p>
      <w:pPr>
        <w:ind w:left="660" w:firstLine="644"/>
        <w:spacing w:after="0" w:line="270" w:lineRule="auto"/>
        <w:tabs>
          <w:tab w:leader="none" w:pos="1956" w:val="left"/>
        </w:tabs>
        <w:numPr>
          <w:ilvl w:val="1"/>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b w:val="1"/>
          <w:bCs w:val="1"/>
          <w:i w:val="1"/>
          <w:iCs w:val="1"/>
          <w:color w:val="auto"/>
        </w:rPr>
        <w:t>Section 3.04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b w:val="1"/>
          <w:bCs w:val="1"/>
          <w:i w:val="1"/>
          <w:iCs w:val="1"/>
          <w:color w:val="auto"/>
        </w:rPr>
        <w:t>Section 3.01</w:t>
      </w:r>
      <w:r>
        <w:rPr>
          <w:rFonts w:ascii="Times New Roman" w:cs="Times New Roman" w:eastAsia="Times New Roman" w:hAnsi="Times New Roman"/>
          <w:sz w:val="19"/>
          <w:szCs w:val="19"/>
          <w:color w:val="auto"/>
        </w:rPr>
        <w:t>, such assignment will result in a reduction in such compensation or payments thereafter;</w:t>
      </w:r>
    </w:p>
    <w:p>
      <w:pPr>
        <w:spacing w:after="0" w:line="133"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6"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agrees that (i) an assignment required pursuant to this </w:t>
      </w:r>
      <w:r>
        <w:rPr>
          <w:rFonts w:ascii="Times New Roman" w:cs="Times New Roman" w:eastAsia="Times New Roman" w:hAnsi="Times New Roman"/>
          <w:sz w:val="20"/>
          <w:szCs w:val="20"/>
          <w:b w:val="1"/>
          <w:bCs w:val="1"/>
          <w:i w:val="1"/>
          <w:iCs w:val="1"/>
          <w:color w:val="auto"/>
        </w:rPr>
        <w:t>Section 11.13</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0" w:firstLine="642"/>
        <w:spacing w:after="0" w:line="217" w:lineRule="auto"/>
        <w:tabs>
          <w:tab w:leader="none" w:pos="1303"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b w:val="1"/>
          <w:bCs w:val="1"/>
          <w:i w:val="1"/>
          <w:iCs w:val="1"/>
          <w:color w:val="auto"/>
        </w:rPr>
        <w:t>Section 11.13</w:t>
      </w:r>
      <w:r>
        <w:rPr>
          <w:rFonts w:ascii="Times New Roman" w:cs="Times New Roman" w:eastAsia="Times New Roman" w:hAnsi="Times New Roman"/>
          <w:sz w:val="20"/>
          <w:szCs w:val="20"/>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20"/>
          <w:szCs w:val="20"/>
          <w:b w:val="1"/>
          <w:bCs w:val="1"/>
          <w:i w:val="1"/>
          <w:iCs w:val="1"/>
          <w:color w:val="auto"/>
        </w:rPr>
        <w:t>Section 9.06</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Jurisdiction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Etc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7" w:lineRule="auto"/>
        <w:tabs>
          <w:tab w:leader="none" w:pos="1286"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AND THE OTHER LOAN DOCUMENTS (EXCEPT, AS TO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TEXAS.</w:t>
      </w:r>
    </w:p>
    <w:p>
      <w:pPr>
        <w:spacing w:after="0" w:line="156" w:lineRule="exact"/>
        <w:rPr>
          <w:rFonts w:ascii="Times New Roman" w:cs="Times New Roman" w:eastAsia="Times New Roman" w:hAnsi="Times New Roman"/>
          <w:sz w:val="20"/>
          <w:szCs w:val="20"/>
          <w:color w:val="auto"/>
        </w:rPr>
      </w:pPr>
    </w:p>
    <w:p>
      <w:pPr>
        <w:jc w:val="both"/>
        <w:ind w:firstLine="8"/>
        <w:spacing w:after="0" w:line="210" w:lineRule="auto"/>
        <w:tabs>
          <w:tab w:leader="none" w:pos="636"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SUBMISSION TO JURISDICTION</w:t>
      </w:r>
      <w:r>
        <w:rPr>
          <w:rFonts w:ascii="Times New Roman" w:cs="Times New Roman" w:eastAsia="Times New Roman" w:hAnsi="Times New Roman"/>
          <w:sz w:val="20"/>
          <w:szCs w:val="20"/>
          <w:color w:val="auto"/>
        </w:rPr>
        <w:t>. THE BORROWER AND EACH OTHER LOAN PARTY IRREVOCABLY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TEXAS SITTING IN HARRIS COUNTY, AND OF THE UNITED STATES DISTRICT COURT OF THE SOUTHERN DISTRICT OF TEXAS, AND ANY APPELLATE COURT FROM ANY THEREOF, AND EACH OF THE PARTIES HERETO IRREVOCABLY AND UNCONDITIONALLY SUBMITS TO THE JURISDICTION OF SUCH COURTS AND AGREES THAT ALL CLAIMS IN RESPECT OF ANY SUCH ACTION, LITIGATION OR PROCEEDING MAY BE HEARD AND DETERMINED IN SUCH TEXAS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156"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6"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VENUE</w:t>
      </w:r>
      <w:r>
        <w:rPr>
          <w:rFonts w:ascii="Times New Roman" w:cs="Times New Roman" w:eastAsia="Times New Roman" w:hAnsi="Times New Roman"/>
          <w:sz w:val="20"/>
          <w:szCs w:val="20"/>
          <w:color w:val="auto"/>
        </w:rPr>
        <w:t>. THE BORROWER AND EACH OTHER LOAN PARTY IRREVOCABLY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b w:val="1"/>
          <w:bCs w:val="1"/>
          <w:i w:val="1"/>
          <w:iCs w:val="1"/>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b w:val="1"/>
          <w:bCs w:val="1"/>
          <w:i w:val="1"/>
          <w:iCs w:val="1"/>
          <w:color w:val="auto"/>
        </w:rPr>
        <w:t>SECTION 11.14</w:t>
      </w:r>
      <w:r>
        <w:rPr>
          <w:rFonts w:ascii="Times New Roman" w:cs="Times New Roman" w:eastAsia="Times New Roman" w:hAnsi="Times New Roman"/>
          <w:sz w:val="20"/>
          <w:szCs w:val="20"/>
          <w:color w:val="auto"/>
        </w:rPr>
        <w:t xml:space="preserve"> EACH OF THE PARTIES HERETO HEREBY IRREVOCABLY AND UNCONDITIONALLY WAIVES, TO THE FULLEST EXTENT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
        <w:spacing w:after="0"/>
        <w:rPr>
          <w:sz w:val="20"/>
          <w:szCs w:val="20"/>
          <w:color w:val="auto"/>
        </w:rPr>
      </w:pPr>
      <w:r>
        <w:rPr>
          <w:rFonts w:ascii="Times New Roman" w:cs="Times New Roman" w:eastAsia="Times New Roman" w:hAnsi="Times New Roman"/>
          <w:sz w:val="20"/>
          <w:szCs w:val="20"/>
          <w:color w:val="auto"/>
        </w:rPr>
        <w:t>BY APPLICABLE LAW, THE DEFENSE OF AN INCONVENIENT FORUM TO THE MAINTENANCE OF SUCH ACTION OR PROCEEDING IN ANY SUCH COURT.</w:t>
      </w:r>
    </w:p>
    <w:p>
      <w:pPr>
        <w:spacing w:after="0" w:line="144" w:lineRule="exact"/>
        <w:rPr>
          <w:sz w:val="20"/>
          <w:szCs w:val="20"/>
          <w:color w:val="auto"/>
        </w:rPr>
      </w:pPr>
    </w:p>
    <w:p>
      <w:pPr>
        <w:jc w:val="both"/>
        <w:ind w:firstLine="656"/>
        <w:spacing w:after="0" w:line="232" w:lineRule="auto"/>
        <w:tabs>
          <w:tab w:leader="none" w:pos="12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SERVICE OF PROCESS</w:t>
      </w:r>
      <w:r>
        <w:rPr>
          <w:rFonts w:ascii="Times New Roman" w:cs="Times New Roman" w:eastAsia="Times New Roman" w:hAnsi="Times New Roman"/>
          <w:sz w:val="20"/>
          <w:szCs w:val="20"/>
          <w:color w:val="auto"/>
        </w:rPr>
        <w:t>. EACH PARTY HERETO IRREVOCABLY CONSENTS TO SERVICE OF PROCESS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MANNER PROVIDED FOR NOTICES IN </w:t>
      </w:r>
      <w:r>
        <w:rPr>
          <w:rFonts w:ascii="Times New Roman" w:cs="Times New Roman" w:eastAsia="Times New Roman" w:hAnsi="Times New Roman"/>
          <w:sz w:val="20"/>
          <w:szCs w:val="20"/>
          <w:b w:val="1"/>
          <w:bCs w:val="1"/>
          <w:i w:val="1"/>
          <w:iCs w:val="1"/>
          <w:color w:val="auto"/>
        </w:rPr>
        <w:t>SECTION 11.02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43"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b w:val="1"/>
          <w:bCs w:val="1"/>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DIRECTLY OR INDIRECTLY ARISING OUT OF OR RELATING TO THIS AGREEMENT OR ANY OTHER LOAN DOCUMENT OR THE TRANSACTIONS CONTEMPLATED HEREBY OR THEREBY (WHETHER BASED ON CONTRACT, TORT OR ANY OTHER</w:t>
      </w:r>
    </w:p>
    <w:p>
      <w:pPr>
        <w:spacing w:after="0" w:line="211" w:lineRule="auto"/>
        <w:rPr>
          <w:sz w:val="20"/>
          <w:szCs w:val="20"/>
          <w:color w:val="auto"/>
        </w:rPr>
      </w:pPr>
      <w:r>
        <w:rPr>
          <w:rFonts w:ascii="Times New Roman" w:cs="Times New Roman" w:eastAsia="Times New Roman" w:hAnsi="Times New Roman"/>
          <w:sz w:val="20"/>
          <w:szCs w:val="20"/>
          <w:color w:val="auto"/>
        </w:rPr>
        <w:t>THEORY). EACH PARTY HERETO (a) CERTIFIES THAT NO REPRESENTATIVE, AGENT OR ATTORNEY OF ANY OTHER</w:t>
      </w:r>
    </w:p>
    <w:p>
      <w:pPr>
        <w:spacing w:after="0" w:line="215" w:lineRule="auto"/>
        <w:rPr>
          <w:sz w:val="20"/>
          <w:szCs w:val="20"/>
          <w:color w:val="auto"/>
        </w:rPr>
      </w:pPr>
      <w:r>
        <w:rPr>
          <w:rFonts w:ascii="Times New Roman" w:cs="Times New Roman" w:eastAsia="Times New Roman" w:hAnsi="Times New Roman"/>
          <w:sz w:val="19"/>
          <w:szCs w:val="19"/>
          <w:color w:val="auto"/>
        </w:rPr>
        <w:t>PERSON HAS REPRESENTED, EXPRESSLY OR OTHERWISE, THAT SUCH OTHER PERSON WOULD NOT, IN THE EVENT OF LITIGATION, SEEK TO ENFORCE THE FOREGOING WAIVER AND (b) ACKNOWLEDGES THAT IT AND THE OTHER PARTIES</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b w:val="1"/>
          <w:bCs w:val="1"/>
          <w:i w:val="1"/>
          <w:iCs w:val="1"/>
          <w:color w:val="auto"/>
        </w:rPr>
        <w:t>SECTION 11.15</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11.16 </w:t>
      </w:r>
      <w:r>
        <w:rPr>
          <w:rFonts w:ascii="Times New Roman" w:cs="Times New Roman" w:eastAsia="Times New Roman" w:hAnsi="Times New Roman"/>
          <w:sz w:val="19"/>
          <w:szCs w:val="19"/>
          <w:b w:val="1"/>
          <w:bCs w:val="1"/>
          <w:color w:val="auto"/>
        </w:rPr>
        <w:t>Subordination</w:t>
      </w:r>
      <w:r>
        <w:rPr>
          <w:rFonts w:ascii="Times New Roman" w:cs="Times New Roman" w:eastAsia="Times New Roman" w:hAnsi="Times New Roman"/>
          <w:sz w:val="19"/>
          <w:szCs w:val="19"/>
          <w:color w:val="auto"/>
        </w:rPr>
        <w:t>. Each Loan Party (a “</w:t>
      </w:r>
      <w:r>
        <w:rPr>
          <w:rFonts w:ascii="Times New Roman" w:cs="Times New Roman" w:eastAsia="Times New Roman" w:hAnsi="Times New Roman"/>
          <w:sz w:val="19"/>
          <w:szCs w:val="19"/>
          <w:b w:val="1"/>
          <w:bCs w:val="1"/>
          <w:i w:val="1"/>
          <w:iCs w:val="1"/>
          <w:color w:val="auto"/>
        </w:rPr>
        <w:t>Subordinating Loan Party</w:t>
      </w:r>
      <w:r>
        <w:rPr>
          <w:rFonts w:ascii="Times New Roman" w:cs="Times New Roman" w:eastAsia="Times New Roman" w:hAnsi="Times New Roman"/>
          <w:sz w:val="19"/>
          <w:szCs w:val="19"/>
          <w:color w:val="auto"/>
        </w:rPr>
        <w:t>”) hereby subordinates the payment of all obligations and indebtedness of any other Loan Party owing to it, whether now existing or hereafter arising, including but not limited to any obligation of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other Loan Party to the Subordinating Loan Party as subrogee of the Secured Parties or resulting from such Subordinating Loan Party’s performance under this Guaranty, to the indefeasible payment in full in cash of all Obligations. If the Secured Parties so request, any such</w:t>
      </w:r>
    </w:p>
    <w:p>
      <w:pPr>
        <w:spacing w:after="0" w:line="204" w:lineRule="auto"/>
        <w:rPr>
          <w:sz w:val="20"/>
          <w:szCs w:val="20"/>
          <w:color w:val="auto"/>
        </w:rPr>
      </w:pPr>
      <w:r>
        <w:rPr>
          <w:rFonts w:ascii="Times New Roman" w:cs="Times New Roman" w:eastAsia="Times New Roman" w:hAnsi="Times New Roman"/>
          <w:sz w:val="20"/>
          <w:szCs w:val="20"/>
          <w:color w:val="auto"/>
        </w:rPr>
        <w:t>obligation or indebtedness of any such other Loan Party to the Subordinating Loan Party shall be enforced and performance received by the Subordinating Loan Party as trustee for the Secured Parties and the proceeds thereof shall be paid over to the Secured Parties on account of</w:t>
      </w:r>
    </w:p>
    <w:p>
      <w:pPr>
        <w:spacing w:after="0" w:line="223" w:lineRule="auto"/>
        <w:rPr>
          <w:sz w:val="20"/>
          <w:szCs w:val="20"/>
          <w:color w:val="auto"/>
        </w:rPr>
      </w:pPr>
      <w:r>
        <w:rPr>
          <w:rFonts w:ascii="Times New Roman" w:cs="Times New Roman" w:eastAsia="Times New Roman" w:hAnsi="Times New Roman"/>
          <w:sz w:val="19"/>
          <w:szCs w:val="19"/>
          <w:color w:val="auto"/>
        </w:rPr>
        <w:t>the Secured Obligations, but without reducing or affecting in any manner the liability of the Subordinating Loan Party under this Agreement.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Without limitation of the foregoing, so long as no Default has occurred and is continuing, the Loan Parties may make and receive payments with respect to Intercompany Debt;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in the event that any Loan Party receives any payment of any Intercompany Debt at a time</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when such payment is prohibited by this </w:t>
      </w:r>
      <w:r>
        <w:rPr>
          <w:rFonts w:ascii="Times New Roman" w:cs="Times New Roman" w:eastAsia="Times New Roman" w:hAnsi="Times New Roman"/>
          <w:sz w:val="20"/>
          <w:szCs w:val="20"/>
          <w:b w:val="1"/>
          <w:bCs w:val="1"/>
          <w:i w:val="1"/>
          <w:iCs w:val="1"/>
          <w:color w:val="auto"/>
        </w:rPr>
        <w:t>Section 11.16</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11.17 </w:t>
      </w:r>
      <w:r>
        <w:rPr>
          <w:rFonts w:ascii="Times New Roman" w:cs="Times New Roman" w:eastAsia="Times New Roman" w:hAnsi="Times New Roman"/>
          <w:sz w:val="20"/>
          <w:szCs w:val="20"/>
          <w:b w:val="1"/>
          <w:bCs w:val="1"/>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(including in connection with any amendment, waiver or other modification hereof or of any other Loan Document), the Borrower and each</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 Loan Party acknowledges and agrees, and acknowledges its Affiliates’ understanding, that: (a) (i) the arranging and other services regarding this Agreement provided by the Administrative Agent, the Arranger and the Lenders and their respective Affiliates are arm’s-length</w:t>
      </w:r>
    </w:p>
    <w:p>
      <w:pPr>
        <w:spacing w:after="0" w:line="222" w:lineRule="auto"/>
        <w:rPr>
          <w:sz w:val="20"/>
          <w:szCs w:val="20"/>
          <w:color w:val="auto"/>
        </w:rPr>
      </w:pPr>
      <w:r>
        <w:rPr>
          <w:rFonts w:ascii="Times New Roman" w:cs="Times New Roman" w:eastAsia="Times New Roman" w:hAnsi="Times New Roman"/>
          <w:sz w:val="19"/>
          <w:szCs w:val="19"/>
          <w:color w:val="auto"/>
        </w:rPr>
        <w:t>commercial transactions between the Borrower, each other Loan Party and their respective Affiliates, on the one hand, and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Agent, the Arranger and the Lenders and their respective Affiliates, on the other hand, (ii) each of the Borrower and the other Loan Parties has consulted its own legal, accounting, regulatory and tax advisors to the extent it has deemed appropriate, and (iii) the Borrower and each</w:t>
      </w:r>
    </w:p>
    <w:p>
      <w:pPr>
        <w:spacing w:after="0" w:line="211" w:lineRule="auto"/>
        <w:rPr>
          <w:sz w:val="20"/>
          <w:szCs w:val="20"/>
          <w:color w:val="auto"/>
        </w:rPr>
      </w:pPr>
      <w:r>
        <w:rPr>
          <w:rFonts w:ascii="Times New Roman" w:cs="Times New Roman" w:eastAsia="Times New Roman" w:hAnsi="Times New Roman"/>
          <w:sz w:val="20"/>
          <w:szCs w:val="20"/>
          <w:color w:val="auto"/>
        </w:rPr>
        <w:t>other Loan Party is capable of evaluating, and understands and accepts, the terms, risks and conditions of the transactions contemplated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hereby and by the other Loan Documents; (b) (i) the Administrative Agent, the Arranger and each Lender and each of their respective Affiliates each is and has been acting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as a principal and, except as expressly agreed in writing by the relevant parties, has not been,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and will not be acting as an advisor,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fiduciary, for the Borrower, any other Loan Party or any of their respective Affiliates, or any other Person and (ii) neither the Administrative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Agent, the Arranger, nor any Lender nor any of their respective Affiliates has any obligation to the Borrower, any other Loan Party or any of their respective Affiliates with respect to the transactions contemplated hereby except those obligations expressly set forth herein and in the</w:t>
      </w:r>
    </w:p>
    <w:p>
      <w:pPr>
        <w:spacing w:after="0" w:line="211" w:lineRule="auto"/>
        <w:rPr>
          <w:sz w:val="20"/>
          <w:szCs w:val="20"/>
          <w:color w:val="auto"/>
        </w:rPr>
      </w:pPr>
      <w:r>
        <w:rPr>
          <w:rFonts w:ascii="Times New Roman" w:cs="Times New Roman" w:eastAsia="Times New Roman" w:hAnsi="Times New Roman"/>
          <w:sz w:val="20"/>
          <w:szCs w:val="20"/>
          <w:color w:val="auto"/>
        </w:rPr>
        <w:t>other Loan Documents; and (c) the Administrative Agent, the Arranger and the Lenders and their respective Affiliates may be engaged in a</w:t>
      </w:r>
    </w:p>
    <w:p>
      <w:pPr>
        <w:ind w:right="20"/>
        <w:spacing w:after="0" w:line="215" w:lineRule="auto"/>
        <w:rPr>
          <w:sz w:val="20"/>
          <w:szCs w:val="20"/>
          <w:color w:val="auto"/>
        </w:rPr>
      </w:pPr>
      <w:r>
        <w:rPr>
          <w:rFonts w:ascii="Times New Roman" w:cs="Times New Roman" w:eastAsia="Times New Roman" w:hAnsi="Times New Roman"/>
          <w:sz w:val="19"/>
          <w:szCs w:val="19"/>
          <w:color w:val="auto"/>
        </w:rPr>
        <w:t>broad range of transactions that involve interests that differ from those of the Borrower, the other Loan Parties and their respective Affiliates, and neither the Administrative Agent, the Arranger, nor any Lender nor any of their respective Affiliates has any obligation to disclose any of</w:t>
      </w:r>
    </w:p>
    <w:p>
      <w:pPr>
        <w:spacing w:after="0" w:line="211" w:lineRule="auto"/>
        <w:rPr>
          <w:sz w:val="20"/>
          <w:szCs w:val="20"/>
          <w:color w:val="auto"/>
        </w:rPr>
      </w:pPr>
      <w:r>
        <w:rPr>
          <w:rFonts w:ascii="Times New Roman" w:cs="Times New Roman" w:eastAsia="Times New Roman" w:hAnsi="Times New Roman"/>
          <w:sz w:val="20"/>
          <w:szCs w:val="20"/>
          <w:color w:val="auto"/>
        </w:rPr>
        <w:t>such interests to the Borrower, any other Loan Party or any of their respective Affiliates. To the fullest extent permitted by law, each of the</w:t>
      </w:r>
    </w:p>
    <w:p>
      <w:pPr>
        <w:spacing w:after="0" w:line="215" w:lineRule="auto"/>
        <w:rPr>
          <w:sz w:val="20"/>
          <w:szCs w:val="20"/>
          <w:color w:val="auto"/>
        </w:rPr>
      </w:pPr>
      <w:r>
        <w:rPr>
          <w:rFonts w:ascii="Times New Roman" w:cs="Times New Roman" w:eastAsia="Times New Roman" w:hAnsi="Times New Roman"/>
          <w:sz w:val="19"/>
          <w:szCs w:val="19"/>
          <w:color w:val="auto"/>
        </w:rPr>
        <w:t>Borrower and each other Loan Party hereby waives and releases any claims that it may have against the Administrative Agent, the Arranger, the Lenders and their respective Affiliates with respect to any breach or alleged breach of agency or fiduciary duty in connection with any</w:t>
      </w:r>
    </w:p>
    <w:p>
      <w:pPr>
        <w:spacing w:after="0"/>
        <w:rPr>
          <w:sz w:val="20"/>
          <w:szCs w:val="20"/>
          <w:color w:val="auto"/>
        </w:rPr>
      </w:pPr>
      <w:r>
        <w:rPr>
          <w:rFonts w:ascii="Times New Roman" w:cs="Times New Roman" w:eastAsia="Times New Roman" w:hAnsi="Times New Roman"/>
          <w:sz w:val="20"/>
          <w:szCs w:val="20"/>
          <w:color w:val="auto"/>
        </w:rPr>
        <w:t>aspect of any transactions contemplated hereby.</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19"/>
          <w:szCs w:val="19"/>
          <w:b w:val="1"/>
          <w:bCs w:val="1"/>
          <w:color w:val="auto"/>
        </w:rPr>
        <w:t>Electronic Execution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Electronic Records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Counterparts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This Agreement, any Loan Document and any other Communication, including Communications required to be in writing, may be in the form of an Electronic Record and may be executed using Electronic Signatures. Each of the Loan Parties and each of the Administrative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 and each Lender agrees that any Electronic Signature on or associated with any Communication shall be valid and binding on such Person to the same extent as a manual, original signature, and that any Communication entered into by Electronic Signature, will constitute</w:t>
      </w:r>
    </w:p>
    <w:p>
      <w:pPr>
        <w:spacing w:after="0" w:line="223" w:lineRule="auto"/>
        <w:rPr>
          <w:sz w:val="20"/>
          <w:szCs w:val="20"/>
          <w:color w:val="auto"/>
        </w:rPr>
      </w:pPr>
      <w:r>
        <w:rPr>
          <w:rFonts w:ascii="Times New Roman" w:cs="Times New Roman" w:eastAsia="Times New Roman" w:hAnsi="Times New Roman"/>
          <w:sz w:val="19"/>
          <w:szCs w:val="19"/>
          <w:color w:val="auto"/>
        </w:rPr>
        <w:t>the legal, valid and binding obligation of such Person enforceable against such Person in accordance with the terms thereof to the same extent</w:t>
      </w:r>
    </w:p>
    <w:p>
      <w:pPr>
        <w:spacing w:after="0" w:line="204" w:lineRule="auto"/>
        <w:rPr>
          <w:sz w:val="20"/>
          <w:szCs w:val="20"/>
          <w:color w:val="auto"/>
        </w:rPr>
      </w:pPr>
      <w:r>
        <w:rPr>
          <w:rFonts w:ascii="Times New Roman" w:cs="Times New Roman" w:eastAsia="Times New Roman" w:hAnsi="Times New Roman"/>
          <w:sz w:val="20"/>
          <w:szCs w:val="20"/>
          <w:color w:val="auto"/>
        </w:rPr>
        <w:t>as if a manually executed original signature was delivered. Any Communication may be executed in as many counterparts as necessary or convenient, including both paper and electronic counterparts, but all such counterparts are one and the same Communication. For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avoidance of doubt, the authorization under this paragraph may include, without limitation, use or acceptance of a manually signed paper Communication which has been converted into electronic form (such as scanned into “.pdf” format), or an electronically signed</w:t>
      </w:r>
    </w:p>
    <w:p>
      <w:pPr>
        <w:spacing w:after="0" w:line="223" w:lineRule="auto"/>
        <w:rPr>
          <w:sz w:val="20"/>
          <w:szCs w:val="20"/>
          <w:color w:val="auto"/>
        </w:rPr>
      </w:pPr>
      <w:r>
        <w:rPr>
          <w:rFonts w:ascii="Times New Roman" w:cs="Times New Roman" w:eastAsia="Times New Roman" w:hAnsi="Times New Roman"/>
          <w:sz w:val="19"/>
          <w:szCs w:val="19"/>
          <w:color w:val="auto"/>
        </w:rPr>
        <w:t>Communication converted into another format, for transmission, delivery and/or retention. The Administrative Agent and each of the Lenders</w:t>
      </w:r>
    </w:p>
    <w:p>
      <w:pPr>
        <w:ind w:right="20"/>
        <w:spacing w:after="0" w:line="215" w:lineRule="auto"/>
        <w:rPr>
          <w:sz w:val="20"/>
          <w:szCs w:val="20"/>
          <w:color w:val="auto"/>
        </w:rPr>
      </w:pPr>
      <w:r>
        <w:rPr>
          <w:rFonts w:ascii="Times New Roman" w:cs="Times New Roman" w:eastAsia="Times New Roman" w:hAnsi="Times New Roman"/>
          <w:sz w:val="19"/>
          <w:szCs w:val="19"/>
          <w:color w:val="auto"/>
        </w:rPr>
        <w:t>may, at its option, create one or more copies of any Communication in the form of an imaged Electronic Record (“</w:t>
      </w:r>
      <w:r>
        <w:rPr>
          <w:rFonts w:ascii="Times New Roman" w:cs="Times New Roman" w:eastAsia="Times New Roman" w:hAnsi="Times New Roman"/>
          <w:sz w:val="19"/>
          <w:szCs w:val="19"/>
          <w:b w:val="1"/>
          <w:bCs w:val="1"/>
          <w:i w:val="1"/>
          <w:iCs w:val="1"/>
          <w:color w:val="auto"/>
        </w:rPr>
        <w:t>Electronic Copy</w:t>
      </w:r>
      <w:r>
        <w:rPr>
          <w:rFonts w:ascii="Times New Roman" w:cs="Times New Roman" w:eastAsia="Times New Roman" w:hAnsi="Times New Roman"/>
          <w:sz w:val="19"/>
          <w:szCs w:val="19"/>
          <w:color w:val="auto"/>
        </w:rPr>
        <w:t>”), which shall be deemed created in the ordinary course of such Person’s business, and destroy the original paper document. All Communications in</w:t>
      </w:r>
    </w:p>
    <w:p>
      <w:pPr>
        <w:spacing w:after="0" w:line="222" w:lineRule="auto"/>
        <w:rPr>
          <w:sz w:val="20"/>
          <w:szCs w:val="20"/>
          <w:color w:val="auto"/>
        </w:rPr>
      </w:pPr>
      <w:r>
        <w:rPr>
          <w:rFonts w:ascii="Times New Roman" w:cs="Times New Roman" w:eastAsia="Times New Roman" w:hAnsi="Times New Roman"/>
          <w:sz w:val="19"/>
          <w:szCs w:val="19"/>
          <w:color w:val="auto"/>
        </w:rPr>
        <w:t>the form of an Electronic Record, including an Electronic Copy, shall be considered an original for all purposes, and shall have the same legal</w:t>
      </w:r>
    </w:p>
    <w:p>
      <w:pPr>
        <w:spacing w:after="0" w:line="204" w:lineRule="auto"/>
        <w:rPr>
          <w:sz w:val="20"/>
          <w:szCs w:val="20"/>
          <w:color w:val="auto"/>
        </w:rPr>
      </w:pPr>
      <w:r>
        <w:rPr>
          <w:rFonts w:ascii="Times New Roman" w:cs="Times New Roman" w:eastAsia="Times New Roman" w:hAnsi="Times New Roman"/>
          <w:sz w:val="20"/>
          <w:szCs w:val="20"/>
          <w:color w:val="auto"/>
        </w:rPr>
        <w:t>effect, validity and enforceability as a paper record. Notwithstanding anything contained herein to the contrary, neither the Administrative Agent, the L/C Issuer nor Swingline Lender is under any obligation to accept an Electronic Signature in any form or in any format unless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expressly agreed to by such Person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without limiting the foregoing, (a) to the extent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Administrative Agent, the L/C Issuer and/or the Swingline Lender has agreed to accept such Electronic Signature, the Administrative Agent and each of the Lenders shall be entitled to rely on any such Electronic Signature purportedly given by, or on behalf of, any Loan Party</w:t>
      </w:r>
    </w:p>
    <w:p>
      <w:pPr>
        <w:spacing w:after="0" w:line="228" w:lineRule="auto"/>
        <w:rPr>
          <w:sz w:val="20"/>
          <w:szCs w:val="20"/>
          <w:color w:val="auto"/>
        </w:rPr>
      </w:pPr>
      <w:r>
        <w:rPr>
          <w:rFonts w:ascii="Times New Roman" w:cs="Times New Roman" w:eastAsia="Times New Roman" w:hAnsi="Times New Roman"/>
          <w:sz w:val="20"/>
          <w:szCs w:val="20"/>
          <w:color w:val="auto"/>
        </w:rPr>
        <w:t>and/or any Lender without further verification, and (b) upon the request of the Administrative Agent or any Lender, any Electronic Signature shall be promptly followed by such manually executed counterpart.</w:t>
      </w:r>
    </w:p>
    <w:p>
      <w:pPr>
        <w:spacing w:after="0" w:line="176"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Neither the Administrative Agent, the L/C Issuer nor the Swingline Lender shall be responsible for, or have any duty to ascertain or inquire into, the sufficiency, validity, enforceability, effectiveness or genuineness of any Loan Document or any other agreement, instrument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document (including, for the avoidance of doubt, in connection with the Administrative Agent’s, the L/C Issuer’s or the Swingline Lender’s reliance on any Electronic Signature transmitted by telecopy, emailed .pdf or any other electronic means). The Administrative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Agent, the L/C Issuer and the Swingline Lender shall be entitled to rely on, and shall incur no liability under or in respect of this Agreement or any other Loan Document by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acting upon, any Communication (which writing may be a fax, any electronic message, Internet or intranet website posting or other</w:t>
      </w:r>
    </w:p>
    <w:p>
      <w:pPr>
        <w:ind w:left="20"/>
        <w:spacing w:after="0" w:line="204" w:lineRule="auto"/>
        <w:rPr>
          <w:sz w:val="20"/>
          <w:szCs w:val="20"/>
          <w:color w:val="auto"/>
        </w:rPr>
      </w:pPr>
      <w:r>
        <w:rPr>
          <w:rFonts w:ascii="Times New Roman" w:cs="Times New Roman" w:eastAsia="Times New Roman" w:hAnsi="Times New Roman"/>
          <w:sz w:val="20"/>
          <w:szCs w:val="20"/>
          <w:color w:val="auto"/>
        </w:rPr>
        <w:t>distribution or signed using an Electronic Signature) or any statement made to it orally or by telephone and believed by it to be genuine and signed or sent or otherwise authenticated (whether or not such Person in fact meets the requirements set forth in the Loan Documents for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being the maker thereof).</w:t>
      </w:r>
    </w:p>
    <w:p>
      <w:pPr>
        <w:spacing w:after="0" w:line="19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Each of the Loan Parties and each Lender hereby waives (i) any argument, defense or right to contest the legal effect, validity or enforceability of this Agreement, any other Loan Document based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on the lack of paper original copies of this Agreement, such other</w:t>
      </w:r>
    </w:p>
    <w:p>
      <w:pPr>
        <w:spacing w:after="0" w:line="212" w:lineRule="auto"/>
        <w:rPr>
          <w:sz w:val="20"/>
          <w:szCs w:val="20"/>
          <w:color w:val="auto"/>
        </w:rPr>
      </w:pPr>
      <w:r>
        <w:rPr>
          <w:rFonts w:ascii="Times New Roman" w:cs="Times New Roman" w:eastAsia="Times New Roman" w:hAnsi="Times New Roman"/>
          <w:sz w:val="20"/>
          <w:szCs w:val="20"/>
          <w:color w:val="auto"/>
        </w:rPr>
        <w:t>Loan Document, and (ii) waives any claim against the Administrative Agent, each Lender and each Related Party for any liabilities arising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i w:val="1"/>
          <w:iCs w:val="1"/>
          <w:color w:val="auto"/>
        </w:rPr>
        <w:t xml:space="preserve">solely </w:t>
      </w:r>
      <w:r>
        <w:rPr>
          <w:rFonts w:ascii="Times New Roman" w:cs="Times New Roman" w:eastAsia="Times New Roman" w:hAnsi="Times New Roman"/>
          <w:sz w:val="20"/>
          <w:szCs w:val="20"/>
          <w:color w:val="auto"/>
        </w:rPr>
        <w:t>from the Administrative Agent’s and/or any Lender’s reliance on or use of Electronic Signatures, including any liabilities arising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result of the failure of the Loan Parties to use any available security measures in connection with the execution, delivery or transmission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Electronic Signature.</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11.19 </w:t>
      </w:r>
      <w:r>
        <w:rPr>
          <w:rFonts w:ascii="Times New Roman" w:cs="Times New Roman" w:eastAsia="Times New Roman" w:hAnsi="Times New Roman"/>
          <w:sz w:val="20"/>
          <w:szCs w:val="20"/>
          <w:b w:val="1"/>
          <w:bCs w:val="1"/>
          <w:color w:val="auto"/>
        </w:rPr>
        <w:t>USA Patriot Act Notice</w:t>
      </w:r>
      <w:r>
        <w:rPr>
          <w:rFonts w:ascii="Times New Roman" w:cs="Times New Roman" w:eastAsia="Times New Roman" w:hAnsi="Times New Roman"/>
          <w:sz w:val="20"/>
          <w:szCs w:val="20"/>
          <w:color w:val="auto"/>
        </w:rPr>
        <w:t>. Each Lender that is subject to the Patriot Act and the Administrative Agent (for itself and not on behalf of any Lender) hereby notifies the Borrower and the other Loan Parties that pursuant to the requirements of the USA PATRIOT Act</w:t>
      </w:r>
    </w:p>
    <w:p>
      <w:pPr>
        <w:spacing w:after="0" w:line="22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Title III</w:t>
      </w:r>
      <w:r>
        <w:rPr>
          <w:rFonts w:ascii="Times New Roman" w:cs="Times New Roman" w:eastAsia="Times New Roman" w:hAnsi="Times New Roman"/>
          <w:sz w:val="19"/>
          <w:szCs w:val="19"/>
          <w:color w:val="auto"/>
        </w:rPr>
        <w:t xml:space="preserve"> of Pub. L. 107-56 (signed into law October 26, 2001)) (the “</w:t>
      </w:r>
      <w:r>
        <w:rPr>
          <w:rFonts w:ascii="Times New Roman" w:cs="Times New Roman" w:eastAsia="Times New Roman" w:hAnsi="Times New Roman"/>
          <w:sz w:val="19"/>
          <w:szCs w:val="19"/>
          <w:b w:val="1"/>
          <w:bCs w:val="1"/>
          <w:i w:val="1"/>
          <w:iCs w:val="1"/>
          <w:color w:val="auto"/>
        </w:rPr>
        <w:t>Patriot Act</w:t>
      </w:r>
      <w:r>
        <w:rPr>
          <w:rFonts w:ascii="Times New Roman" w:cs="Times New Roman" w:eastAsia="Times New Roman" w:hAnsi="Times New Roman"/>
          <w:sz w:val="19"/>
          <w:szCs w:val="19"/>
          <w:color w:val="auto"/>
        </w:rPr>
        <w:t>”), it is required to obtain, verify and record information that</w:t>
      </w:r>
    </w:p>
    <w:p>
      <w:pPr>
        <w:spacing w:after="0" w:line="204" w:lineRule="auto"/>
        <w:rPr>
          <w:sz w:val="20"/>
          <w:szCs w:val="20"/>
          <w:color w:val="auto"/>
        </w:rPr>
      </w:pPr>
      <w:r>
        <w:rPr>
          <w:rFonts w:ascii="Times New Roman" w:cs="Times New Roman" w:eastAsia="Times New Roman" w:hAnsi="Times New Roman"/>
          <w:sz w:val="20"/>
          <w:szCs w:val="20"/>
          <w:color w:val="auto"/>
        </w:rPr>
        <w:t>identifies the Borrower and each other Loan Party, which information includes the name and address of the Borrower and each other Loan Party and other information that will allow such Lender or the Administrative Agent, as applicable, to identify the Borrower and each other</w:t>
      </w:r>
    </w:p>
    <w:p>
      <w:pPr>
        <w:spacing w:after="0" w:line="211" w:lineRule="auto"/>
        <w:rPr>
          <w:sz w:val="20"/>
          <w:szCs w:val="20"/>
          <w:color w:val="auto"/>
        </w:rPr>
      </w:pPr>
      <w:r>
        <w:rPr>
          <w:rFonts w:ascii="Times New Roman" w:cs="Times New Roman" w:eastAsia="Times New Roman" w:hAnsi="Times New Roman"/>
          <w:sz w:val="20"/>
          <w:szCs w:val="20"/>
          <w:color w:val="auto"/>
        </w:rPr>
        <w:t>Loan Party in accordance with the Patriot Act. The Borrower and each other Loan Party shall, promptly following a request by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or any Lender, provide all such other documentation and information that the Administrative Agent or such Lender requests in order to comply with its ongoing obligations under applicable “know your customer” and anti-money laundering rules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regulations, including the Patriot Act.</w:t>
      </w:r>
    </w:p>
    <w:p>
      <w:pPr>
        <w:spacing w:after="0" w:line="144"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20"/>
          <w:szCs w:val="20"/>
          <w:b w:val="1"/>
          <w:bCs w:val="1"/>
          <w:color w:val="auto"/>
        </w:rPr>
        <w:t>Acknowledgement and Consent to Bail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 of Affected Financial Institutions</w:t>
      </w:r>
      <w:r>
        <w:rPr>
          <w:rFonts w:ascii="Times New Roman" w:cs="Times New Roman" w:eastAsia="Times New Roman" w:hAnsi="Times New Roman"/>
          <w:sz w:val="20"/>
          <w:szCs w:val="20"/>
          <w:color w:val="auto"/>
        </w:rPr>
        <w:t>. Solely to the extent any Lender or L/C</w:t>
      </w:r>
    </w:p>
    <w:p>
      <w:pPr>
        <w:spacing w:after="0" w:line="211" w:lineRule="auto"/>
        <w:rPr>
          <w:sz w:val="20"/>
          <w:szCs w:val="20"/>
          <w:color w:val="auto"/>
        </w:rPr>
      </w:pPr>
      <w:r>
        <w:rPr>
          <w:rFonts w:ascii="Times New Roman" w:cs="Times New Roman" w:eastAsia="Times New Roman" w:hAnsi="Times New Roman"/>
          <w:sz w:val="20"/>
          <w:szCs w:val="20"/>
          <w:color w:val="auto"/>
        </w:rPr>
        <w:t>Issuer that is an Affected Financial Institution is a party to this Agreement and notwithstanding anything to the contrary in any Loan</w:t>
      </w:r>
    </w:p>
    <w:p>
      <w:pPr>
        <w:spacing w:after="0" w:line="204" w:lineRule="auto"/>
        <w:rPr>
          <w:sz w:val="20"/>
          <w:szCs w:val="20"/>
          <w:color w:val="auto"/>
        </w:rPr>
      </w:pPr>
      <w:r>
        <w:rPr>
          <w:rFonts w:ascii="Times New Roman" w:cs="Times New Roman" w:eastAsia="Times New Roman" w:hAnsi="Times New Roman"/>
          <w:sz w:val="20"/>
          <w:szCs w:val="20"/>
          <w:color w:val="auto"/>
        </w:rPr>
        <w:t>Document or in any other agreement, arrangement or understanding among any such parties, each party hereto acknowledges that any liability of any Lender or L/C Issuer that is an Affected Financial Institution arising under any Loan Document, to the extent such liability is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unsecured, may be subject to the Write-Down and Conversion Powers of the applicable Resolution Authority and agrees and consents to, and acknowledges and agrees to be bound by:</w:t>
      </w:r>
    </w:p>
    <w:p>
      <w:pPr>
        <w:spacing w:after="0" w:line="149" w:lineRule="exact"/>
        <w:rPr>
          <w:sz w:val="20"/>
          <w:szCs w:val="20"/>
          <w:color w:val="auto"/>
        </w:rPr>
      </w:pPr>
    </w:p>
    <w:p>
      <w:pPr>
        <w:ind w:firstLine="656"/>
        <w:spacing w:after="0"/>
        <w:tabs>
          <w:tab w:leader="none" w:pos="1286"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4"/>
        <w:spacing w:after="0"/>
        <w:tabs>
          <w:tab w:leader="none" w:pos="1956"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 xml:space="preserve">11.21 </w:t>
      </w:r>
      <w:r>
        <w:rPr>
          <w:rFonts w:ascii="Times New Roman" w:cs="Times New Roman" w:eastAsia="Times New Roman" w:hAnsi="Times New Roman"/>
          <w:sz w:val="19"/>
          <w:szCs w:val="19"/>
          <w:b w:val="1"/>
          <w:bCs w:val="1"/>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19"/>
          <w:szCs w:val="19"/>
          <w:b w:val="1"/>
          <w:bCs w:val="1"/>
          <w:i w:val="1"/>
          <w:iCs w:val="1"/>
          <w:color w:val="auto"/>
        </w:rPr>
        <w:t>QFC Credit Support</w:t>
      </w:r>
      <w:r>
        <w:rPr>
          <w:rFonts w:ascii="Times New Roman" w:cs="Times New Roman" w:eastAsia="Times New Roman" w:hAnsi="Times New Roman"/>
          <w:sz w:val="19"/>
          <w:szCs w:val="19"/>
          <w:color w:val="auto"/>
        </w:rPr>
        <w:t>”,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each such QFC, a “</w:t>
      </w:r>
      <w:r>
        <w:rPr>
          <w:rFonts w:ascii="Times New Roman" w:cs="Times New Roman" w:eastAsia="Times New Roman" w:hAnsi="Times New Roman"/>
          <w:sz w:val="20"/>
          <w:szCs w:val="20"/>
          <w:b w:val="1"/>
          <w:bCs w:val="1"/>
          <w:i w:val="1"/>
          <w:iCs w:val="1"/>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w:t>
      </w:r>
    </w:p>
    <w:p>
      <w:pPr>
        <w:spacing w:after="0" w:line="211" w:lineRule="auto"/>
        <w:rPr>
          <w:sz w:val="20"/>
          <w:szCs w:val="20"/>
          <w:color w:val="auto"/>
        </w:rPr>
      </w:pPr>
      <w:r>
        <w:rPr>
          <w:rFonts w:ascii="Times New Roman" w:cs="Times New Roman" w:eastAsia="Times New Roman" w:hAnsi="Times New Roman"/>
          <w:sz w:val="20"/>
          <w:szCs w:val="20"/>
          <w:color w:val="auto"/>
        </w:rPr>
        <w:t>Protection Act (together with the regulations promulgated thereunder, the “</w:t>
      </w:r>
      <w:r>
        <w:rPr>
          <w:rFonts w:ascii="Times New Roman" w:cs="Times New Roman" w:eastAsia="Times New Roman" w:hAnsi="Times New Roman"/>
          <w:sz w:val="20"/>
          <w:szCs w:val="20"/>
          <w:b w:val="1"/>
          <w:bCs w:val="1"/>
          <w:i w:val="1"/>
          <w:iCs w:val="1"/>
          <w:color w:val="auto"/>
        </w:rPr>
        <w:t>U.S. Special Resolution Regimes</w:t>
      </w:r>
      <w:r>
        <w:rPr>
          <w:rFonts w:ascii="Times New Roman" w:cs="Times New Roman" w:eastAsia="Times New Roman" w:hAnsi="Times New Roman"/>
          <w:sz w:val="20"/>
          <w:szCs w:val="20"/>
          <w:color w:val="auto"/>
        </w:rPr>
        <w:t>”) in respect of such Supported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QFC and QFC Credit Support (with the provisions below applicable notwithstanding that the Loan Documents and any Supported QFC may in fact be stated to be governed by the laws of the State of New York and/or of the United States or any other state of the United States): In</w:t>
      </w:r>
    </w:p>
    <w:p>
      <w:pPr>
        <w:spacing w:after="0" w:line="222" w:lineRule="auto"/>
        <w:rPr>
          <w:sz w:val="20"/>
          <w:szCs w:val="20"/>
          <w:color w:val="auto"/>
        </w:rPr>
      </w:pPr>
      <w:r>
        <w:rPr>
          <w:rFonts w:ascii="Times New Roman" w:cs="Times New Roman" w:eastAsia="Times New Roman" w:hAnsi="Times New Roman"/>
          <w:sz w:val="19"/>
          <w:szCs w:val="19"/>
          <w:color w:val="auto"/>
        </w:rPr>
        <w:t>the event a Covered Entity that is party to a Supported QFC (each, a “</w:t>
      </w:r>
      <w:r>
        <w:rPr>
          <w:rFonts w:ascii="Times New Roman" w:cs="Times New Roman" w:eastAsia="Times New Roman" w:hAnsi="Times New Roman"/>
          <w:sz w:val="19"/>
          <w:szCs w:val="19"/>
          <w:b w:val="1"/>
          <w:bCs w:val="1"/>
          <w:i w:val="1"/>
          <w:iCs w:val="1"/>
          <w:color w:val="auto"/>
        </w:rPr>
        <w:t>Covered Party</w:t>
      </w:r>
      <w:r>
        <w:rPr>
          <w:rFonts w:ascii="Times New Roman" w:cs="Times New Roman" w:eastAsia="Times New Roman" w:hAnsi="Times New Roman"/>
          <w:sz w:val="19"/>
          <w:szCs w:val="19"/>
          <w:color w:val="auto"/>
        </w:rPr>
        <w:t>”) becomes subject to a proceeding under a U.S. Special</w:t>
      </w:r>
    </w:p>
    <w:p>
      <w:pPr>
        <w:spacing w:after="0" w:line="204" w:lineRule="auto"/>
        <w:rPr>
          <w:sz w:val="20"/>
          <w:szCs w:val="20"/>
          <w:color w:val="auto"/>
        </w:rPr>
      </w:pPr>
      <w:r>
        <w:rPr>
          <w:rFonts w:ascii="Times New Roman" w:cs="Times New Roman" w:eastAsia="Times New Roman" w:hAnsi="Times New Roman"/>
          <w:sz w:val="20"/>
          <w:szCs w:val="20"/>
          <w:color w:val="auto"/>
        </w:rPr>
        <w:t>Resolution Regime, the transfer of such Supported QFC and the benefit of such QFC Credit Support (and any interest and obligation in or under such Supported QFC and such QFC Credit Support, and any rights in property securing such Supported QFC or such QFC Credit</w:t>
      </w:r>
    </w:p>
    <w:p>
      <w:pPr>
        <w:spacing w:after="0" w:line="211" w:lineRule="auto"/>
        <w:rPr>
          <w:sz w:val="20"/>
          <w:szCs w:val="20"/>
          <w:color w:val="auto"/>
        </w:rPr>
      </w:pPr>
      <w:r>
        <w:rPr>
          <w:rFonts w:ascii="Times New Roman" w:cs="Times New Roman" w:eastAsia="Times New Roman" w:hAnsi="Times New Roman"/>
          <w:sz w:val="20"/>
          <w:szCs w:val="20"/>
          <w:color w:val="auto"/>
        </w:rPr>
        <w:t>Support) from such Covered Party will be effective to the same extent as the transfer would be effective under the U.S. Special Resolution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Regime if the Supported QFC and such QFC Credit Support (and any such interest, obligation and rights in property) were governed by the laws of the United States or a state of the United States. In the event a Covered Party or a BHC Act Affiliate of a Covered Party becomes</w:t>
      </w:r>
    </w:p>
    <w:p>
      <w:pPr>
        <w:spacing w:after="0" w:line="211" w:lineRule="auto"/>
        <w:rPr>
          <w:sz w:val="20"/>
          <w:szCs w:val="20"/>
          <w:color w:val="auto"/>
        </w:rPr>
      </w:pPr>
      <w:r>
        <w:rPr>
          <w:rFonts w:ascii="Times New Roman" w:cs="Times New Roman" w:eastAsia="Times New Roman" w:hAnsi="Times New Roman"/>
          <w:sz w:val="20"/>
          <w:szCs w:val="20"/>
          <w:color w:val="auto"/>
        </w:rPr>
        <w:t>subject to a proceeding under a U.S. Special Resolution Regime, Default Rights under the Loan Documents that might otherwise apply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Supported QFC or any QFC Credit Support that may be exercised against such Covered Party are permitted to be exercised to no greater extent than such Default Rights could be exercised under the U.S. Special Resolution Regime if the Supported QFC and the Loan Documents</w:t>
      </w:r>
    </w:p>
    <w:p>
      <w:pPr>
        <w:spacing w:after="0" w:line="215" w:lineRule="auto"/>
        <w:rPr>
          <w:sz w:val="20"/>
          <w:szCs w:val="20"/>
          <w:color w:val="auto"/>
        </w:rPr>
      </w:pPr>
      <w:r>
        <w:rPr>
          <w:rFonts w:ascii="Times New Roman" w:cs="Times New Roman" w:eastAsia="Times New Roman" w:hAnsi="Times New Roman"/>
          <w:sz w:val="19"/>
          <w:szCs w:val="19"/>
          <w:color w:val="auto"/>
        </w:rPr>
        <w:t>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w:t>
      </w:r>
    </w:p>
    <w:p>
      <w:pPr>
        <w:spacing w:after="0"/>
        <w:rPr>
          <w:sz w:val="20"/>
          <w:szCs w:val="20"/>
          <w:color w:val="auto"/>
        </w:rPr>
      </w:pPr>
      <w:r>
        <w:rPr>
          <w:rFonts w:ascii="Times New Roman" w:cs="Times New Roman" w:eastAsia="Times New Roman" w:hAnsi="Times New Roman"/>
          <w:sz w:val="20"/>
          <w:szCs w:val="20"/>
          <w:color w:val="auto"/>
        </w:rPr>
        <w:t>to a Supported QFC or any QFC Credit Support.</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19"/>
          <w:szCs w:val="19"/>
          <w:b w:val="1"/>
          <w:bCs w:val="1"/>
          <w:color w:val="auto"/>
        </w:rPr>
        <w:t xml:space="preserve">Time of the Essence. </w:t>
      </w:r>
      <w:r>
        <w:rPr>
          <w:rFonts w:ascii="Times New Roman" w:cs="Times New Roman" w:eastAsia="Times New Roman" w:hAnsi="Times New Roman"/>
          <w:sz w:val="19"/>
          <w:szCs w:val="19"/>
          <w:color w:val="auto"/>
        </w:rPr>
        <w:t>Time is of the essence of the Loan Documents.</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11.23 </w:t>
      </w:r>
      <w:r>
        <w:rPr>
          <w:rFonts w:ascii="Times New Roman" w:cs="Times New Roman" w:eastAsia="Times New Roman" w:hAnsi="Times New Roman"/>
          <w:sz w:val="20"/>
          <w:szCs w:val="20"/>
          <w:b w:val="1"/>
          <w:bCs w:val="1"/>
          <w:color w:val="auto"/>
        </w:rPr>
        <w:t>Judgment Currency</w:t>
      </w:r>
      <w:r>
        <w:rPr>
          <w:rFonts w:ascii="Times New Roman" w:cs="Times New Roman" w:eastAsia="Times New Roman" w:hAnsi="Times New Roman"/>
          <w:sz w:val="20"/>
          <w:szCs w:val="20"/>
          <w:color w:val="auto"/>
        </w:rPr>
        <w:t>. If, for the purposes of obtaining judgment in any court, it is necessary to convert a sum due hereunder or any other Loan Document in one currency into another currency, the rate of exchange used shall be that at which in accordance with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normal banking procedures the Administrative Agent could purchase the first currency with such other currency on the Business Day preceding that on which final judgment is given. The obligation of each Loan Party in respect of any such sum due from it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or any Lender hereunder or under the other Loan Documents shall, notwithstanding any judgment in a currency (the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w:t>
      </w:r>
    </w:p>
    <w:p>
      <w:pPr>
        <w:spacing w:after="0" w:line="211" w:lineRule="auto"/>
        <w:rPr>
          <w:sz w:val="20"/>
          <w:szCs w:val="20"/>
          <w:color w:val="auto"/>
        </w:rPr>
      </w:pPr>
      <w:r>
        <w:rPr>
          <w:rFonts w:ascii="Times New Roman" w:cs="Times New Roman" w:eastAsia="Times New Roman" w:hAnsi="Times New Roman"/>
          <w:sz w:val="20"/>
          <w:szCs w:val="20"/>
          <w:color w:val="auto"/>
        </w:rPr>
        <w:t>such Lender, as the case may be, of any sum adjudged to be so due in the Judgment Currency, the Administrative Agent or such Lender,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case may be, may in accordance with normal banking procedures purchase the Agreement Currency with the Judgment Currency. If the amount of the Agreement Currency so purchased is less than the sum originally due to the Administrative Agent or any Lender from any</w:t>
      </w:r>
    </w:p>
    <w:p>
      <w:pPr>
        <w:spacing w:after="0" w:line="211" w:lineRule="auto"/>
        <w:rPr>
          <w:sz w:val="20"/>
          <w:szCs w:val="20"/>
          <w:color w:val="auto"/>
        </w:rPr>
      </w:pPr>
      <w:r>
        <w:rPr>
          <w:rFonts w:ascii="Times New Roman" w:cs="Times New Roman" w:eastAsia="Times New Roman" w:hAnsi="Times New Roman"/>
          <w:sz w:val="20"/>
          <w:szCs w:val="20"/>
          <w:color w:val="auto"/>
        </w:rPr>
        <w:t>Loan Party in the Agreement Currency, such Loan Party agrees, as a separate obligation and notwithstanding any such judgment,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indemnify the Administrative Agent or such Lender, as the case may be, against such loss. If the amount of the Agreement Currency so purchased is greater than the sum originally due to the Administrative Agent or any Lender in such currency, the Administrative Agent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such Lender, as the case may be, agrees to return the amount of any excess to such Loan Party (or to any other Person who may be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color w:val="auto"/>
        </w:rPr>
        <w:t>ANNEX I</w:t>
      </w:r>
    </w:p>
    <w:p>
      <w:pPr>
        <w:jc w:val="right"/>
        <w:spacing w:after="0"/>
        <w:rPr>
          <w:sz w:val="20"/>
          <w:szCs w:val="20"/>
          <w:color w:val="auto"/>
        </w:rPr>
      </w:pPr>
      <w:r>
        <w:rPr>
          <w:rFonts w:ascii="Times New Roman" w:cs="Times New Roman" w:eastAsia="Times New Roman" w:hAnsi="Times New Roman"/>
          <w:sz w:val="18"/>
          <w:szCs w:val="18"/>
          <w:u w:val="single" w:color="auto"/>
          <w:color w:val="auto"/>
        </w:rPr>
        <w:t>TO THIRD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11.24</w:t>
      </w:r>
      <w:r>
        <w:rPr>
          <w:sz w:val="20"/>
          <w:szCs w:val="20"/>
          <w:color w:val="auto"/>
        </w:rPr>
        <w:tab/>
      </w:r>
      <w:r>
        <w:rPr>
          <w:rFonts w:ascii="Times New Roman" w:cs="Times New Roman" w:eastAsia="Times New Roman" w:hAnsi="Times New Roman"/>
          <w:sz w:val="19"/>
          <w:szCs w:val="19"/>
          <w:b w:val="1"/>
          <w:bCs w:val="1"/>
          <w:color w:val="auto"/>
        </w:rPr>
        <w:t>Amendment and Restatement</w:t>
      </w:r>
      <w:r>
        <w:rPr>
          <w:rFonts w:ascii="Times New Roman" w:cs="Times New Roman" w:eastAsia="Times New Roman" w:hAnsi="Times New Roman"/>
          <w:sz w:val="19"/>
          <w:szCs w:val="19"/>
          <w:color w:val="auto"/>
        </w:rPr>
        <w:t>. This Agreement is an amendment and restatement of (but not a novation of or an accord and</w:t>
      </w:r>
    </w:p>
    <w:p>
      <w:pPr>
        <w:spacing w:after="0" w:line="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satisfaction of) the Existing Credit Agreement. All outstanding Obligations under the Existing Credit Agreement (and which have not been repaid on the Closing Date) shall continue to remain outstanding under this Agreement. From and after the date hereof, all references made to</w:t>
      </w:r>
    </w:p>
    <w:p>
      <w:pPr>
        <w:spacing w:after="0" w:line="211" w:lineRule="auto"/>
        <w:rPr>
          <w:sz w:val="20"/>
          <w:szCs w:val="20"/>
          <w:color w:val="auto"/>
        </w:rPr>
      </w:pPr>
      <w:r>
        <w:rPr>
          <w:rFonts w:ascii="Times New Roman" w:cs="Times New Roman" w:eastAsia="Times New Roman" w:hAnsi="Times New Roman"/>
          <w:sz w:val="20"/>
          <w:szCs w:val="20"/>
          <w:color w:val="auto"/>
        </w:rPr>
        <w:t>the Existing Credit Agreement in any “Loan Document” (as defined in the Existing Credit Agreement) or in any other instrument or</w:t>
      </w:r>
    </w:p>
    <w:p>
      <w:pPr>
        <w:spacing w:after="0" w:line="204" w:lineRule="auto"/>
        <w:rPr>
          <w:sz w:val="20"/>
          <w:szCs w:val="20"/>
          <w:color w:val="auto"/>
        </w:rPr>
      </w:pPr>
      <w:r>
        <w:rPr>
          <w:rFonts w:ascii="Times New Roman" w:cs="Times New Roman" w:eastAsia="Times New Roman" w:hAnsi="Times New Roman"/>
          <w:sz w:val="20"/>
          <w:szCs w:val="20"/>
          <w:color w:val="auto"/>
        </w:rPr>
        <w:t>document shall, without more, be deemed to refer to this Agreement. The Borrower and each Guarantor under this Agreement hereby acknowledges and agrees that the “Liens” (as defined in the Existing Credit Agreement) created and provided for by the “Collateral</w:t>
      </w:r>
    </w:p>
    <w:p>
      <w:pPr>
        <w:spacing w:after="0" w:line="223" w:lineRule="auto"/>
        <w:rPr>
          <w:sz w:val="20"/>
          <w:szCs w:val="20"/>
          <w:color w:val="auto"/>
        </w:rPr>
      </w:pPr>
      <w:r>
        <w:rPr>
          <w:rFonts w:ascii="Times New Roman" w:cs="Times New Roman" w:eastAsia="Times New Roman" w:hAnsi="Times New Roman"/>
          <w:sz w:val="19"/>
          <w:szCs w:val="19"/>
          <w:color w:val="auto"/>
        </w:rPr>
        <w:t>Documents” (as defined in the Existing Credit Agreement) continue to secure, among other things, the Obligations under the Existing Credit</w:t>
      </w:r>
    </w:p>
    <w:p>
      <w:pPr>
        <w:spacing w:after="0" w:line="204" w:lineRule="auto"/>
        <w:rPr>
          <w:sz w:val="20"/>
          <w:szCs w:val="20"/>
          <w:color w:val="auto"/>
        </w:rPr>
      </w:pPr>
      <w:r>
        <w:rPr>
          <w:rFonts w:ascii="Times New Roman" w:cs="Times New Roman" w:eastAsia="Times New Roman" w:hAnsi="Times New Roman"/>
          <w:sz w:val="20"/>
          <w:szCs w:val="20"/>
          <w:color w:val="auto"/>
        </w:rPr>
        <w:t>Agreement which shall remain outstanding on the date hereof as well as those hereafter arising under this Agreement and the other Loan Documents; and the rights and remedies of the Administrative Agent under the Collateral Documents under the Existing Credit Agreement</w:t>
      </w:r>
    </w:p>
    <w:p>
      <w:pPr>
        <w:spacing w:after="0" w:line="211" w:lineRule="auto"/>
        <w:rPr>
          <w:sz w:val="20"/>
          <w:szCs w:val="20"/>
          <w:color w:val="auto"/>
        </w:rPr>
      </w:pPr>
      <w:r>
        <w:rPr>
          <w:rFonts w:ascii="Times New Roman" w:cs="Times New Roman" w:eastAsia="Times New Roman" w:hAnsi="Times New Roman"/>
          <w:sz w:val="20"/>
          <w:szCs w:val="20"/>
          <w:color w:val="auto"/>
        </w:rPr>
        <w:t>and the Liens under the Existing Credit Agreement created and provided for thereunder remain in full force and effect and shall not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affected, impaired or discharged hereby. Nothing herein contained shall in any manner affect or impair the priority of the liens and security interests created and provided for by the Collateral Documents under the Existing Credit Agreement as to the indebtedness which would be</w:t>
      </w:r>
    </w:p>
    <w:p>
      <w:pPr>
        <w:spacing w:after="0" w:line="211" w:lineRule="auto"/>
        <w:rPr>
          <w:sz w:val="20"/>
          <w:szCs w:val="20"/>
          <w:color w:val="auto"/>
        </w:rPr>
      </w:pPr>
      <w:r>
        <w:rPr>
          <w:rFonts w:ascii="Times New Roman" w:cs="Times New Roman" w:eastAsia="Times New Roman" w:hAnsi="Times New Roman"/>
          <w:sz w:val="20"/>
          <w:szCs w:val="20"/>
          <w:color w:val="auto"/>
        </w:rPr>
        <w:t>secured thereby prior to giving effect to this Agreement. This amendment and restatement of the Existing Credit Agreement shall operate to</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renew, amend and modify the rights and obligations of the parties under the Existing Credit Agreement as provided herein, but shall not act as a novation thereof.</w:t>
      </w:r>
    </w:p>
    <w:p>
      <w:pPr>
        <w:spacing w:after="0" w:line="152"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color w:val="auto"/>
        </w:rPr>
        <w:t>11.25</w:t>
      </w:r>
      <w:r>
        <w:rPr>
          <w:sz w:val="20"/>
          <w:szCs w:val="20"/>
          <w:color w:val="auto"/>
        </w:rPr>
        <w:tab/>
      </w:r>
      <w:r>
        <w:rPr>
          <w:rFonts w:ascii="Times New Roman" w:cs="Times New Roman" w:eastAsia="Times New Roman" w:hAnsi="Times New Roman"/>
          <w:sz w:val="20"/>
          <w:szCs w:val="20"/>
          <w:b w:val="1"/>
          <w:bCs w:val="1"/>
          <w:color w:val="auto"/>
        </w:rPr>
        <w:t>Reallocation of Commitments</w:t>
      </w:r>
      <w:r>
        <w:rPr>
          <w:rFonts w:ascii="Times New Roman" w:cs="Times New Roman" w:eastAsia="Times New Roman" w:hAnsi="Times New Roman"/>
          <w:sz w:val="20"/>
          <w:szCs w:val="20"/>
          <w:color w:val="auto"/>
        </w:rPr>
        <w:t>. The Lenders (as defined in the Existing Credit Agreement) have agreed among themselves</w:t>
      </w:r>
    </w:p>
    <w:p>
      <w:pPr>
        <w:spacing w:after="0" w:line="204" w:lineRule="auto"/>
        <w:rPr>
          <w:sz w:val="20"/>
          <w:szCs w:val="20"/>
          <w:color w:val="auto"/>
        </w:rPr>
      </w:pPr>
      <w:r>
        <w:rPr>
          <w:rFonts w:ascii="Times New Roman" w:cs="Times New Roman" w:eastAsia="Times New Roman" w:hAnsi="Times New Roman"/>
          <w:sz w:val="20"/>
          <w:szCs w:val="20"/>
          <w:color w:val="auto"/>
        </w:rPr>
        <w:t>to reallocate the Aggregate Commitment (under, and as defined in, the Existing Credit Agreement) as contemplated by this Agreement and to adjust their interests in such Aggregate Commitment and the Loans accordingly. On the Closing Date and after giving effect to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reallocation and adjustment of such Aggregate Commitment and such Loans, the Lenders shall hold the Commitments set forth on </w:t>
      </w:r>
      <w:r>
        <w:rPr>
          <w:rFonts w:ascii="Times New Roman" w:cs="Times New Roman" w:eastAsia="Times New Roman" w:hAnsi="Times New Roman"/>
          <w:sz w:val="20"/>
          <w:szCs w:val="20"/>
          <w:b w:val="1"/>
          <w:bCs w:val="1"/>
          <w:i w:val="1"/>
          <w:iCs w:val="1"/>
          <w:color w:val="auto"/>
        </w:rPr>
        <w:t>Schedule 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(as such Schedule is in effect on the Closing Date). The outstanding Loans (under, and as defined in, the Existing Credit</w:t>
      </w:r>
    </w:p>
    <w:p>
      <w:pPr>
        <w:spacing w:after="0" w:line="211" w:lineRule="auto"/>
        <w:rPr>
          <w:sz w:val="20"/>
          <w:szCs w:val="20"/>
          <w:color w:val="auto"/>
        </w:rPr>
      </w:pPr>
      <w:r>
        <w:rPr>
          <w:rFonts w:ascii="Times New Roman" w:cs="Times New Roman" w:eastAsia="Times New Roman" w:hAnsi="Times New Roman"/>
          <w:sz w:val="20"/>
          <w:szCs w:val="20"/>
          <w:color w:val="auto"/>
        </w:rPr>
        <w:t>Agreement) and the funds delivered to the Administrative Agent on the Closing Date by the Lenders shall be allocated such that after giving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effect to such allocation each of the Lenders shall hold the Commitments set forth on </w:t>
      </w:r>
      <w:r>
        <w:rPr>
          <w:rFonts w:ascii="Times New Roman" w:cs="Times New Roman" w:eastAsia="Times New Roman" w:hAnsi="Times New Roman"/>
          <w:sz w:val="20"/>
          <w:szCs w:val="20"/>
          <w:b w:val="1"/>
          <w:bCs w:val="1"/>
          <w:i w:val="1"/>
          <w:iCs w:val="1"/>
          <w:color w:val="auto"/>
        </w:rPr>
        <w:t>Schedule 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xml:space="preserve">) (as such Schedule is in effect on the Closing Date) and such Lenders shall own the Loans consistent with their percentage of the Commitments set forth on </w:t>
      </w:r>
      <w:r>
        <w:rPr>
          <w:rFonts w:ascii="Times New Roman" w:cs="Times New Roman" w:eastAsia="Times New Roman" w:hAnsi="Times New Roman"/>
          <w:sz w:val="20"/>
          <w:szCs w:val="20"/>
          <w:b w:val="1"/>
          <w:bCs w:val="1"/>
          <w:i w:val="1"/>
          <w:iCs w:val="1"/>
          <w:color w:val="auto"/>
        </w:rPr>
        <w:t>Schedule 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w:t>
      </w:r>
      <w:r>
        <w:rPr>
          <w:rFonts w:ascii="Times New Roman" w:cs="Times New Roman" w:eastAsia="Times New Roman" w:hAnsi="Times New Roman"/>
          <w:sz w:val="20"/>
          <w:szCs w:val="20"/>
          <w:color w:val="auto"/>
        </w:rPr>
        <w:t>) (as</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such Schedule is in effect on the Closing Date). The Borrower shall pay any funding indemnification amounts required by </w:t>
      </w:r>
      <w:r>
        <w:rPr>
          <w:rFonts w:ascii="Times New Roman" w:cs="Times New Roman" w:eastAsia="Times New Roman" w:hAnsi="Times New Roman"/>
          <w:sz w:val="19"/>
          <w:szCs w:val="19"/>
          <w:i w:val="1"/>
          <w:iCs w:val="1"/>
          <w:color w:val="auto"/>
        </w:rPr>
        <w:t>Section 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05</w:t>
      </w:r>
      <w:r>
        <w:rPr>
          <w:rFonts w:ascii="Times New Roman" w:cs="Times New Roman" w:eastAsia="Times New Roman" w:hAnsi="Times New Roman"/>
          <w:sz w:val="19"/>
          <w:szCs w:val="19"/>
          <w:color w:val="auto"/>
        </w:rPr>
        <w:t xml:space="preserve"> of the</w:t>
      </w:r>
    </w:p>
    <w:p>
      <w:pPr>
        <w:spacing w:after="0" w:line="215" w:lineRule="auto"/>
        <w:rPr>
          <w:sz w:val="20"/>
          <w:szCs w:val="20"/>
          <w:color w:val="auto"/>
        </w:rPr>
      </w:pPr>
      <w:r>
        <w:rPr>
          <w:rFonts w:ascii="Times New Roman" w:cs="Times New Roman" w:eastAsia="Times New Roman" w:hAnsi="Times New Roman"/>
          <w:sz w:val="19"/>
          <w:szCs w:val="19"/>
          <w:color w:val="auto"/>
        </w:rPr>
        <w:t>Existing Credit Agreement in the event the payment of any principal of any Eurodollar Loan (under, and as defined in, the Existing Credit Agreement) or the conversion of any Eurodollar Loan (under, and as defined in, the Existing Credit Agreement) other than on the last day of</w:t>
      </w:r>
    </w:p>
    <w:p>
      <w:pPr>
        <w:spacing w:after="0"/>
        <w:rPr>
          <w:sz w:val="20"/>
          <w:szCs w:val="20"/>
          <w:color w:val="auto"/>
        </w:rPr>
      </w:pPr>
      <w:r>
        <w:rPr>
          <w:rFonts w:ascii="Times New Roman" w:cs="Times New Roman" w:eastAsia="Times New Roman" w:hAnsi="Times New Roman"/>
          <w:sz w:val="20"/>
          <w:szCs w:val="20"/>
          <w:color w:val="auto"/>
        </w:rPr>
        <w:t xml:space="preserve">an Interest Period applicable thereto is required in connection with the reallocation contemplated by this </w:t>
      </w:r>
      <w:r>
        <w:rPr>
          <w:rFonts w:ascii="Times New Roman" w:cs="Times New Roman" w:eastAsia="Times New Roman" w:hAnsi="Times New Roman"/>
          <w:sz w:val="20"/>
          <w:szCs w:val="20"/>
          <w:b w:val="1"/>
          <w:bCs w:val="1"/>
          <w:i w:val="1"/>
          <w:iCs w:val="1"/>
          <w:color w:val="auto"/>
        </w:rPr>
        <w:t>Section 11.25</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11.26 </w:t>
      </w: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AGREEMENT AND THE OTHER LOAN DOCUMENTS REPRESENT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FINAL AGREEMENT AMONG THE PARTIES AND MAY NOT BE CONTRADICTED BY EVIDENCE OF PRIOR</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b w:val="1"/>
          <w:bCs w:val="1"/>
          <w:color w:val="auto"/>
        </w:rPr>
        <w:t>CONTEMPORANEOUS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OR SUBSEQUENT ORAL AGREEMENTS OF THE PARTIES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 ARE NO UNWRITTEN ORAL AGREEMENTS AMONG THE PARTIES</w:t>
      </w:r>
      <w:r>
        <w:rPr>
          <w:rFonts w:ascii="Times New Roman" w:cs="Times New Roman" w:eastAsia="Times New Roman" w:hAnsi="Times New Roman"/>
          <w:sz w:val="20"/>
          <w:szCs w:val="20"/>
          <w:color w:val="auto"/>
        </w:rPr>
        <w: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Third Amendment to Credit Agreement (Powell Industries, Inc.)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4888-1961-8421 v.3</w:t>
      </w:r>
    </w:p>
    <w:p>
      <w:pPr>
        <w:sectPr>
          <w:pgSz w:w="11900" w:h="16838" w:orient="portrait"/>
          <w:cols w:equalWidth="0" w:num="1">
            <w:col w:w="11240"/>
          </w:cols>
          <w:pgMar w:left="320" w:top="96" w:right="339" w:bottom="1440" w:gutter="0" w:footer="0" w:header="0"/>
        </w:sectPr>
      </w:pPr>
    </w:p>
    <w:bookmarkStart w:id="213" w:name="page214"/>
    <w:bookmarkEnd w:id="213"/>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to Credit Agreement</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01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Initial Commitments and Applicable Percentages</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180" w:type="dxa"/>
            <w:vAlign w:val="bottom"/>
            <w:tcBorders>
              <w:top w:val="single" w:sz="8" w:color="auto"/>
              <w:left w:val="single" w:sz="8" w:color="auto"/>
              <w:bottom w:val="single" w:sz="8" w:color="auto"/>
            </w:tcBorders>
            <w:shd w:val="clear" w:color="auto" w:fill="F2DBDB"/>
          </w:tcPr>
          <w:p>
            <w:pPr>
              <w:spacing w:after="0"/>
              <w:rPr>
                <w:sz w:val="24"/>
                <w:szCs w:val="24"/>
                <w:color w:val="auto"/>
              </w:rPr>
            </w:pPr>
          </w:p>
        </w:tc>
        <w:tc>
          <w:tcPr>
            <w:tcW w:w="1920" w:type="dxa"/>
            <w:vAlign w:val="bottom"/>
            <w:tcBorders>
              <w:top w:val="single" w:sz="8" w:color="auto"/>
              <w:bottom w:val="single" w:sz="8" w:color="auto"/>
              <w:right w:val="single" w:sz="8" w:color="auto"/>
            </w:tcBorders>
            <w:gridSpan w:val="2"/>
            <w:shd w:val="clear" w:color="auto" w:fill="F2DBDB"/>
          </w:tcPr>
          <w:p>
            <w:pPr>
              <w:jc w:val="center"/>
              <w:ind w:right="1081"/>
              <w:spacing w:after="0"/>
              <w:rPr>
                <w:sz w:val="20"/>
                <w:szCs w:val="20"/>
                <w:color w:val="auto"/>
              </w:rPr>
            </w:pPr>
            <w:r>
              <w:rPr>
                <w:rFonts w:ascii="Times New Roman" w:cs="Times New Roman" w:eastAsia="Times New Roman" w:hAnsi="Times New Roman"/>
                <w:sz w:val="20"/>
                <w:szCs w:val="20"/>
                <w:b w:val="1"/>
                <w:bCs w:val="1"/>
                <w:color w:val="auto"/>
                <w:w w:val="99"/>
              </w:rPr>
              <w:t>Lender</w:t>
            </w:r>
          </w:p>
        </w:tc>
        <w:tc>
          <w:tcPr>
            <w:tcW w:w="2940" w:type="dxa"/>
            <w:vAlign w:val="bottom"/>
            <w:tcBorders>
              <w:top w:val="single" w:sz="8" w:color="auto"/>
              <w:bottom w:val="single" w:sz="8" w:color="auto"/>
            </w:tcBorders>
            <w:shd w:val="clear" w:color="auto" w:fill="F2DBDB"/>
          </w:tcPr>
          <w:p>
            <w:pPr>
              <w:spacing w:after="0"/>
              <w:rPr>
                <w:sz w:val="24"/>
                <w:szCs w:val="24"/>
                <w:color w:val="auto"/>
              </w:rPr>
            </w:pPr>
          </w:p>
        </w:tc>
        <w:tc>
          <w:tcPr>
            <w:tcW w:w="5220" w:type="dxa"/>
            <w:vAlign w:val="bottom"/>
            <w:tcBorders>
              <w:top w:val="single" w:sz="8" w:color="auto"/>
              <w:bottom w:val="single" w:sz="8" w:color="auto"/>
              <w:right w:val="single" w:sz="8" w:color="auto"/>
            </w:tcBorders>
            <w:gridSpan w:val="4"/>
            <w:shd w:val="clear" w:color="auto" w:fill="F2DBDB"/>
          </w:tcPr>
          <w:p>
            <w:pPr>
              <w:ind w:left="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tc>
      </w:tr>
      <w:tr>
        <w:trPr>
          <w:trHeight w:val="365"/>
        </w:trPr>
        <w:tc>
          <w:tcPr>
            <w:tcW w:w="1180" w:type="dxa"/>
            <w:vAlign w:val="bottom"/>
            <w:tcBorders>
              <w:left w:val="single" w:sz="8" w:color="auto"/>
            </w:tcBorders>
            <w:shd w:val="clear" w:color="auto" w:fill="D5DCE4"/>
          </w:tcPr>
          <w:p>
            <w:pPr>
              <w:spacing w:after="0"/>
              <w:rPr>
                <w:sz w:val="24"/>
                <w:szCs w:val="24"/>
                <w:color w:val="auto"/>
              </w:rPr>
            </w:pPr>
          </w:p>
        </w:tc>
        <w:tc>
          <w:tcPr>
            <w:tcW w:w="680" w:type="dxa"/>
            <w:vAlign w:val="bottom"/>
            <w:shd w:val="clear" w:color="auto" w:fill="D5DCE4"/>
          </w:tcPr>
          <w:p>
            <w:pPr>
              <w:spacing w:after="0"/>
              <w:rPr>
                <w:sz w:val="24"/>
                <w:szCs w:val="24"/>
                <w:color w:val="auto"/>
              </w:rPr>
            </w:pPr>
          </w:p>
        </w:tc>
        <w:tc>
          <w:tcPr>
            <w:tcW w:w="1240" w:type="dxa"/>
            <w:vAlign w:val="bottom"/>
            <w:tcBorders>
              <w:right w:val="single" w:sz="8" w:color="auto"/>
            </w:tcBorders>
            <w:shd w:val="clear" w:color="auto" w:fill="D5DCE4"/>
          </w:tcPr>
          <w:p>
            <w:pPr>
              <w:spacing w:after="0"/>
              <w:rPr>
                <w:sz w:val="24"/>
                <w:szCs w:val="24"/>
                <w:color w:val="auto"/>
              </w:rPr>
            </w:pPr>
          </w:p>
        </w:tc>
        <w:tc>
          <w:tcPr>
            <w:tcW w:w="2940" w:type="dxa"/>
            <w:vAlign w:val="bottom"/>
            <w:shd w:val="clear" w:color="auto" w:fill="D5DCE4"/>
          </w:tcPr>
          <w:p>
            <w:pPr>
              <w:spacing w:after="0"/>
              <w:rPr>
                <w:sz w:val="24"/>
                <w:szCs w:val="24"/>
                <w:color w:val="auto"/>
              </w:rPr>
            </w:pPr>
          </w:p>
        </w:tc>
        <w:tc>
          <w:tcPr>
            <w:tcW w:w="1580" w:type="dxa"/>
            <w:vAlign w:val="bottom"/>
            <w:tcBorders>
              <w:right w:val="single" w:sz="8" w:color="auto"/>
            </w:tcBorders>
            <w:shd w:val="clear" w:color="auto" w:fill="D5DCE4"/>
          </w:tcPr>
          <w:p>
            <w:pPr>
              <w:spacing w:after="0"/>
              <w:rPr>
                <w:sz w:val="24"/>
                <w:szCs w:val="24"/>
                <w:color w:val="auto"/>
              </w:rPr>
            </w:pPr>
          </w:p>
        </w:tc>
        <w:tc>
          <w:tcPr>
            <w:tcW w:w="3640" w:type="dxa"/>
            <w:vAlign w:val="bottom"/>
            <w:tcBorders>
              <w:right w:val="single" w:sz="8" w:color="auto"/>
            </w:tcBorders>
            <w:gridSpan w:val="3"/>
            <w:shd w:val="clear" w:color="auto" w:fill="D5DCE4"/>
          </w:tcPr>
          <w:p>
            <w:pPr>
              <w:jc w:val="center"/>
              <w:spacing w:after="0"/>
              <w:rPr>
                <w:sz w:val="20"/>
                <w:szCs w:val="20"/>
                <w:color w:val="auto"/>
              </w:rPr>
            </w:pPr>
            <w:r>
              <w:rPr>
                <w:rFonts w:ascii="Times New Roman" w:cs="Times New Roman" w:eastAsia="Times New Roman" w:hAnsi="Times New Roman"/>
                <w:sz w:val="20"/>
                <w:szCs w:val="20"/>
                <w:i w:val="1"/>
                <w:iCs w:val="1"/>
                <w:color w:val="auto"/>
                <w:highlight w:val="lightGray"/>
                <w:w w:val="98"/>
              </w:rPr>
              <w:t xml:space="preserve">Applicable Percentage </w:t>
            </w:r>
            <w:r>
              <w:rPr>
                <w:rFonts w:ascii="Times New Roman" w:cs="Times New Roman" w:eastAsia="Times New Roman" w:hAnsi="Times New Roman"/>
                <w:sz w:val="20"/>
                <w:szCs w:val="20"/>
                <w:color w:val="auto"/>
                <w:highlight w:val="lightGray"/>
                <w:w w:val="98"/>
              </w:rPr>
              <w:t>(</w:t>
            </w:r>
            <w:r>
              <w:rPr>
                <w:rFonts w:ascii="Times New Roman" w:cs="Times New Roman" w:eastAsia="Times New Roman" w:hAnsi="Times New Roman"/>
                <w:sz w:val="20"/>
                <w:szCs w:val="20"/>
                <w:i w:val="1"/>
                <w:iCs w:val="1"/>
                <w:color w:val="auto"/>
                <w:highlight w:val="lightGray"/>
                <w:w w:val="98"/>
              </w:rPr>
              <w:t>of Commitments</w:t>
            </w:r>
            <w:r>
              <w:rPr>
                <w:rFonts w:ascii="Times New Roman" w:cs="Times New Roman" w:eastAsia="Times New Roman" w:hAnsi="Times New Roman"/>
                <w:sz w:val="20"/>
                <w:szCs w:val="20"/>
                <w:color w:val="auto"/>
                <w:highlight w:val="lightGray"/>
                <w:w w:val="98"/>
              </w:rPr>
              <w:t>)</w:t>
            </w:r>
          </w:p>
        </w:tc>
      </w:tr>
      <w:tr>
        <w:trPr>
          <w:trHeight w:val="256"/>
        </w:trPr>
        <w:tc>
          <w:tcPr>
            <w:tcW w:w="1180" w:type="dxa"/>
            <w:vAlign w:val="bottom"/>
            <w:tcBorders>
              <w:left w:val="single" w:sz="8" w:color="auto"/>
            </w:tcBorders>
            <w:shd w:val="clear" w:color="auto" w:fill="D5DCE4"/>
          </w:tcPr>
          <w:p>
            <w:pPr>
              <w:spacing w:after="0"/>
              <w:rPr>
                <w:sz w:val="22"/>
                <w:szCs w:val="22"/>
                <w:color w:val="auto"/>
              </w:rPr>
            </w:pPr>
          </w:p>
        </w:tc>
        <w:tc>
          <w:tcPr>
            <w:tcW w:w="680" w:type="dxa"/>
            <w:vAlign w:val="bottom"/>
            <w:shd w:val="clear" w:color="auto" w:fill="D5DCE4"/>
          </w:tcPr>
          <w:p>
            <w:pPr>
              <w:spacing w:after="0"/>
              <w:rPr>
                <w:sz w:val="22"/>
                <w:szCs w:val="22"/>
                <w:color w:val="auto"/>
              </w:rPr>
            </w:pPr>
          </w:p>
        </w:tc>
        <w:tc>
          <w:tcPr>
            <w:tcW w:w="1240" w:type="dxa"/>
            <w:vAlign w:val="bottom"/>
            <w:tcBorders>
              <w:right w:val="single" w:sz="8" w:color="auto"/>
            </w:tcBorders>
            <w:shd w:val="clear" w:color="auto" w:fill="D5DCE4"/>
          </w:tcPr>
          <w:p>
            <w:pPr>
              <w:spacing w:after="0"/>
              <w:rPr>
                <w:sz w:val="22"/>
                <w:szCs w:val="22"/>
                <w:color w:val="auto"/>
              </w:rPr>
            </w:pPr>
          </w:p>
        </w:tc>
        <w:tc>
          <w:tcPr>
            <w:tcW w:w="4520" w:type="dxa"/>
            <w:vAlign w:val="bottom"/>
            <w:tcBorders>
              <w:right w:val="single" w:sz="8" w:color="auto"/>
            </w:tcBorders>
            <w:gridSpan w:val="2"/>
            <w:shd w:val="clear" w:color="auto" w:fill="D5DCE4"/>
          </w:tcPr>
          <w:p>
            <w:pPr>
              <w:jc w:val="center"/>
              <w:spacing w:after="0"/>
              <w:rPr>
                <w:sz w:val="20"/>
                <w:szCs w:val="20"/>
                <w:color w:val="auto"/>
              </w:rPr>
            </w:pPr>
            <w:r>
              <w:rPr>
                <w:rFonts w:ascii="Times New Roman" w:cs="Times New Roman" w:eastAsia="Times New Roman" w:hAnsi="Times New Roman"/>
                <w:sz w:val="20"/>
                <w:szCs w:val="20"/>
                <w:i w:val="1"/>
                <w:iCs w:val="1"/>
                <w:color w:val="auto"/>
                <w:highlight w:val="lightGray"/>
                <w:w w:val="98"/>
              </w:rPr>
              <w:t xml:space="preserve">Commitment </w:t>
            </w:r>
            <w:r>
              <w:rPr>
                <w:rFonts w:ascii="Times New Roman" w:cs="Times New Roman" w:eastAsia="Times New Roman" w:hAnsi="Times New Roman"/>
                <w:sz w:val="20"/>
                <w:szCs w:val="20"/>
                <w:color w:val="auto"/>
                <w:highlight w:val="lightGray"/>
                <w:w w:val="98"/>
              </w:rPr>
              <w:t>(</w:t>
            </w:r>
            <w:r>
              <w:rPr>
                <w:rFonts w:ascii="Times New Roman" w:cs="Times New Roman" w:eastAsia="Times New Roman" w:hAnsi="Times New Roman"/>
                <w:sz w:val="20"/>
                <w:szCs w:val="20"/>
                <w:i w:val="1"/>
                <w:iCs w:val="1"/>
                <w:color w:val="auto"/>
                <w:highlight w:val="lightGray"/>
                <w:w w:val="98"/>
              </w:rPr>
              <w:t>$</w:t>
            </w:r>
            <w:r>
              <w:rPr>
                <w:rFonts w:ascii="Times New Roman" w:cs="Times New Roman" w:eastAsia="Times New Roman" w:hAnsi="Times New Roman"/>
                <w:sz w:val="20"/>
                <w:szCs w:val="20"/>
                <w:color w:val="auto"/>
                <w:highlight w:val="lightGray"/>
                <w:w w:val="98"/>
              </w:rPr>
              <w:t>) (</w:t>
            </w:r>
            <w:r>
              <w:rPr>
                <w:rFonts w:ascii="Times New Roman" w:cs="Times New Roman" w:eastAsia="Times New Roman" w:hAnsi="Times New Roman"/>
                <w:sz w:val="20"/>
                <w:szCs w:val="20"/>
                <w:i w:val="1"/>
                <w:iCs w:val="1"/>
                <w:color w:val="auto"/>
                <w:highlight w:val="lightGray"/>
                <w:w w:val="98"/>
              </w:rPr>
              <w:t>as of the Third Amendment Effective</w:t>
            </w:r>
          </w:p>
        </w:tc>
        <w:tc>
          <w:tcPr>
            <w:tcW w:w="560" w:type="dxa"/>
            <w:vAlign w:val="bottom"/>
            <w:shd w:val="clear" w:color="auto" w:fill="D5DCE4"/>
          </w:tcPr>
          <w:p>
            <w:pPr>
              <w:jc w:val="right"/>
              <w:spacing w:after="0"/>
              <w:rPr>
                <w:sz w:val="20"/>
                <w:szCs w:val="20"/>
                <w:color w:val="auto"/>
              </w:rPr>
            </w:pPr>
            <w:r>
              <w:rPr>
                <w:rFonts w:ascii="Times New Roman" w:cs="Times New Roman" w:eastAsia="Times New Roman" w:hAnsi="Times New Roman"/>
                <w:sz w:val="20"/>
                <w:szCs w:val="20"/>
                <w:color w:val="auto"/>
                <w:highlight w:val="lightGray"/>
              </w:rPr>
              <w:t>(</w:t>
            </w:r>
            <w:r>
              <w:rPr>
                <w:rFonts w:ascii="Times New Roman" w:cs="Times New Roman" w:eastAsia="Times New Roman" w:hAnsi="Times New Roman"/>
                <w:sz w:val="20"/>
                <w:szCs w:val="20"/>
                <w:i w:val="1"/>
                <w:iCs w:val="1"/>
                <w:color w:val="auto"/>
                <w:highlight w:val="lightGray"/>
              </w:rPr>
              <w:t>%</w:t>
            </w:r>
            <w:r>
              <w:rPr>
                <w:rFonts w:ascii="Times New Roman" w:cs="Times New Roman" w:eastAsia="Times New Roman" w:hAnsi="Times New Roman"/>
                <w:sz w:val="20"/>
                <w:szCs w:val="20"/>
                <w:color w:val="auto"/>
                <w:highlight w:val="lightGray"/>
              </w:rPr>
              <w:t>) (</w:t>
            </w:r>
          </w:p>
        </w:tc>
        <w:tc>
          <w:tcPr>
            <w:tcW w:w="3080" w:type="dxa"/>
            <w:vAlign w:val="bottom"/>
            <w:tcBorders>
              <w:right w:val="single" w:sz="8" w:color="auto"/>
            </w:tcBorders>
            <w:gridSpan w:val="2"/>
            <w:shd w:val="clear" w:color="auto" w:fill="D5DCE4"/>
          </w:tcPr>
          <w:p>
            <w:pPr>
              <w:jc w:val="center"/>
              <w:ind w:right="101"/>
              <w:spacing w:after="0"/>
              <w:rPr>
                <w:sz w:val="20"/>
                <w:szCs w:val="20"/>
                <w:color w:val="auto"/>
              </w:rPr>
            </w:pPr>
            <w:r>
              <w:rPr>
                <w:rFonts w:ascii="Times New Roman" w:cs="Times New Roman" w:eastAsia="Times New Roman" w:hAnsi="Times New Roman"/>
                <w:sz w:val="20"/>
                <w:szCs w:val="20"/>
                <w:i w:val="1"/>
                <w:iCs w:val="1"/>
                <w:color w:val="auto"/>
                <w:w w:val="98"/>
              </w:rPr>
              <w:t>as of the Third Amendment Effective</w:t>
            </w:r>
          </w:p>
        </w:tc>
      </w:tr>
      <w:tr>
        <w:trPr>
          <w:trHeight w:val="270"/>
        </w:trPr>
        <w:tc>
          <w:tcPr>
            <w:tcW w:w="1180" w:type="dxa"/>
            <w:vAlign w:val="bottom"/>
            <w:tcBorders>
              <w:left w:val="single" w:sz="8" w:color="auto"/>
            </w:tcBorders>
            <w:shd w:val="clear" w:color="auto" w:fill="D5DCE4"/>
          </w:tcPr>
          <w:p>
            <w:pPr>
              <w:spacing w:after="0"/>
              <w:rPr>
                <w:sz w:val="23"/>
                <w:szCs w:val="23"/>
                <w:color w:val="auto"/>
              </w:rPr>
            </w:pPr>
          </w:p>
        </w:tc>
        <w:tc>
          <w:tcPr>
            <w:tcW w:w="680" w:type="dxa"/>
            <w:vAlign w:val="bottom"/>
            <w:shd w:val="clear" w:color="auto" w:fill="D5DCE4"/>
          </w:tcPr>
          <w:p>
            <w:pPr>
              <w:spacing w:after="0"/>
              <w:rPr>
                <w:sz w:val="23"/>
                <w:szCs w:val="23"/>
                <w:color w:val="auto"/>
              </w:rPr>
            </w:pPr>
          </w:p>
        </w:tc>
        <w:tc>
          <w:tcPr>
            <w:tcW w:w="1240" w:type="dxa"/>
            <w:vAlign w:val="bottom"/>
            <w:tcBorders>
              <w:right w:val="single" w:sz="8" w:color="auto"/>
            </w:tcBorders>
            <w:shd w:val="clear" w:color="auto" w:fill="D5DCE4"/>
          </w:tcPr>
          <w:p>
            <w:pPr>
              <w:spacing w:after="0"/>
              <w:rPr>
                <w:sz w:val="23"/>
                <w:szCs w:val="23"/>
                <w:color w:val="auto"/>
              </w:rPr>
            </w:pPr>
          </w:p>
        </w:tc>
        <w:tc>
          <w:tcPr>
            <w:tcW w:w="2940" w:type="dxa"/>
            <w:vAlign w:val="bottom"/>
            <w:shd w:val="clear" w:color="auto" w:fill="D5DCE4"/>
          </w:tcPr>
          <w:p>
            <w:pPr>
              <w:jc w:val="center"/>
              <w:ind w:left="1441"/>
              <w:spacing w:after="0"/>
              <w:rPr>
                <w:sz w:val="20"/>
                <w:szCs w:val="20"/>
                <w:color w:val="auto"/>
              </w:rPr>
            </w:pPr>
            <w:r>
              <w:rPr>
                <w:rFonts w:ascii="Times New Roman" w:cs="Times New Roman" w:eastAsia="Times New Roman" w:hAnsi="Times New Roman"/>
                <w:sz w:val="20"/>
                <w:szCs w:val="20"/>
                <w:i w:val="1"/>
                <w:iCs w:val="1"/>
                <w:color w:val="auto"/>
                <w:highlight w:val="lightGray"/>
                <w:w w:val="96"/>
              </w:rPr>
              <w:t>Date</w:t>
            </w:r>
            <w:r>
              <w:rPr>
                <w:rFonts w:ascii="Times New Roman" w:cs="Times New Roman" w:eastAsia="Times New Roman" w:hAnsi="Times New Roman"/>
                <w:sz w:val="20"/>
                <w:szCs w:val="20"/>
                <w:color w:val="auto"/>
                <w:highlight w:val="lightGray"/>
                <w:w w:val="96"/>
              </w:rPr>
              <w:t>)</w:t>
            </w:r>
          </w:p>
        </w:tc>
        <w:tc>
          <w:tcPr>
            <w:tcW w:w="1580" w:type="dxa"/>
            <w:vAlign w:val="bottom"/>
            <w:tcBorders>
              <w:right w:val="single" w:sz="8" w:color="auto"/>
            </w:tcBorders>
            <w:shd w:val="clear" w:color="auto" w:fill="D5DCE4"/>
          </w:tcPr>
          <w:p>
            <w:pPr>
              <w:spacing w:after="0"/>
              <w:rPr>
                <w:sz w:val="23"/>
                <w:szCs w:val="23"/>
                <w:color w:val="auto"/>
              </w:rPr>
            </w:pPr>
          </w:p>
        </w:tc>
        <w:tc>
          <w:tcPr>
            <w:tcW w:w="560" w:type="dxa"/>
            <w:vAlign w:val="bottom"/>
            <w:shd w:val="clear" w:color="auto" w:fill="D5DCE4"/>
          </w:tcPr>
          <w:p>
            <w:pPr>
              <w:spacing w:after="0"/>
              <w:rPr>
                <w:sz w:val="23"/>
                <w:szCs w:val="23"/>
                <w:color w:val="auto"/>
              </w:rPr>
            </w:pPr>
          </w:p>
        </w:tc>
        <w:tc>
          <w:tcPr>
            <w:tcW w:w="1380" w:type="dxa"/>
            <w:vAlign w:val="bottom"/>
            <w:shd w:val="clear" w:color="auto" w:fill="D5DCE4"/>
          </w:tcPr>
          <w:p>
            <w:pPr>
              <w:ind w:left="1000"/>
              <w:spacing w:after="0"/>
              <w:rPr>
                <w:sz w:val="20"/>
                <w:szCs w:val="20"/>
                <w:color w:val="auto"/>
              </w:rPr>
            </w:pPr>
            <w:r>
              <w:rPr>
                <w:rFonts w:ascii="Times New Roman" w:cs="Times New Roman" w:eastAsia="Times New Roman" w:hAnsi="Times New Roman"/>
                <w:sz w:val="20"/>
                <w:szCs w:val="20"/>
                <w:i w:val="1"/>
                <w:iCs w:val="1"/>
                <w:color w:val="auto"/>
                <w:w w:val="92"/>
              </w:rPr>
              <w:t>Date</w:t>
            </w:r>
          </w:p>
        </w:tc>
        <w:tc>
          <w:tcPr>
            <w:tcW w:w="1700" w:type="dxa"/>
            <w:vAlign w:val="bottom"/>
            <w:tcBorders>
              <w:right w:val="single" w:sz="8" w:color="auto"/>
            </w:tcBorders>
            <w:shd w:val="clear" w:color="auto" w:fill="D5DCE4"/>
          </w:tcPr>
          <w:p>
            <w:pPr>
              <w:jc w:val="right"/>
              <w:ind w:right="1521"/>
              <w:spacing w:after="0"/>
              <w:rPr>
                <w:sz w:val="20"/>
                <w:szCs w:val="20"/>
                <w:color w:val="auto"/>
              </w:rPr>
            </w:pPr>
            <w:r>
              <w:rPr>
                <w:rFonts w:ascii="Times New Roman" w:cs="Times New Roman" w:eastAsia="Times New Roman" w:hAnsi="Times New Roman"/>
                <w:sz w:val="20"/>
                <w:szCs w:val="20"/>
                <w:color w:val="auto"/>
                <w:highlight w:val="lightGray"/>
                <w:w w:val="89"/>
              </w:rPr>
              <w:t>)</w:t>
            </w:r>
          </w:p>
        </w:tc>
      </w:tr>
      <w:tr>
        <w:trPr>
          <w:trHeight w:val="183"/>
        </w:trPr>
        <w:tc>
          <w:tcPr>
            <w:tcW w:w="1180" w:type="dxa"/>
            <w:vAlign w:val="bottom"/>
            <w:tcBorders>
              <w:left w:val="single" w:sz="8" w:color="auto"/>
              <w:bottom w:val="single" w:sz="8" w:color="auto"/>
            </w:tcBorders>
            <w:shd w:val="clear" w:color="auto" w:fill="D5DCE4"/>
          </w:tcPr>
          <w:p>
            <w:pPr>
              <w:spacing w:after="0"/>
              <w:rPr>
                <w:sz w:val="15"/>
                <w:szCs w:val="15"/>
                <w:color w:val="auto"/>
              </w:rPr>
            </w:pPr>
          </w:p>
        </w:tc>
        <w:tc>
          <w:tcPr>
            <w:tcW w:w="680" w:type="dxa"/>
            <w:vAlign w:val="bottom"/>
            <w:tcBorders>
              <w:bottom w:val="single" w:sz="8" w:color="auto"/>
            </w:tcBorders>
            <w:shd w:val="clear" w:color="auto" w:fill="D5DCE4"/>
          </w:tcPr>
          <w:p>
            <w:pPr>
              <w:spacing w:after="0"/>
              <w:rPr>
                <w:sz w:val="15"/>
                <w:szCs w:val="15"/>
                <w:color w:val="auto"/>
              </w:rPr>
            </w:pPr>
          </w:p>
        </w:tc>
        <w:tc>
          <w:tcPr>
            <w:tcW w:w="1240" w:type="dxa"/>
            <w:vAlign w:val="bottom"/>
            <w:tcBorders>
              <w:bottom w:val="single" w:sz="8" w:color="auto"/>
              <w:right w:val="single" w:sz="8" w:color="auto"/>
            </w:tcBorders>
            <w:shd w:val="clear" w:color="auto" w:fill="D5DCE4"/>
          </w:tcPr>
          <w:p>
            <w:pPr>
              <w:spacing w:after="0"/>
              <w:rPr>
                <w:sz w:val="15"/>
                <w:szCs w:val="15"/>
                <w:color w:val="auto"/>
              </w:rPr>
            </w:pPr>
          </w:p>
        </w:tc>
        <w:tc>
          <w:tcPr>
            <w:tcW w:w="2940" w:type="dxa"/>
            <w:vAlign w:val="bottom"/>
            <w:tcBorders>
              <w:bottom w:val="single" w:sz="8" w:color="auto"/>
            </w:tcBorders>
            <w:shd w:val="clear" w:color="auto" w:fill="D5DCE4"/>
          </w:tcPr>
          <w:p>
            <w:pPr>
              <w:spacing w:after="0"/>
              <w:rPr>
                <w:sz w:val="15"/>
                <w:szCs w:val="15"/>
                <w:color w:val="auto"/>
              </w:rPr>
            </w:pPr>
          </w:p>
        </w:tc>
        <w:tc>
          <w:tcPr>
            <w:tcW w:w="1580" w:type="dxa"/>
            <w:vAlign w:val="bottom"/>
            <w:tcBorders>
              <w:bottom w:val="single" w:sz="8" w:color="auto"/>
              <w:right w:val="single" w:sz="8" w:color="auto"/>
            </w:tcBorders>
            <w:shd w:val="clear" w:color="auto" w:fill="D5DCE4"/>
          </w:tcPr>
          <w:p>
            <w:pPr>
              <w:spacing w:after="0"/>
              <w:rPr>
                <w:sz w:val="15"/>
                <w:szCs w:val="15"/>
                <w:color w:val="auto"/>
              </w:rPr>
            </w:pPr>
          </w:p>
        </w:tc>
        <w:tc>
          <w:tcPr>
            <w:tcW w:w="560" w:type="dxa"/>
            <w:vAlign w:val="bottom"/>
            <w:tcBorders>
              <w:bottom w:val="single" w:sz="8" w:color="auto"/>
            </w:tcBorders>
            <w:shd w:val="clear" w:color="auto" w:fill="D5DCE4"/>
          </w:tcPr>
          <w:p>
            <w:pPr>
              <w:spacing w:after="0"/>
              <w:rPr>
                <w:sz w:val="15"/>
                <w:szCs w:val="15"/>
                <w:color w:val="auto"/>
              </w:rPr>
            </w:pPr>
          </w:p>
        </w:tc>
        <w:tc>
          <w:tcPr>
            <w:tcW w:w="1380" w:type="dxa"/>
            <w:vAlign w:val="bottom"/>
            <w:tcBorders>
              <w:bottom w:val="single" w:sz="8" w:color="auto"/>
            </w:tcBorders>
            <w:shd w:val="clear" w:color="auto" w:fill="D5DCE4"/>
          </w:tcPr>
          <w:p>
            <w:pPr>
              <w:spacing w:after="0"/>
              <w:rPr>
                <w:sz w:val="15"/>
                <w:szCs w:val="15"/>
                <w:color w:val="auto"/>
              </w:rPr>
            </w:pPr>
          </w:p>
        </w:tc>
        <w:tc>
          <w:tcPr>
            <w:tcW w:w="1700" w:type="dxa"/>
            <w:vAlign w:val="bottom"/>
            <w:tcBorders>
              <w:bottom w:val="single" w:sz="8" w:color="auto"/>
              <w:right w:val="single" w:sz="8" w:color="auto"/>
            </w:tcBorders>
            <w:shd w:val="clear" w:color="auto" w:fill="D5DCE4"/>
          </w:tcPr>
          <w:p>
            <w:pPr>
              <w:spacing w:after="0"/>
              <w:rPr>
                <w:sz w:val="15"/>
                <w:szCs w:val="15"/>
                <w:color w:val="auto"/>
              </w:rPr>
            </w:pPr>
          </w:p>
        </w:tc>
      </w:tr>
      <w:tr>
        <w:trPr>
          <w:trHeight w:val="257"/>
        </w:trPr>
        <w:tc>
          <w:tcPr>
            <w:tcW w:w="1180" w:type="dxa"/>
            <w:vAlign w:val="bottom"/>
            <w:tcBorders>
              <w:left w:val="single" w:sz="8" w:color="auto"/>
              <w:bottom w:val="single" w:sz="8" w:color="auto"/>
            </w:tcBorders>
            <w:shd w:val="clear" w:color="auto" w:fill="F2F2F2"/>
          </w:tcPr>
          <w:p>
            <w:pPr>
              <w:spacing w:after="0"/>
              <w:rPr>
                <w:sz w:val="22"/>
                <w:szCs w:val="22"/>
                <w:color w:val="auto"/>
              </w:rPr>
            </w:pPr>
          </w:p>
        </w:tc>
        <w:tc>
          <w:tcPr>
            <w:tcW w:w="680" w:type="dxa"/>
            <w:vAlign w:val="bottom"/>
            <w:tcBorders>
              <w:bottom w:val="single" w:sz="8" w:color="auto"/>
            </w:tcBorders>
            <w:shd w:val="clear" w:color="auto" w:fill="F2F2F2"/>
          </w:tcPr>
          <w:p>
            <w:pPr>
              <w:spacing w:after="0"/>
              <w:rPr>
                <w:sz w:val="22"/>
                <w:szCs w:val="22"/>
                <w:color w:val="auto"/>
              </w:rPr>
            </w:pPr>
          </w:p>
        </w:tc>
        <w:tc>
          <w:tcPr>
            <w:tcW w:w="1240" w:type="dxa"/>
            <w:vAlign w:val="bottom"/>
            <w:tcBorders>
              <w:bottom w:val="single" w:sz="8" w:color="auto"/>
              <w:right w:val="single" w:sz="8" w:color="F2F2F2"/>
            </w:tcBorders>
            <w:shd w:val="clear" w:color="auto" w:fill="F2F2F2"/>
          </w:tcPr>
          <w:p>
            <w:pPr>
              <w:spacing w:after="0"/>
              <w:rPr>
                <w:sz w:val="22"/>
                <w:szCs w:val="22"/>
                <w:color w:val="auto"/>
              </w:rPr>
            </w:pPr>
          </w:p>
        </w:tc>
        <w:tc>
          <w:tcPr>
            <w:tcW w:w="2940" w:type="dxa"/>
            <w:vAlign w:val="bottom"/>
            <w:tcBorders>
              <w:bottom w:val="single" w:sz="8" w:color="auto"/>
            </w:tcBorders>
            <w:shd w:val="clear" w:color="auto" w:fill="F2F2F2"/>
          </w:tcPr>
          <w:p>
            <w:pPr>
              <w:spacing w:after="0"/>
              <w:rPr>
                <w:sz w:val="22"/>
                <w:szCs w:val="22"/>
                <w:color w:val="auto"/>
              </w:rPr>
            </w:pPr>
          </w:p>
        </w:tc>
        <w:tc>
          <w:tcPr>
            <w:tcW w:w="1580" w:type="dxa"/>
            <w:vAlign w:val="bottom"/>
            <w:tcBorders>
              <w:bottom w:val="single" w:sz="8" w:color="auto"/>
              <w:right w:val="single" w:sz="8" w:color="F2F2F2"/>
            </w:tcBorders>
            <w:shd w:val="clear" w:color="auto" w:fill="F2F2F2"/>
          </w:tcPr>
          <w:p>
            <w:pPr>
              <w:spacing w:after="0"/>
              <w:rPr>
                <w:sz w:val="22"/>
                <w:szCs w:val="22"/>
                <w:color w:val="auto"/>
              </w:rPr>
            </w:pPr>
          </w:p>
        </w:tc>
        <w:tc>
          <w:tcPr>
            <w:tcW w:w="560" w:type="dxa"/>
            <w:vAlign w:val="bottom"/>
            <w:tcBorders>
              <w:bottom w:val="single" w:sz="8" w:color="auto"/>
            </w:tcBorders>
            <w:shd w:val="clear" w:color="auto" w:fill="F2F2F2"/>
          </w:tcPr>
          <w:p>
            <w:pPr>
              <w:spacing w:after="0"/>
              <w:rPr>
                <w:sz w:val="22"/>
                <w:szCs w:val="22"/>
                <w:color w:val="auto"/>
              </w:rPr>
            </w:pPr>
          </w:p>
        </w:tc>
        <w:tc>
          <w:tcPr>
            <w:tcW w:w="1380" w:type="dxa"/>
            <w:vAlign w:val="bottom"/>
            <w:tcBorders>
              <w:bottom w:val="single" w:sz="8" w:color="auto"/>
            </w:tcBorders>
            <w:shd w:val="clear" w:color="auto" w:fill="F2F2F2"/>
          </w:tcPr>
          <w:p>
            <w:pPr>
              <w:spacing w:after="0"/>
              <w:rPr>
                <w:sz w:val="22"/>
                <w:szCs w:val="22"/>
                <w:color w:val="auto"/>
              </w:rPr>
            </w:pPr>
          </w:p>
        </w:tc>
        <w:tc>
          <w:tcPr>
            <w:tcW w:w="1700" w:type="dxa"/>
            <w:vAlign w:val="bottom"/>
            <w:tcBorders>
              <w:bottom w:val="single" w:sz="8" w:color="auto"/>
              <w:right w:val="single" w:sz="8" w:color="auto"/>
            </w:tcBorders>
            <w:shd w:val="clear" w:color="auto" w:fill="F2F2F2"/>
          </w:tcPr>
          <w:p>
            <w:pPr>
              <w:spacing w:after="0"/>
              <w:rPr>
                <w:sz w:val="22"/>
                <w:szCs w:val="22"/>
                <w:color w:val="auto"/>
              </w:rPr>
            </w:pPr>
          </w:p>
        </w:tc>
      </w:tr>
      <w:tr>
        <w:trPr>
          <w:trHeight w:val="250"/>
        </w:trPr>
        <w:tc>
          <w:tcPr>
            <w:tcW w:w="31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Bank of America, N.A.</w:t>
            </w:r>
          </w:p>
        </w:tc>
        <w:tc>
          <w:tcPr>
            <w:tcW w:w="2940" w:type="dxa"/>
            <w:vAlign w:val="bottom"/>
            <w:tcBorders>
              <w:bottom w:val="single" w:sz="8" w:color="auto"/>
            </w:tcBorders>
          </w:tcPr>
          <w:p>
            <w:pPr>
              <w:jc w:val="center"/>
              <w:ind w:left="1421"/>
              <w:spacing w:after="0"/>
              <w:rPr>
                <w:sz w:val="20"/>
                <w:szCs w:val="20"/>
                <w:color w:val="auto"/>
              </w:rPr>
            </w:pPr>
            <w:r>
              <w:rPr>
                <w:rFonts w:ascii="Times New Roman" w:cs="Times New Roman" w:eastAsia="Times New Roman" w:hAnsi="Times New Roman"/>
                <w:sz w:val="20"/>
                <w:szCs w:val="20"/>
                <w:color w:val="auto"/>
                <w:w w:val="99"/>
              </w:rPr>
              <w:t>$100,000,000.00</w:t>
            </w:r>
          </w:p>
        </w:tc>
        <w:tc>
          <w:tcPr>
            <w:tcW w:w="1580" w:type="dxa"/>
            <w:vAlign w:val="bottom"/>
            <w:tcBorders>
              <w:bottom w:val="single" w:sz="8" w:color="auto"/>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66.666666667%</w:t>
            </w:r>
          </w:p>
        </w:tc>
      </w:tr>
      <w:tr>
        <w:trPr>
          <w:trHeight w:val="250"/>
        </w:trPr>
        <w:tc>
          <w:tcPr>
            <w:tcW w:w="31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Texas Capital Bank</w:t>
            </w:r>
          </w:p>
        </w:tc>
        <w:tc>
          <w:tcPr>
            <w:tcW w:w="2940" w:type="dxa"/>
            <w:vAlign w:val="bottom"/>
            <w:tcBorders>
              <w:bottom w:val="single" w:sz="8" w:color="auto"/>
            </w:tcBorders>
          </w:tcPr>
          <w:p>
            <w:pPr>
              <w:jc w:val="center"/>
              <w:ind w:left="1441"/>
              <w:spacing w:after="0"/>
              <w:rPr>
                <w:sz w:val="20"/>
                <w:szCs w:val="20"/>
                <w:color w:val="auto"/>
              </w:rPr>
            </w:pPr>
            <w:r>
              <w:rPr>
                <w:rFonts w:ascii="Times New Roman" w:cs="Times New Roman" w:eastAsia="Times New Roman" w:hAnsi="Times New Roman"/>
                <w:sz w:val="20"/>
                <w:szCs w:val="20"/>
                <w:color w:val="auto"/>
                <w:w w:val="99"/>
              </w:rPr>
              <w:t>$50,000,000.00</w:t>
            </w:r>
          </w:p>
        </w:tc>
        <w:tc>
          <w:tcPr>
            <w:tcW w:w="1580" w:type="dxa"/>
            <w:vAlign w:val="bottom"/>
            <w:tcBorders>
              <w:bottom w:val="single" w:sz="8" w:color="auto"/>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33.333333333%</w:t>
            </w:r>
          </w:p>
        </w:tc>
      </w:tr>
      <w:tr>
        <w:trPr>
          <w:trHeight w:val="243"/>
        </w:trPr>
        <w:tc>
          <w:tcPr>
            <w:tcW w:w="1180" w:type="dxa"/>
            <w:vAlign w:val="bottom"/>
            <w:tcBorders>
              <w:left w:val="single" w:sz="8" w:color="auto"/>
              <w:bottom w:val="single" w:sz="8" w:color="auto"/>
            </w:tcBorders>
            <w:shd w:val="clear" w:color="auto" w:fill="F2F2F2"/>
          </w:tcPr>
          <w:p>
            <w:pPr>
              <w:spacing w:after="0"/>
              <w:rPr>
                <w:sz w:val="21"/>
                <w:szCs w:val="21"/>
                <w:color w:val="auto"/>
              </w:rPr>
            </w:pPr>
          </w:p>
        </w:tc>
        <w:tc>
          <w:tcPr>
            <w:tcW w:w="680" w:type="dxa"/>
            <w:vAlign w:val="bottom"/>
            <w:tcBorders>
              <w:bottom w:val="single" w:sz="8" w:color="auto"/>
            </w:tcBorders>
            <w:shd w:val="clear" w:color="auto" w:fill="F2F2F2"/>
          </w:tcPr>
          <w:p>
            <w:pPr>
              <w:spacing w:after="0"/>
              <w:rPr>
                <w:sz w:val="21"/>
                <w:szCs w:val="21"/>
                <w:color w:val="auto"/>
              </w:rPr>
            </w:pPr>
          </w:p>
        </w:tc>
        <w:tc>
          <w:tcPr>
            <w:tcW w:w="1240" w:type="dxa"/>
            <w:vAlign w:val="bottom"/>
            <w:tcBorders>
              <w:bottom w:val="single" w:sz="8" w:color="auto"/>
              <w:right w:val="single" w:sz="8" w:color="F2F2F2"/>
            </w:tcBorders>
            <w:shd w:val="clear" w:color="auto" w:fill="F2F2F2"/>
          </w:tcPr>
          <w:p>
            <w:pPr>
              <w:spacing w:after="0"/>
              <w:rPr>
                <w:sz w:val="21"/>
                <w:szCs w:val="21"/>
                <w:color w:val="auto"/>
              </w:rPr>
            </w:pPr>
          </w:p>
        </w:tc>
        <w:tc>
          <w:tcPr>
            <w:tcW w:w="2940" w:type="dxa"/>
            <w:vAlign w:val="bottom"/>
            <w:tcBorders>
              <w:bottom w:val="single" w:sz="8" w:color="auto"/>
            </w:tcBorders>
            <w:shd w:val="clear" w:color="auto" w:fill="F2F2F2"/>
          </w:tcPr>
          <w:p>
            <w:pPr>
              <w:spacing w:after="0"/>
              <w:rPr>
                <w:sz w:val="21"/>
                <w:szCs w:val="21"/>
                <w:color w:val="auto"/>
              </w:rPr>
            </w:pPr>
          </w:p>
        </w:tc>
        <w:tc>
          <w:tcPr>
            <w:tcW w:w="1580" w:type="dxa"/>
            <w:vAlign w:val="bottom"/>
            <w:tcBorders>
              <w:bottom w:val="single" w:sz="8" w:color="auto"/>
              <w:right w:val="single" w:sz="8" w:color="F2F2F2"/>
            </w:tcBorders>
            <w:shd w:val="clear" w:color="auto" w:fill="F2F2F2"/>
          </w:tcPr>
          <w:p>
            <w:pPr>
              <w:spacing w:after="0"/>
              <w:rPr>
                <w:sz w:val="21"/>
                <w:szCs w:val="21"/>
                <w:color w:val="auto"/>
              </w:rPr>
            </w:pPr>
          </w:p>
        </w:tc>
        <w:tc>
          <w:tcPr>
            <w:tcW w:w="560" w:type="dxa"/>
            <w:vAlign w:val="bottom"/>
            <w:tcBorders>
              <w:bottom w:val="single" w:sz="8" w:color="auto"/>
            </w:tcBorders>
            <w:shd w:val="clear" w:color="auto" w:fill="F2F2F2"/>
          </w:tcPr>
          <w:p>
            <w:pPr>
              <w:spacing w:after="0"/>
              <w:rPr>
                <w:sz w:val="21"/>
                <w:szCs w:val="21"/>
                <w:color w:val="auto"/>
              </w:rPr>
            </w:pPr>
          </w:p>
        </w:tc>
        <w:tc>
          <w:tcPr>
            <w:tcW w:w="1380" w:type="dxa"/>
            <w:vAlign w:val="bottom"/>
            <w:tcBorders>
              <w:bottom w:val="single" w:sz="8" w:color="auto"/>
            </w:tcBorders>
            <w:shd w:val="clear" w:color="auto" w:fill="F2F2F2"/>
          </w:tcPr>
          <w:p>
            <w:pPr>
              <w:spacing w:after="0"/>
              <w:rPr>
                <w:sz w:val="21"/>
                <w:szCs w:val="21"/>
                <w:color w:val="auto"/>
              </w:rPr>
            </w:pPr>
          </w:p>
        </w:tc>
        <w:tc>
          <w:tcPr>
            <w:tcW w:w="1700" w:type="dxa"/>
            <w:vAlign w:val="bottom"/>
            <w:tcBorders>
              <w:bottom w:val="single" w:sz="8" w:color="auto"/>
              <w:right w:val="single" w:sz="8" w:color="auto"/>
            </w:tcBorders>
            <w:shd w:val="clear" w:color="auto" w:fill="F2F2F2"/>
          </w:tcPr>
          <w:p>
            <w:pPr>
              <w:spacing w:after="0"/>
              <w:rPr>
                <w:sz w:val="21"/>
                <w:szCs w:val="21"/>
                <w:color w:val="auto"/>
              </w:rPr>
            </w:pPr>
          </w:p>
        </w:tc>
      </w:tr>
      <w:tr>
        <w:trPr>
          <w:trHeight w:val="270"/>
        </w:trPr>
        <w:tc>
          <w:tcPr>
            <w:tcW w:w="1180" w:type="dxa"/>
            <w:vAlign w:val="bottom"/>
            <w:tcBorders>
              <w:left w:val="single" w:sz="8" w:color="auto"/>
              <w:bottom w:val="single" w:sz="8" w:color="D5DCE4"/>
            </w:tcBorders>
            <w:shd w:val="clear" w:color="auto" w:fill="D5DCE4"/>
          </w:tcPr>
          <w:p>
            <w:pPr>
              <w:spacing w:after="0"/>
              <w:rPr>
                <w:sz w:val="23"/>
                <w:szCs w:val="23"/>
                <w:color w:val="auto"/>
              </w:rPr>
            </w:pPr>
          </w:p>
        </w:tc>
        <w:tc>
          <w:tcPr>
            <w:tcW w:w="680" w:type="dxa"/>
            <w:vAlign w:val="bottom"/>
            <w:tcBorders>
              <w:bottom w:val="single" w:sz="8" w:color="auto"/>
            </w:tcBorders>
            <w:shd w:val="clear" w:color="auto" w:fill="D5DCE4"/>
          </w:tcPr>
          <w:p>
            <w:pPr>
              <w:spacing w:after="0"/>
              <w:rPr>
                <w:sz w:val="20"/>
                <w:szCs w:val="20"/>
                <w:color w:val="auto"/>
              </w:rPr>
            </w:pPr>
            <w:r>
              <w:rPr>
                <w:rFonts w:ascii="Times New Roman" w:cs="Times New Roman" w:eastAsia="Times New Roman" w:hAnsi="Times New Roman"/>
                <w:sz w:val="20"/>
                <w:szCs w:val="20"/>
                <w:b w:val="1"/>
                <w:bCs w:val="1"/>
                <w:color w:val="auto"/>
                <w:highlight w:val="lightGray"/>
                <w:w w:val="94"/>
              </w:rPr>
              <w:t>TOTAL</w:t>
            </w:r>
          </w:p>
        </w:tc>
        <w:tc>
          <w:tcPr>
            <w:tcW w:w="1240" w:type="dxa"/>
            <w:vAlign w:val="bottom"/>
            <w:tcBorders>
              <w:bottom w:val="single" w:sz="8" w:color="D5DCE4"/>
              <w:right w:val="single" w:sz="8" w:color="auto"/>
            </w:tcBorders>
            <w:shd w:val="clear" w:color="auto" w:fill="D5DCE4"/>
          </w:tcPr>
          <w:p>
            <w:pPr>
              <w:jc w:val="right"/>
              <w:ind w:right="1081"/>
              <w:spacing w:after="0"/>
              <w:rPr>
                <w:sz w:val="20"/>
                <w:szCs w:val="20"/>
                <w:color w:val="auto"/>
              </w:rPr>
            </w:pPr>
            <w:r>
              <w:rPr>
                <w:rFonts w:ascii="Times New Roman" w:cs="Times New Roman" w:eastAsia="Times New Roman" w:hAnsi="Times New Roman"/>
                <w:sz w:val="20"/>
                <w:szCs w:val="20"/>
                <w:color w:val="auto"/>
                <w:w w:val="71"/>
              </w:rPr>
              <w:t>:</w:t>
            </w:r>
          </w:p>
        </w:tc>
        <w:tc>
          <w:tcPr>
            <w:tcW w:w="294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9"/>
              </w:rPr>
              <w:t>$150,000,000.00</w:t>
            </w:r>
          </w:p>
        </w:tc>
        <w:tc>
          <w:tcPr>
            <w:tcW w:w="1580" w:type="dxa"/>
            <w:vAlign w:val="bottom"/>
            <w:tcBorders>
              <w:right w:val="single" w:sz="8" w:color="auto"/>
            </w:tcBorders>
          </w:tcPr>
          <w:p>
            <w:pPr>
              <w:spacing w:after="0"/>
              <w:rPr>
                <w:sz w:val="23"/>
                <w:szCs w:val="23"/>
                <w:color w:val="auto"/>
              </w:rPr>
            </w:pPr>
          </w:p>
        </w:tc>
        <w:tc>
          <w:tcPr>
            <w:tcW w:w="36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100.000000000%</w:t>
            </w:r>
          </w:p>
        </w:tc>
      </w:tr>
      <w:tr>
        <w:trPr>
          <w:trHeight w:val="108"/>
        </w:trPr>
        <w:tc>
          <w:tcPr>
            <w:tcW w:w="1180" w:type="dxa"/>
            <w:vAlign w:val="bottom"/>
            <w:tcBorders>
              <w:left w:val="single" w:sz="8" w:color="auto"/>
              <w:bottom w:val="single" w:sz="8" w:color="auto"/>
            </w:tcBorders>
            <w:shd w:val="clear" w:color="auto" w:fill="D5DCE4"/>
          </w:tcPr>
          <w:p>
            <w:pPr>
              <w:spacing w:after="0"/>
              <w:rPr>
                <w:sz w:val="9"/>
                <w:szCs w:val="9"/>
                <w:color w:val="auto"/>
              </w:rPr>
            </w:pPr>
          </w:p>
        </w:tc>
        <w:tc>
          <w:tcPr>
            <w:tcW w:w="680" w:type="dxa"/>
            <w:vAlign w:val="bottom"/>
            <w:tcBorders>
              <w:bottom w:val="single" w:sz="8" w:color="auto"/>
            </w:tcBorders>
            <w:shd w:val="clear" w:color="auto" w:fill="D5DCE4"/>
          </w:tcPr>
          <w:p>
            <w:pPr>
              <w:spacing w:after="0"/>
              <w:rPr>
                <w:sz w:val="9"/>
                <w:szCs w:val="9"/>
                <w:color w:val="auto"/>
              </w:rPr>
            </w:pPr>
          </w:p>
        </w:tc>
        <w:tc>
          <w:tcPr>
            <w:tcW w:w="1240" w:type="dxa"/>
            <w:vAlign w:val="bottom"/>
            <w:tcBorders>
              <w:bottom w:val="single" w:sz="8" w:color="auto"/>
              <w:right w:val="single" w:sz="8" w:color="auto"/>
            </w:tcBorders>
            <w:shd w:val="clear" w:color="auto" w:fill="D5DCE4"/>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r>
    </w:tbl>
    <w:p>
      <w:pPr>
        <w:spacing w:after="0" w:line="270"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0"/>
          <w:szCs w:val="20"/>
          <w:i w:val="1"/>
          <w:iCs w:val="1"/>
          <w:u w:val="single" w:color="auto"/>
          <w:color w:val="auto"/>
        </w:rPr>
        <w:t>Note</w:t>
      </w:r>
      <w:r>
        <w:rPr>
          <w:rFonts w:ascii="Times New Roman" w:cs="Times New Roman" w:eastAsia="Times New Roman" w:hAnsi="Times New Roman"/>
          <w:sz w:val="20"/>
          <w:szCs w:val="20"/>
          <w:color w:val="auto"/>
        </w:rPr>
        <w:t>: Dollar amounts in the table above are subject to rounding to two (2) decimal places, and percentage amounts in the table above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subject to rounding to nine (9) decimal places, respectively.)</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60"/>
          </w:cols>
          <w:pgMar w:left="320" w:top="1440" w:right="3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ind w:left="2600"/>
              <w:spacing w:after="0"/>
              <w:rPr>
                <w:sz w:val="20"/>
                <w:szCs w:val="20"/>
                <w:color w:val="auto"/>
              </w:rPr>
            </w:pPr>
            <w:r>
              <w:rPr>
                <w:rFonts w:ascii="Times New Roman" w:cs="Times New Roman" w:eastAsia="Times New Roman" w:hAnsi="Times New Roman"/>
                <w:sz w:val="18"/>
                <w:szCs w:val="18"/>
                <w:b w:val="1"/>
                <w:bCs w:val="1"/>
                <w:color w:val="auto"/>
              </w:rPr>
              <w:t>SUBSIDIARIES OF POWELL INDUSTRIES, INC.</w:t>
            </w:r>
          </w:p>
        </w:tc>
        <w:tc>
          <w:tcPr>
            <w:tcW w:w="2560" w:type="dxa"/>
            <w:vAlign w:val="bottom"/>
          </w:tcPr>
          <w:p>
            <w:pPr>
              <w:spacing w:after="0"/>
              <w:rPr>
                <w:sz w:val="17"/>
                <w:szCs w:val="17"/>
                <w:color w:val="auto"/>
              </w:rPr>
            </w:pPr>
          </w:p>
        </w:tc>
      </w:tr>
      <w:tr>
        <w:trPr>
          <w:trHeight w:val="62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6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Incorporated</w:t>
            </w:r>
          </w:p>
        </w:tc>
      </w:tr>
      <w:tr>
        <w:trPr>
          <w:trHeight w:val="25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Electrical Systems,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International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(UK) Limited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Asia, Pte, Ltd.</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Canada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Canada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Infinity Corporation</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Alberta</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(Middle East)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Equipment (Mexico) SA de CV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Trading (Mexico) SA de CV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10220"/>
          </w:cols>
          <w:pgMar w:left="1340" w:top="887"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00" w:lineRule="exact"/>
        <w:rPr>
          <w:sz w:val="20"/>
          <w:szCs w:val="20"/>
          <w:color w:val="auto"/>
        </w:rPr>
      </w:pPr>
    </w:p>
    <w:p>
      <w:pPr>
        <w:ind w:right="20"/>
        <w:spacing w:after="0" w:line="245" w:lineRule="exact"/>
        <w:rPr>
          <w:sz w:val="20"/>
          <w:szCs w:val="20"/>
          <w:color w:val="auto"/>
        </w:rPr>
      </w:pPr>
      <w:r>
        <w:rPr>
          <w:rFonts w:ascii="Georgia" w:cs="Georgia" w:eastAsia="Georgia" w:hAnsi="Georgia"/>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Georgia" w:cs="Georgia" w:eastAsia="Georgia" w:hAnsi="Georgia"/>
          <w:sz w:val="18"/>
          <w:szCs w:val="18"/>
          <w:color w:val="auto"/>
        </w:rPr>
        <w:t>8 (No. 333-196171) of Powell Industries, Inc. of our report dated December 6, 2023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Georgia" w:cs="Georgia" w:eastAsia="Georgia" w:hAnsi="Georgia"/>
          <w:sz w:val="18"/>
          <w:szCs w:val="18"/>
          <w:color w:val="auto"/>
        </w:rPr>
        <w:t>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Houston, Texas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December 6, 2023</w:t>
      </w:r>
    </w:p>
    <w:p>
      <w:pPr>
        <w:sectPr>
          <w:pgSz w:w="11900" w:h="16838" w:orient="portrait"/>
          <w:cols w:equalWidth="0" w:num="1">
            <w:col w:w="11240"/>
          </w:cols>
          <w:pgMar w:left="320" w:top="887"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840" w:hanging="184"/>
        <w:spacing w:after="0"/>
        <w:tabs>
          <w:tab w:leader="none" w:pos="8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4"/>
        <w:spacing w:after="0" w:line="266" w:lineRule="auto"/>
        <w:tabs>
          <w:tab w:leader="none" w:pos="8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9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80" w:firstLine="4"/>
        <w:spacing w:after="0" w:line="312" w:lineRule="auto"/>
        <w:tabs>
          <w:tab w:leader="none" w:pos="1485"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60" w:firstLine="4"/>
        <w:spacing w:after="0" w:line="266" w:lineRule="auto"/>
        <w:tabs>
          <w:tab w:leader="none" w:pos="149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20" w:firstLine="4"/>
        <w:spacing w:after="0" w:line="282" w:lineRule="auto"/>
        <w:tabs>
          <w:tab w:leader="none" w:pos="148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00" w:firstLine="4"/>
        <w:spacing w:after="0" w:line="282" w:lineRule="auto"/>
        <w:tabs>
          <w:tab w:leader="none" w:pos="149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ectPr>
          <w:pgSz w:w="11900" w:h="16838" w:orient="portrait"/>
          <w:cols w:equalWidth="0" w:num="1">
            <w:col w:w="11240"/>
          </w:cols>
          <w:pgMar w:left="320" w:top="887"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Michael W. Metcalf</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840" w:hanging="184"/>
        <w:spacing w:after="0"/>
        <w:tabs>
          <w:tab w:leader="none" w:pos="8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4"/>
        <w:spacing w:after="0" w:line="266" w:lineRule="auto"/>
        <w:tabs>
          <w:tab w:leader="none" w:pos="8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9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80" w:firstLine="4"/>
        <w:spacing w:after="0" w:line="312" w:lineRule="auto"/>
        <w:tabs>
          <w:tab w:leader="none" w:pos="1485"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60" w:firstLine="4"/>
        <w:spacing w:after="0" w:line="266" w:lineRule="auto"/>
        <w:tabs>
          <w:tab w:leader="none" w:pos="149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20" w:firstLine="4"/>
        <w:spacing w:after="0" w:line="282" w:lineRule="auto"/>
        <w:tabs>
          <w:tab w:leader="none" w:pos="148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00" w:firstLine="4"/>
        <w:spacing w:after="0" w:line="282" w:lineRule="auto"/>
        <w:tabs>
          <w:tab w:leader="none" w:pos="149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ectPr>
          <w:pgSz w:w="11900" w:h="16838" w:orient="portrait"/>
          <w:cols w:equalWidth="0" w:num="1">
            <w:col w:w="11240"/>
          </w:cols>
          <w:pgMar w:left="320" w:top="887"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2023,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ectPr>
          <w:pgSz w:w="11900" w:h="16838" w:orient="portrait"/>
          <w:cols w:equalWidth="0" w:num="1">
            <w:col w:w="11240"/>
          </w:cols>
          <w:pgMar w:left="320" w:top="887"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2023,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1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ectPr>
          <w:pgSz w:w="11900" w:h="16838" w:orient="portrait"/>
          <w:cols w:equalWidth="0" w:num="1">
            <w:col w:w="11240"/>
          </w:cols>
          <w:pgMar w:left="320" w:top="887"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6271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136271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58375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5560" w:type="dxa"/>
            <w:vAlign w:val="bottom"/>
          </w:tcPr>
          <w:p>
            <w:pPr>
              <w:spacing w:after="0"/>
              <w:rPr>
                <w:sz w:val="20"/>
                <w:szCs w:val="20"/>
                <w:color w:val="auto"/>
              </w:rPr>
            </w:pPr>
            <w:r>
              <w:rPr>
                <w:rFonts w:ascii="Arial" w:cs="Arial" w:eastAsia="Arial" w:hAnsi="Arial"/>
                <w:sz w:val="25"/>
                <w:szCs w:val="25"/>
                <w:b w:val="1"/>
                <w:bCs w:val="1"/>
                <w:i w:val="1"/>
                <w:iCs w:val="1"/>
                <w:color w:val="auto"/>
              </w:rPr>
              <w:t>Executive Recoupment Policy</w:t>
            </w:r>
          </w:p>
        </w:tc>
        <w:tc>
          <w:tcPr>
            <w:tcW w:w="4120" w:type="dxa"/>
            <w:vAlign w:val="bottom"/>
          </w:tcPr>
          <w:p>
            <w:pPr>
              <w:ind w:left="200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307"/>
        </w:trPr>
        <w:tc>
          <w:tcPr>
            <w:tcW w:w="5560" w:type="dxa"/>
            <w:vAlign w:val="bottom"/>
          </w:tcPr>
          <w:p>
            <w:pPr>
              <w:spacing w:after="0" w:line="234" w:lineRule="exact"/>
              <w:rPr>
                <w:sz w:val="20"/>
                <w:szCs w:val="20"/>
                <w:color w:val="auto"/>
              </w:rPr>
            </w:pPr>
            <w:r>
              <w:rPr>
                <w:rFonts w:ascii="Calibri" w:cs="Calibri" w:eastAsia="Calibri" w:hAnsi="Calibri"/>
                <w:sz w:val="20"/>
                <w:szCs w:val="20"/>
                <w:color w:val="auto"/>
              </w:rPr>
              <w:t>Version: 2.0 Applies To: Company</w:t>
            </w:r>
          </w:p>
        </w:tc>
        <w:tc>
          <w:tcPr>
            <w:tcW w:w="4120" w:type="dxa"/>
            <w:vAlign w:val="bottom"/>
          </w:tcPr>
          <w:p>
            <w:pPr>
              <w:ind w:left="200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063740" cy="25203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06374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504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September 20, 2023</w:t>
            </w:r>
          </w:p>
        </w:tc>
        <w:tc>
          <w:tcPr>
            <w:tcW w:w="308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20"/>
                <w:szCs w:val="20"/>
                <w:b w:val="1"/>
                <w:bCs w:val="1"/>
                <w:color w:val="auto"/>
              </w:rPr>
              <w:t>Supersedes</w:t>
            </w:r>
          </w:p>
        </w:tc>
        <w:tc>
          <w:tcPr>
            <w:tcW w:w="3020" w:type="dxa"/>
            <w:vAlign w:val="bottom"/>
            <w:tcBorders>
              <w:top w:val="single" w:sz="8" w:color="auto"/>
            </w:tcBorders>
          </w:tcPr>
          <w:p>
            <w:pPr>
              <w:spacing w:after="0"/>
              <w:rPr>
                <w:sz w:val="24"/>
                <w:szCs w:val="24"/>
                <w:color w:val="auto"/>
              </w:rPr>
            </w:pPr>
          </w:p>
        </w:tc>
      </w:tr>
      <w:tr>
        <w:trPr>
          <w:trHeight w:val="44"/>
        </w:trPr>
        <w:tc>
          <w:tcPr>
            <w:tcW w:w="5040" w:type="dxa"/>
            <w:vAlign w:val="bottom"/>
            <w:tcBorders>
              <w:right w:val="single" w:sz="8" w:color="auto"/>
            </w:tcBorders>
          </w:tcPr>
          <w:p>
            <w:pPr>
              <w:spacing w:after="0"/>
              <w:rPr>
                <w:sz w:val="3"/>
                <w:szCs w:val="3"/>
                <w:color w:val="auto"/>
              </w:rPr>
            </w:pPr>
          </w:p>
        </w:tc>
        <w:tc>
          <w:tcPr>
            <w:tcW w:w="3080" w:type="dxa"/>
            <w:vAlign w:val="bottom"/>
            <w:tcBorders>
              <w:right w:val="single" w:sz="8" w:color="auto"/>
            </w:tcBorders>
          </w:tcPr>
          <w:p>
            <w:pPr>
              <w:spacing w:after="0"/>
              <w:rPr>
                <w:sz w:val="3"/>
                <w:szCs w:val="3"/>
                <w:color w:val="auto"/>
              </w:rPr>
            </w:pPr>
          </w:p>
        </w:tc>
        <w:tc>
          <w:tcPr>
            <w:tcW w:w="3020" w:type="dxa"/>
            <w:vAlign w:val="bottom"/>
          </w:tcPr>
          <w:p>
            <w:pPr>
              <w:spacing w:after="0"/>
              <w:rPr>
                <w:sz w:val="3"/>
                <w:szCs w:val="3"/>
                <w:color w:val="auto"/>
              </w:rPr>
            </w:pPr>
          </w:p>
        </w:tc>
      </w:tr>
    </w:tbl>
    <w:p>
      <w:pPr>
        <w:spacing w:after="0" w:line="287" w:lineRule="exact"/>
        <w:rPr>
          <w:sz w:val="20"/>
          <w:szCs w:val="20"/>
          <w:color w:val="auto"/>
        </w:rPr>
      </w:pPr>
    </w:p>
    <w:p>
      <w:pPr>
        <w:jc w:val="center"/>
        <w:ind w:right="6720"/>
        <w:spacing w:after="0"/>
        <w:rPr>
          <w:sz w:val="20"/>
          <w:szCs w:val="20"/>
          <w:color w:val="auto"/>
        </w:rPr>
      </w:pPr>
      <w:r>
        <w:rPr>
          <w:rFonts w:ascii="Arial" w:cs="Arial" w:eastAsia="Arial" w:hAnsi="Arial"/>
          <w:sz w:val="20"/>
          <w:szCs w:val="20"/>
          <w:b w:val="1"/>
          <w:bCs w:val="1"/>
          <w:color w:val="auto"/>
        </w:rPr>
        <w:t xml:space="preserve">Author  </w:t>
      </w:r>
      <w:r>
        <w:rPr>
          <w:rFonts w:ascii="Arial" w:cs="Arial" w:eastAsia="Arial" w:hAnsi="Arial"/>
          <w:sz w:val="20"/>
          <w:szCs w:val="20"/>
          <w:color w:val="auto"/>
        </w:rPr>
        <w:t>Callahan, Bob</w:t>
      </w:r>
    </w:p>
    <w:p>
      <w:pPr>
        <w:spacing w:after="0" w:line="324"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 xml:space="preserve">Approvals  </w:t>
      </w:r>
      <w:r>
        <w:rPr>
          <w:rFonts w:ascii="Arial" w:cs="Arial" w:eastAsia="Arial" w:hAnsi="Arial"/>
          <w:sz w:val="20"/>
          <w:szCs w:val="20"/>
          <w:color w:val="auto"/>
        </w:rPr>
        <w:t>Board of Directors</w:t>
      </w:r>
    </w:p>
    <w:p>
      <w:pPr>
        <w:spacing w:after="0" w:line="324" w:lineRule="exact"/>
        <w:rPr>
          <w:sz w:val="20"/>
          <w:szCs w:val="20"/>
          <w:color w:val="auto"/>
        </w:rPr>
      </w:pPr>
    </w:p>
    <w:p>
      <w:pPr>
        <w:jc w:val="both"/>
        <w:ind w:left="1980" w:right="120" w:hanging="896"/>
        <w:spacing w:after="0" w:line="306" w:lineRule="auto"/>
        <w:rPr>
          <w:sz w:val="20"/>
          <w:szCs w:val="20"/>
          <w:color w:val="auto"/>
        </w:rPr>
      </w:pPr>
      <w:r>
        <w:rPr>
          <w:rFonts w:ascii="Arial" w:cs="Arial" w:eastAsia="Arial" w:hAnsi="Arial"/>
          <w:sz w:val="20"/>
          <w:szCs w:val="20"/>
          <w:b w:val="1"/>
          <w:bCs w:val="1"/>
          <w:color w:val="auto"/>
        </w:rPr>
        <w:t xml:space="preserve">Purpose </w:t>
      </w:r>
      <w:r>
        <w:rPr>
          <w:rFonts w:ascii="Arial" w:cs="Arial" w:eastAsia="Arial" w:hAnsi="Arial"/>
          <w:sz w:val="20"/>
          <w:szCs w:val="20"/>
          <w:color w:val="auto"/>
        </w:rPr>
        <w:t>This policy provides guidelines for possible recoupment or clawback of incentive compensation in</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 situations to the extent permitted (or required) by law and by the Company’s plans, policies and agreements.</w:t>
      </w:r>
    </w:p>
    <w:p>
      <w:pPr>
        <w:spacing w:after="0" w:line="11" w:lineRule="exact"/>
        <w:rPr>
          <w:sz w:val="20"/>
          <w:szCs w:val="20"/>
          <w:color w:val="auto"/>
        </w:rPr>
      </w:pPr>
    </w:p>
    <w:p>
      <w:pPr>
        <w:jc w:val="both"/>
        <w:ind w:left="1980" w:right="140" w:hanging="698"/>
        <w:spacing w:after="0" w:line="306" w:lineRule="auto"/>
        <w:rPr>
          <w:sz w:val="20"/>
          <w:szCs w:val="20"/>
          <w:color w:val="auto"/>
        </w:rPr>
      </w:pPr>
      <w:r>
        <w:rPr>
          <w:rFonts w:ascii="Arial" w:cs="Arial" w:eastAsia="Arial" w:hAnsi="Arial"/>
          <w:sz w:val="20"/>
          <w:szCs w:val="20"/>
          <w:b w:val="1"/>
          <w:bCs w:val="1"/>
          <w:color w:val="auto"/>
        </w:rPr>
        <w:t xml:space="preserve">Scope </w:t>
      </w:r>
      <w:r>
        <w:rPr>
          <w:rFonts w:ascii="Arial" w:cs="Arial" w:eastAsia="Arial" w:hAnsi="Arial"/>
          <w:sz w:val="20"/>
          <w:szCs w:val="20"/>
          <w:color w:val="auto"/>
        </w:rPr>
        <w:t>This policy applies to the Company’s current and former executive officers, as determined by the Board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Section 10D of the Exchange Act and the listing standards of the national securities exchange on which the Company’s securities are listed (“Covered Executives”).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Policy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Powell Industries, Inc. (the “</w:t>
      </w:r>
      <w:r>
        <w:rPr>
          <w:rFonts w:ascii="Arial" w:cs="Arial" w:eastAsia="Arial" w:hAnsi="Arial"/>
          <w:sz w:val="20"/>
          <w:szCs w:val="20"/>
          <w:b w:val="1"/>
          <w:bCs w:val="1"/>
          <w:color w:val="auto"/>
        </w:rPr>
        <w:t>Company</w:t>
      </w:r>
      <w:r>
        <w:rPr>
          <w:rFonts w:ascii="Arial" w:cs="Arial" w:eastAsia="Arial" w:hAnsi="Arial"/>
          <w:sz w:val="20"/>
          <w:szCs w:val="20"/>
          <w:color w:val="auto"/>
        </w:rPr>
        <w:t>”) believes that it is in the best interests of the</w:t>
      </w:r>
    </w:p>
    <w:p>
      <w:pPr>
        <w:jc w:val="both"/>
        <w:spacing w:after="0" w:line="204" w:lineRule="auto"/>
        <w:rPr>
          <w:sz w:val="20"/>
          <w:szCs w:val="20"/>
          <w:color w:val="auto"/>
        </w:rPr>
      </w:pPr>
      <w:r>
        <w:rPr>
          <w:rFonts w:ascii="Arial" w:cs="Arial" w:eastAsia="Arial" w:hAnsi="Arial"/>
          <w:sz w:val="20"/>
          <w:szCs w:val="20"/>
          <w:color w:val="auto"/>
        </w:rPr>
        <w:t>Company and its shareholders to create and maintain a culture that emphasizes integrity and accountability and that reinforces the Company’s pay-for-performance compensation philosophy. The Board has therefore adopted this Executive Compensation</w:t>
      </w:r>
    </w:p>
    <w:p>
      <w:pPr>
        <w:spacing w:after="0" w:line="211" w:lineRule="auto"/>
        <w:rPr>
          <w:sz w:val="20"/>
          <w:szCs w:val="20"/>
          <w:color w:val="auto"/>
        </w:rPr>
      </w:pPr>
      <w:r>
        <w:rPr>
          <w:rFonts w:ascii="Arial" w:cs="Arial" w:eastAsia="Arial" w:hAnsi="Arial"/>
          <w:sz w:val="20"/>
          <w:szCs w:val="20"/>
          <w:color w:val="auto"/>
        </w:rPr>
        <w:t>Recoupment Policy (this “</w:t>
      </w:r>
      <w:r>
        <w:rPr>
          <w:rFonts w:ascii="Arial" w:cs="Arial" w:eastAsia="Arial" w:hAnsi="Arial"/>
          <w:sz w:val="20"/>
          <w:szCs w:val="20"/>
          <w:b w:val="1"/>
          <w:bCs w:val="1"/>
          <w:color w:val="auto"/>
        </w:rPr>
        <w:t>Policy</w:t>
      </w:r>
      <w:r>
        <w:rPr>
          <w:rFonts w:ascii="Arial" w:cs="Arial" w:eastAsia="Arial" w:hAnsi="Arial"/>
          <w:sz w:val="20"/>
          <w:szCs w:val="20"/>
          <w:color w:val="auto"/>
        </w:rPr>
        <w:t>”), which provides for the recoupment of certain executive compensation in the event of an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accounting restatement resulting from material noncompliance with financial reporting requirements under the federal securities laws. This Policy is designed to comply with Section 10D of the Securities Exchange Act of 1934 (the “</w:t>
      </w:r>
      <w:r>
        <w:rPr>
          <w:rFonts w:ascii="Arial" w:cs="Arial" w:eastAsia="Arial" w:hAnsi="Arial"/>
          <w:sz w:val="19"/>
          <w:szCs w:val="19"/>
          <w:b w:val="1"/>
          <w:bCs w:val="1"/>
          <w:color w:val="auto"/>
        </w:rPr>
        <w:t>Exchange Act</w:t>
      </w:r>
      <w:r>
        <w:rPr>
          <w:rFonts w:ascii="Arial" w:cs="Arial" w:eastAsia="Arial" w:hAnsi="Arial"/>
          <w:sz w:val="19"/>
          <w:szCs w:val="19"/>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Administration</w:t>
      </w:r>
    </w:p>
    <w:p>
      <w:pPr>
        <w:spacing w:after="0" w:line="191"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This Policy shall be administered by the Board or, if so designated by the Board, the Compensation Committee, in which case references herein to the Board shall be deemed references to the Compensation Committee. Any determinations made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Board shall be final and binding on all affected individuals.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Covered Executives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This Policy applies to the Company’s current and former executive officers, as determined by the Board in accordance with Section 10D of the Exchange Act and the listing standards of the national securities exchange on which the Company’s securities are listed (“</w:t>
      </w:r>
      <w:r>
        <w:rPr>
          <w:rFonts w:ascii="Arial" w:cs="Arial" w:eastAsia="Arial" w:hAnsi="Arial"/>
          <w:sz w:val="20"/>
          <w:szCs w:val="20"/>
          <w:b w:val="1"/>
          <w:bCs w:val="1"/>
          <w:color w:val="auto"/>
        </w:rPr>
        <w:t>Covered Executives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w:t>
      </w:r>
    </w:p>
    <w:p>
      <w:pPr>
        <w:spacing w:after="0" w:line="211" w:lineRule="auto"/>
        <w:rPr>
          <w:sz w:val="20"/>
          <w:szCs w:val="20"/>
          <w:color w:val="auto"/>
        </w:rPr>
      </w:pPr>
      <w:r>
        <w:rPr>
          <w:rFonts w:ascii="Arial" w:cs="Arial" w:eastAsia="Arial" w:hAnsi="Arial"/>
          <w:sz w:val="16"/>
          <w:szCs w:val="16"/>
          <w:color w:val="auto"/>
        </w:rPr>
        <w:t>Governance Policies</w:t>
      </w:r>
    </w:p>
    <w:p>
      <w:pPr>
        <w:spacing w:after="0" w:line="211" w:lineRule="auto"/>
        <w:rPr>
          <w:sz w:val="20"/>
          <w:szCs w:val="20"/>
          <w:color w:val="auto"/>
        </w:rPr>
      </w:pPr>
      <w:r>
        <w:rPr>
          <w:rFonts w:ascii="Arial" w:cs="Arial" w:eastAsia="Arial" w:hAnsi="Arial"/>
          <w:sz w:val="16"/>
          <w:szCs w:val="16"/>
          <w:color w:val="auto"/>
        </w:rPr>
        <w:t>Executive Recoupment Policy</w:t>
      </w:r>
    </w:p>
    <w:p>
      <w:pPr>
        <w:spacing w:after="0" w:line="211" w:lineRule="auto"/>
        <w:rPr>
          <w:sz w:val="20"/>
          <w:szCs w:val="20"/>
          <w:color w:val="auto"/>
        </w:rPr>
      </w:pPr>
      <w:r>
        <w:rPr>
          <w:rFonts w:ascii="Arial" w:cs="Arial" w:eastAsia="Arial" w:hAnsi="Arial"/>
          <w:sz w:val="16"/>
          <w:szCs w:val="16"/>
          <w:color w:val="auto"/>
        </w:rPr>
        <w:t>September 20, 2023</w:t>
      </w:r>
    </w:p>
    <w:p>
      <w:pPr>
        <w:spacing w:after="0" w:line="1"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1 of 4</w:t>
      </w:r>
    </w:p>
    <w:p>
      <w:pPr>
        <w:sectPr>
          <w:pgSz w:w="11900" w:h="16838" w:orient="portrait"/>
          <w:cols w:equalWidth="0" w:num="1">
            <w:col w:w="11240"/>
          </w:cols>
          <w:pgMar w:left="320" w:top="104"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62710"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136271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58375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5560" w:type="dxa"/>
            <w:vAlign w:val="bottom"/>
          </w:tcPr>
          <w:p>
            <w:pPr>
              <w:spacing w:after="0"/>
              <w:rPr>
                <w:sz w:val="20"/>
                <w:szCs w:val="20"/>
                <w:color w:val="auto"/>
              </w:rPr>
            </w:pPr>
            <w:r>
              <w:rPr>
                <w:rFonts w:ascii="Arial" w:cs="Arial" w:eastAsia="Arial" w:hAnsi="Arial"/>
                <w:sz w:val="25"/>
                <w:szCs w:val="25"/>
                <w:b w:val="1"/>
                <w:bCs w:val="1"/>
                <w:i w:val="1"/>
                <w:iCs w:val="1"/>
                <w:color w:val="auto"/>
              </w:rPr>
              <w:t>Executive Recoupment Policy</w:t>
            </w:r>
          </w:p>
        </w:tc>
        <w:tc>
          <w:tcPr>
            <w:tcW w:w="4120" w:type="dxa"/>
            <w:vAlign w:val="bottom"/>
          </w:tcPr>
          <w:p>
            <w:pPr>
              <w:ind w:left="200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307"/>
        </w:trPr>
        <w:tc>
          <w:tcPr>
            <w:tcW w:w="5560" w:type="dxa"/>
            <w:vAlign w:val="bottom"/>
          </w:tcPr>
          <w:p>
            <w:pPr>
              <w:spacing w:after="0" w:line="234" w:lineRule="exact"/>
              <w:rPr>
                <w:sz w:val="20"/>
                <w:szCs w:val="20"/>
                <w:color w:val="auto"/>
              </w:rPr>
            </w:pPr>
            <w:r>
              <w:rPr>
                <w:rFonts w:ascii="Calibri" w:cs="Calibri" w:eastAsia="Calibri" w:hAnsi="Calibri"/>
                <w:sz w:val="20"/>
                <w:szCs w:val="20"/>
                <w:color w:val="auto"/>
              </w:rPr>
              <w:t>Version: 2.0 Applies To: Company</w:t>
            </w:r>
          </w:p>
        </w:tc>
        <w:tc>
          <w:tcPr>
            <w:tcW w:w="4120" w:type="dxa"/>
            <w:vAlign w:val="bottom"/>
          </w:tcPr>
          <w:p>
            <w:pPr>
              <w:ind w:left="200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Recoupment; Accounting Restatement</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In the event the Company is required to prepare an accounting restatement of its financial statements due to the Company’s material noncompliance with any financial reporting requirement under the securities laws, the Board will require reimbursement</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or forfeiture of any excess Incentive Compensation received by any Covered Executive during the three completed fiscal years immediately preceding the date on which the Company is required to prepare an accounting restatement.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Incentive Compensation</w:t>
      </w:r>
    </w:p>
    <w:p>
      <w:pPr>
        <w:spacing w:after="0" w:line="19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For purposes of this Policy, Incentive Compensation means any of the following; provided that such compensation is granted, earned, or vested based wholly or in part on the attainment of a financial reporting measure:</w:t>
      </w:r>
    </w:p>
    <w:p>
      <w:pPr>
        <w:spacing w:after="0" w:line="149" w:lineRule="exact"/>
        <w:rPr>
          <w:sz w:val="20"/>
          <w:szCs w:val="20"/>
          <w:color w:val="auto"/>
        </w:rPr>
      </w:pPr>
    </w:p>
    <w:p>
      <w:pPr>
        <w:ind w:left="960" w:hanging="304"/>
        <w:spacing w:after="0"/>
        <w:tabs>
          <w:tab w:leader="none" w:pos="960" w:val="left"/>
        </w:tabs>
        <w:numPr>
          <w:ilvl w:val="0"/>
          <w:numId w:val="245"/>
        </w:numPr>
        <w:rPr>
          <w:rFonts w:ascii="Times New Roman" w:cs="Times New Roman" w:eastAsia="Times New Roman" w:hAnsi="Times New Roman"/>
          <w:sz w:val="20"/>
          <w:szCs w:val="20"/>
          <w:color w:val="auto"/>
        </w:rPr>
      </w:pPr>
      <w:r>
        <w:rPr>
          <w:rFonts w:ascii="Arial" w:cs="Arial" w:eastAsia="Arial" w:hAnsi="Arial"/>
          <w:sz w:val="20"/>
          <w:szCs w:val="20"/>
          <w:color w:val="auto"/>
        </w:rPr>
        <w:t>Annual bonuses and other short- and long-term cash incentives.</w:t>
      </w:r>
    </w:p>
    <w:p>
      <w:pPr>
        <w:ind w:left="960" w:hanging="304"/>
        <w:spacing w:after="0" w:line="196" w:lineRule="auto"/>
        <w:tabs>
          <w:tab w:leader="none" w:pos="960" w:val="left"/>
        </w:tabs>
        <w:numPr>
          <w:ilvl w:val="0"/>
          <w:numId w:val="245"/>
        </w:numPr>
        <w:rPr>
          <w:rFonts w:ascii="Times New Roman" w:cs="Times New Roman" w:eastAsia="Times New Roman" w:hAnsi="Times New Roman"/>
          <w:sz w:val="20"/>
          <w:szCs w:val="20"/>
          <w:color w:val="auto"/>
        </w:rPr>
      </w:pPr>
      <w:r>
        <w:rPr>
          <w:rFonts w:ascii="Arial" w:cs="Arial" w:eastAsia="Arial" w:hAnsi="Arial"/>
          <w:sz w:val="20"/>
          <w:szCs w:val="20"/>
          <w:color w:val="auto"/>
        </w:rPr>
        <w:t>Stock options.</w:t>
      </w:r>
    </w:p>
    <w:p>
      <w:pPr>
        <w:ind w:left="960" w:hanging="304"/>
        <w:spacing w:after="0" w:line="210" w:lineRule="auto"/>
        <w:tabs>
          <w:tab w:leader="none" w:pos="960" w:val="left"/>
        </w:tabs>
        <w:numPr>
          <w:ilvl w:val="0"/>
          <w:numId w:val="245"/>
        </w:numPr>
        <w:rPr>
          <w:rFonts w:ascii="Times New Roman" w:cs="Times New Roman" w:eastAsia="Times New Roman" w:hAnsi="Times New Roman"/>
          <w:sz w:val="20"/>
          <w:szCs w:val="20"/>
          <w:color w:val="auto"/>
        </w:rPr>
      </w:pPr>
      <w:r>
        <w:rPr>
          <w:rFonts w:ascii="Arial" w:cs="Arial" w:eastAsia="Arial" w:hAnsi="Arial"/>
          <w:sz w:val="20"/>
          <w:szCs w:val="20"/>
          <w:color w:val="auto"/>
        </w:rPr>
        <w:t>Stock appreciation rights.</w:t>
      </w:r>
    </w:p>
    <w:p>
      <w:pPr>
        <w:ind w:left="960" w:hanging="304"/>
        <w:spacing w:after="0" w:line="210" w:lineRule="auto"/>
        <w:tabs>
          <w:tab w:leader="none" w:pos="960" w:val="left"/>
        </w:tabs>
        <w:numPr>
          <w:ilvl w:val="0"/>
          <w:numId w:val="245"/>
        </w:numPr>
        <w:rPr>
          <w:rFonts w:ascii="Times New Roman" w:cs="Times New Roman" w:eastAsia="Times New Roman" w:hAnsi="Times New Roman"/>
          <w:sz w:val="20"/>
          <w:szCs w:val="20"/>
          <w:color w:val="auto"/>
        </w:rPr>
      </w:pPr>
      <w:r>
        <w:rPr>
          <w:rFonts w:ascii="Arial" w:cs="Arial" w:eastAsia="Arial" w:hAnsi="Arial"/>
          <w:sz w:val="20"/>
          <w:szCs w:val="20"/>
          <w:color w:val="auto"/>
        </w:rPr>
        <w:t>Restricted stock.</w:t>
      </w:r>
    </w:p>
    <w:p>
      <w:pPr>
        <w:ind w:left="960" w:hanging="304"/>
        <w:spacing w:after="0" w:line="196" w:lineRule="auto"/>
        <w:tabs>
          <w:tab w:leader="none" w:pos="960" w:val="left"/>
        </w:tabs>
        <w:numPr>
          <w:ilvl w:val="0"/>
          <w:numId w:val="245"/>
        </w:numPr>
        <w:rPr>
          <w:rFonts w:ascii="Times New Roman" w:cs="Times New Roman" w:eastAsia="Times New Roman" w:hAnsi="Times New Roman"/>
          <w:sz w:val="20"/>
          <w:szCs w:val="20"/>
          <w:color w:val="auto"/>
        </w:rPr>
      </w:pPr>
      <w:r>
        <w:rPr>
          <w:rFonts w:ascii="Arial" w:cs="Arial" w:eastAsia="Arial" w:hAnsi="Arial"/>
          <w:sz w:val="20"/>
          <w:szCs w:val="20"/>
          <w:color w:val="auto"/>
        </w:rPr>
        <w:t>Restricted stock units.</w:t>
      </w:r>
    </w:p>
    <w:p>
      <w:pPr>
        <w:ind w:left="960" w:hanging="304"/>
        <w:spacing w:after="0" w:line="210" w:lineRule="auto"/>
        <w:tabs>
          <w:tab w:leader="none" w:pos="960" w:val="left"/>
        </w:tabs>
        <w:numPr>
          <w:ilvl w:val="0"/>
          <w:numId w:val="245"/>
        </w:numPr>
        <w:rPr>
          <w:rFonts w:ascii="Times New Roman" w:cs="Times New Roman" w:eastAsia="Times New Roman" w:hAnsi="Times New Roman"/>
          <w:sz w:val="20"/>
          <w:szCs w:val="20"/>
          <w:color w:val="auto"/>
        </w:rPr>
      </w:pPr>
      <w:r>
        <w:rPr>
          <w:rFonts w:ascii="Arial" w:cs="Arial" w:eastAsia="Arial" w:hAnsi="Arial"/>
          <w:sz w:val="20"/>
          <w:szCs w:val="20"/>
          <w:color w:val="auto"/>
        </w:rPr>
        <w:t>Performance shares.</w:t>
      </w:r>
    </w:p>
    <w:p>
      <w:pPr>
        <w:ind w:left="960" w:hanging="304"/>
        <w:spacing w:after="0"/>
        <w:tabs>
          <w:tab w:leader="none" w:pos="960" w:val="left"/>
        </w:tabs>
        <w:numPr>
          <w:ilvl w:val="0"/>
          <w:numId w:val="245"/>
        </w:numPr>
        <w:rPr>
          <w:rFonts w:ascii="Times New Roman" w:cs="Times New Roman" w:eastAsia="Times New Roman" w:hAnsi="Times New Roman"/>
          <w:sz w:val="20"/>
          <w:szCs w:val="20"/>
          <w:color w:val="auto"/>
        </w:rPr>
      </w:pPr>
      <w:r>
        <w:rPr>
          <w:rFonts w:ascii="Arial" w:cs="Arial" w:eastAsia="Arial" w:hAnsi="Arial"/>
          <w:sz w:val="20"/>
          <w:szCs w:val="20"/>
          <w:color w:val="auto"/>
        </w:rPr>
        <w:t>Performance units.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Financial reporting measures include:</w:t>
      </w:r>
    </w:p>
    <w:p>
      <w:pPr>
        <w:spacing w:after="0" w:line="165" w:lineRule="exact"/>
        <w:rPr>
          <w:sz w:val="20"/>
          <w:szCs w:val="20"/>
          <w:color w:val="auto"/>
        </w:rPr>
      </w:pPr>
    </w:p>
    <w:p>
      <w:pPr>
        <w:ind w:left="960" w:hanging="304"/>
        <w:spacing w:after="0"/>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Company stock price.</w:t>
      </w:r>
    </w:p>
    <w:p>
      <w:pPr>
        <w:ind w:left="960" w:hanging="304"/>
        <w:spacing w:after="0" w:line="210" w:lineRule="auto"/>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Total shareholder return.</w:t>
      </w:r>
    </w:p>
    <w:p>
      <w:pPr>
        <w:ind w:left="960" w:hanging="304"/>
        <w:spacing w:after="0" w:line="196" w:lineRule="auto"/>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Revenues.</w:t>
      </w:r>
    </w:p>
    <w:p>
      <w:pPr>
        <w:ind w:left="960" w:hanging="304"/>
        <w:spacing w:after="0" w:line="210" w:lineRule="auto"/>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w:t>
      </w:r>
    </w:p>
    <w:p>
      <w:pPr>
        <w:ind w:left="960" w:hanging="304"/>
        <w:spacing w:after="0" w:line="210" w:lineRule="auto"/>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Earnings before interest, taxes, depreciation, and amortization (EBITDA).</w:t>
      </w:r>
    </w:p>
    <w:p>
      <w:pPr>
        <w:ind w:left="960" w:hanging="304"/>
        <w:spacing w:after="0" w:line="196" w:lineRule="auto"/>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Funds from operations.</w:t>
      </w:r>
    </w:p>
    <w:p>
      <w:pPr>
        <w:ind w:left="960" w:hanging="304"/>
        <w:spacing w:after="0" w:line="210" w:lineRule="auto"/>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Liquidity measures such as working capital or operating cash flow.</w:t>
      </w:r>
    </w:p>
    <w:p>
      <w:pPr>
        <w:ind w:left="960" w:hanging="304"/>
        <w:spacing w:after="0" w:line="210" w:lineRule="auto"/>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Return measures such as return on invested capital or return on assets.</w:t>
      </w:r>
    </w:p>
    <w:p>
      <w:pPr>
        <w:ind w:left="960" w:hanging="304"/>
        <w:spacing w:after="0"/>
        <w:tabs>
          <w:tab w:leader="none" w:pos="960" w:val="left"/>
        </w:tabs>
        <w:numPr>
          <w:ilvl w:val="0"/>
          <w:numId w:val="246"/>
        </w:numPr>
        <w:rPr>
          <w:rFonts w:ascii="Times New Roman" w:cs="Times New Roman" w:eastAsia="Times New Roman" w:hAnsi="Times New Roman"/>
          <w:sz w:val="20"/>
          <w:szCs w:val="20"/>
          <w:color w:val="auto"/>
        </w:rPr>
      </w:pPr>
      <w:r>
        <w:rPr>
          <w:rFonts w:ascii="Arial" w:cs="Arial" w:eastAsia="Arial" w:hAnsi="Arial"/>
          <w:sz w:val="20"/>
          <w:szCs w:val="20"/>
          <w:color w:val="auto"/>
        </w:rPr>
        <w:t>Earnings measures such as earnings per share.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Excess Incentive Compensation: Amount Subject to Recovery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amount to be recovered will be the excess of the Incentive Compensation paid to the Covered Executive based on the</w:t>
      </w:r>
    </w:p>
    <w:p>
      <w:pPr>
        <w:spacing w:after="0" w:line="225" w:lineRule="auto"/>
        <w:rPr>
          <w:sz w:val="20"/>
          <w:szCs w:val="20"/>
          <w:color w:val="auto"/>
        </w:rPr>
      </w:pPr>
      <w:r>
        <w:rPr>
          <w:rFonts w:ascii="Arial" w:cs="Arial" w:eastAsia="Arial" w:hAnsi="Arial"/>
          <w:sz w:val="20"/>
          <w:szCs w:val="20"/>
          <w:color w:val="auto"/>
        </w:rPr>
        <w:t>erroneous data over the Incentive Compensation that would have been paid to the Covered Executive had it been based on the restated results,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w:t>
      </w:r>
    </w:p>
    <w:p>
      <w:pPr>
        <w:spacing w:after="0" w:line="211" w:lineRule="auto"/>
        <w:rPr>
          <w:sz w:val="20"/>
          <w:szCs w:val="20"/>
          <w:color w:val="auto"/>
        </w:rPr>
      </w:pPr>
      <w:r>
        <w:rPr>
          <w:rFonts w:ascii="Arial" w:cs="Arial" w:eastAsia="Arial" w:hAnsi="Arial"/>
          <w:sz w:val="16"/>
          <w:szCs w:val="16"/>
          <w:color w:val="auto"/>
        </w:rPr>
        <w:t>Governance Policies</w:t>
      </w:r>
    </w:p>
    <w:p>
      <w:pPr>
        <w:spacing w:after="0" w:line="211" w:lineRule="auto"/>
        <w:rPr>
          <w:sz w:val="20"/>
          <w:szCs w:val="20"/>
          <w:color w:val="auto"/>
        </w:rPr>
      </w:pPr>
      <w:r>
        <w:rPr>
          <w:rFonts w:ascii="Arial" w:cs="Arial" w:eastAsia="Arial" w:hAnsi="Arial"/>
          <w:sz w:val="16"/>
          <w:szCs w:val="16"/>
          <w:color w:val="auto"/>
        </w:rPr>
        <w:t>Executive Recoupment Policy</w:t>
      </w:r>
    </w:p>
    <w:p>
      <w:pPr>
        <w:spacing w:after="0" w:line="211" w:lineRule="auto"/>
        <w:rPr>
          <w:sz w:val="20"/>
          <w:szCs w:val="20"/>
          <w:color w:val="auto"/>
        </w:rPr>
      </w:pPr>
      <w:r>
        <w:rPr>
          <w:rFonts w:ascii="Arial" w:cs="Arial" w:eastAsia="Arial" w:hAnsi="Arial"/>
          <w:sz w:val="16"/>
          <w:szCs w:val="16"/>
          <w:color w:val="auto"/>
        </w:rPr>
        <w:t>September 20, 2023</w:t>
      </w:r>
    </w:p>
    <w:p>
      <w:pPr>
        <w:spacing w:after="0" w:line="1"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2 of 4</w:t>
      </w:r>
    </w:p>
    <w:p>
      <w:pPr>
        <w:sectPr>
          <w:pgSz w:w="11900" w:h="16838" w:orient="portrait"/>
          <w:cols w:equalWidth="0" w:num="1">
            <w:col w:w="11240"/>
          </w:cols>
          <w:pgMar w:left="320" w:top="104"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6271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136271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58375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5560" w:type="dxa"/>
            <w:vAlign w:val="bottom"/>
          </w:tcPr>
          <w:p>
            <w:pPr>
              <w:spacing w:after="0"/>
              <w:rPr>
                <w:sz w:val="20"/>
                <w:szCs w:val="20"/>
                <w:color w:val="auto"/>
              </w:rPr>
            </w:pPr>
            <w:r>
              <w:rPr>
                <w:rFonts w:ascii="Arial" w:cs="Arial" w:eastAsia="Arial" w:hAnsi="Arial"/>
                <w:sz w:val="25"/>
                <w:szCs w:val="25"/>
                <w:b w:val="1"/>
                <w:bCs w:val="1"/>
                <w:i w:val="1"/>
                <w:iCs w:val="1"/>
                <w:color w:val="auto"/>
              </w:rPr>
              <w:t>Executive Recoupment Policy</w:t>
            </w:r>
          </w:p>
        </w:tc>
        <w:tc>
          <w:tcPr>
            <w:tcW w:w="4120" w:type="dxa"/>
            <w:vAlign w:val="bottom"/>
          </w:tcPr>
          <w:p>
            <w:pPr>
              <w:ind w:left="200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307"/>
        </w:trPr>
        <w:tc>
          <w:tcPr>
            <w:tcW w:w="5560" w:type="dxa"/>
            <w:vAlign w:val="bottom"/>
          </w:tcPr>
          <w:p>
            <w:pPr>
              <w:spacing w:after="0" w:line="234" w:lineRule="exact"/>
              <w:rPr>
                <w:sz w:val="20"/>
                <w:szCs w:val="20"/>
                <w:color w:val="auto"/>
              </w:rPr>
            </w:pPr>
            <w:r>
              <w:rPr>
                <w:rFonts w:ascii="Calibri" w:cs="Calibri" w:eastAsia="Calibri" w:hAnsi="Calibri"/>
                <w:sz w:val="20"/>
                <w:szCs w:val="20"/>
                <w:color w:val="auto"/>
              </w:rPr>
              <w:t>Version: 2.0 Applies To: Company</w:t>
            </w:r>
          </w:p>
        </w:tc>
        <w:tc>
          <w:tcPr>
            <w:tcW w:w="4120" w:type="dxa"/>
            <w:vAlign w:val="bottom"/>
          </w:tcPr>
          <w:p>
            <w:pPr>
              <w:ind w:left="200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If the Board cannot determine the amount of excess Incentive Compensation received by the Covered Executive directly from the information in the accounting restatement, then it will make its determination based on a reasonable estimate of the effect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accounting restatement.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Method of Recoupment</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Board will determine, in its sole discretion, the method for recouping Incentive Compensation hereunder which may include, without limitation:</w:t>
      </w:r>
    </w:p>
    <w:p>
      <w:pPr>
        <w:spacing w:after="0" w:line="132" w:lineRule="exact"/>
        <w:rPr>
          <w:sz w:val="20"/>
          <w:szCs w:val="20"/>
          <w:color w:val="auto"/>
        </w:rPr>
      </w:pPr>
    </w:p>
    <w:p>
      <w:pPr>
        <w:ind w:left="1120" w:hanging="464"/>
        <w:spacing w:after="0"/>
        <w:tabs>
          <w:tab w:leader="none" w:pos="112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requiring reimbursement of cash Incentive Compensation previously paid;</w:t>
      </w:r>
    </w:p>
    <w:p>
      <w:pPr>
        <w:ind w:left="1140" w:hanging="484"/>
        <w:spacing w:after="0" w:line="222" w:lineRule="auto"/>
        <w:tabs>
          <w:tab w:leader="none" w:pos="114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seeking recovery of any gain realized on the vesting, exercise, settlement, sale, transfer or other disposition of any</w:t>
      </w:r>
    </w:p>
    <w:p>
      <w:pPr>
        <w:ind w:left="980"/>
        <w:spacing w:after="0" w:line="211" w:lineRule="auto"/>
        <w:rPr>
          <w:sz w:val="20"/>
          <w:szCs w:val="20"/>
          <w:color w:val="auto"/>
        </w:rPr>
      </w:pPr>
      <w:r>
        <w:rPr>
          <w:rFonts w:ascii="Arial" w:cs="Arial" w:eastAsia="Arial" w:hAnsi="Arial"/>
          <w:sz w:val="20"/>
          <w:szCs w:val="20"/>
          <w:color w:val="auto"/>
        </w:rPr>
        <w:t>equity-based awards;</w:t>
      </w:r>
    </w:p>
    <w:p>
      <w:pPr>
        <w:ind w:left="1100" w:hanging="444"/>
        <w:spacing w:after="0" w:line="208" w:lineRule="auto"/>
        <w:tabs>
          <w:tab w:leader="none" w:pos="110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offsetting the recouped amount from any compensation otherwise owed by the Company to the Covered Executive;</w:t>
      </w:r>
    </w:p>
    <w:p>
      <w:pPr>
        <w:ind w:left="1120" w:hanging="464"/>
        <w:spacing w:after="0" w:line="211" w:lineRule="auto"/>
        <w:tabs>
          <w:tab w:leader="none" w:pos="112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cancelling outstanding vested or unvested equity awards; and/or</w:t>
      </w:r>
    </w:p>
    <w:p>
      <w:pPr>
        <w:ind w:left="1120" w:hanging="464"/>
        <w:spacing w:after="0"/>
        <w:tabs>
          <w:tab w:leader="none" w:pos="112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taking any other remedial and recovery action permitted by law, as determined by the Board.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 Indemnification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The Company shall not indemnify any Covered Executives against the loss of any incorrectly awarded Incentive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Interpretation</w:t>
      </w:r>
    </w:p>
    <w:p>
      <w:pPr>
        <w:spacing w:after="0" w:line="191"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The Board is authorized to interpret and construe this Policy and to make all determinations necessary, appropriate or advisable for the administration of this Policy. It is intended that this Policy be interpreted in a manner that is consistent with the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requirements of Section 10D of the Exchange Act and any applicable rules or standards adopted by the Securities and Exchange Commission or any national securities exchange on which the Company’s securities are listed.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Amendment; Termination</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Board may amend this Policy from time to time in its discretion and shall amend this Policy as it deems necessary to reflect</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final regulations adopted by the Securities and Exchange Commission under Section 10D of the Exchange Act and to comply with any rules or standards adopted by a national securities exchange on which the Company’s securities are listed. The Board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may terminate this Policy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Recoupment Rights</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w:t>
      </w:r>
    </w:p>
    <w:p>
      <w:pPr>
        <w:spacing w:after="0" w:line="211" w:lineRule="auto"/>
        <w:rPr>
          <w:sz w:val="20"/>
          <w:szCs w:val="20"/>
          <w:color w:val="auto"/>
        </w:rPr>
      </w:pPr>
      <w:r>
        <w:rPr>
          <w:rFonts w:ascii="Arial" w:cs="Arial" w:eastAsia="Arial" w:hAnsi="Arial"/>
          <w:sz w:val="16"/>
          <w:szCs w:val="16"/>
          <w:color w:val="auto"/>
        </w:rPr>
        <w:t>Governance Policies</w:t>
      </w:r>
    </w:p>
    <w:p>
      <w:pPr>
        <w:spacing w:after="0" w:line="211" w:lineRule="auto"/>
        <w:rPr>
          <w:sz w:val="20"/>
          <w:szCs w:val="20"/>
          <w:color w:val="auto"/>
        </w:rPr>
      </w:pPr>
      <w:r>
        <w:rPr>
          <w:rFonts w:ascii="Arial" w:cs="Arial" w:eastAsia="Arial" w:hAnsi="Arial"/>
          <w:sz w:val="16"/>
          <w:szCs w:val="16"/>
          <w:color w:val="auto"/>
        </w:rPr>
        <w:t>Executive Recoupment Policy</w:t>
      </w:r>
    </w:p>
    <w:p>
      <w:pPr>
        <w:spacing w:after="0" w:line="211" w:lineRule="auto"/>
        <w:rPr>
          <w:sz w:val="20"/>
          <w:szCs w:val="20"/>
          <w:color w:val="auto"/>
        </w:rPr>
      </w:pPr>
      <w:r>
        <w:rPr>
          <w:rFonts w:ascii="Arial" w:cs="Arial" w:eastAsia="Arial" w:hAnsi="Arial"/>
          <w:sz w:val="16"/>
          <w:szCs w:val="16"/>
          <w:color w:val="auto"/>
        </w:rPr>
        <w:t>September 20, 2023</w:t>
      </w:r>
    </w:p>
    <w:p>
      <w:pPr>
        <w:spacing w:after="0" w:line="1"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3 of 4</w:t>
      </w:r>
    </w:p>
    <w:p>
      <w:pPr>
        <w:sectPr>
          <w:pgSz w:w="11900" w:h="16838" w:orient="portrait"/>
          <w:cols w:equalWidth="0" w:num="1">
            <w:col w:w="11240"/>
          </w:cols>
          <w:pgMar w:left="320" w:top="104"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6271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136271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58375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5560" w:type="dxa"/>
            <w:vAlign w:val="bottom"/>
          </w:tcPr>
          <w:p>
            <w:pPr>
              <w:spacing w:after="0"/>
              <w:rPr>
                <w:sz w:val="20"/>
                <w:szCs w:val="20"/>
                <w:color w:val="auto"/>
              </w:rPr>
            </w:pPr>
            <w:r>
              <w:rPr>
                <w:rFonts w:ascii="Arial" w:cs="Arial" w:eastAsia="Arial" w:hAnsi="Arial"/>
                <w:sz w:val="25"/>
                <w:szCs w:val="25"/>
                <w:b w:val="1"/>
                <w:bCs w:val="1"/>
                <w:i w:val="1"/>
                <w:iCs w:val="1"/>
                <w:color w:val="auto"/>
              </w:rPr>
              <w:t>Executive Recoupment Policy</w:t>
            </w:r>
          </w:p>
        </w:tc>
        <w:tc>
          <w:tcPr>
            <w:tcW w:w="4120" w:type="dxa"/>
            <w:vAlign w:val="bottom"/>
          </w:tcPr>
          <w:p>
            <w:pPr>
              <w:ind w:left="2000"/>
              <w:spacing w:after="0"/>
              <w:rPr>
                <w:sz w:val="20"/>
                <w:szCs w:val="20"/>
                <w:color w:val="auto"/>
              </w:rPr>
            </w:pPr>
            <w:r>
              <w:rPr>
                <w:rFonts w:ascii="Arial" w:cs="Arial" w:eastAsia="Arial" w:hAnsi="Arial"/>
                <w:sz w:val="25"/>
                <w:szCs w:val="25"/>
                <w:b w:val="1"/>
                <w:bCs w:val="1"/>
                <w:i w:val="1"/>
                <w:iCs w:val="1"/>
                <w:color w:val="auto"/>
              </w:rPr>
              <w:t>Company Policy</w:t>
            </w:r>
          </w:p>
        </w:tc>
      </w:tr>
      <w:tr>
        <w:trPr>
          <w:trHeight w:val="307"/>
        </w:trPr>
        <w:tc>
          <w:tcPr>
            <w:tcW w:w="5560" w:type="dxa"/>
            <w:vAlign w:val="bottom"/>
          </w:tcPr>
          <w:p>
            <w:pPr>
              <w:spacing w:after="0" w:line="234" w:lineRule="exact"/>
              <w:rPr>
                <w:sz w:val="20"/>
                <w:szCs w:val="20"/>
                <w:color w:val="auto"/>
              </w:rPr>
            </w:pPr>
            <w:r>
              <w:rPr>
                <w:rFonts w:ascii="Calibri" w:cs="Calibri" w:eastAsia="Calibri" w:hAnsi="Calibri"/>
                <w:sz w:val="20"/>
                <w:szCs w:val="20"/>
                <w:color w:val="auto"/>
              </w:rPr>
              <w:t>Version: 2.0 Applies To: Company</w:t>
            </w:r>
          </w:p>
        </w:tc>
        <w:tc>
          <w:tcPr>
            <w:tcW w:w="4120" w:type="dxa"/>
            <w:vAlign w:val="bottom"/>
          </w:tcPr>
          <w:p>
            <w:pPr>
              <w:ind w:left="2000"/>
              <w:spacing w:after="0"/>
              <w:rPr>
                <w:sz w:val="20"/>
                <w:szCs w:val="20"/>
                <w:color w:val="auto"/>
              </w:rPr>
            </w:pPr>
            <w:r>
              <w:rPr>
                <w:rFonts w:ascii="Arial" w:cs="Arial" w:eastAsia="Arial" w:hAnsi="Arial"/>
                <w:sz w:val="22"/>
                <w:szCs w:val="22"/>
                <w:b w:val="1"/>
                <w:bCs w:val="1"/>
                <w:i w:val="1"/>
                <w:iCs w:val="1"/>
                <w:color w:val="auto"/>
                <w:w w:val="97"/>
              </w:rPr>
              <w:t>Governance Policies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to agree to abide by the terms of this Policy. Any right of recoupment under this Policy is in addition to, and not in lieu of, any other remedies or rights of recoupment that may be available to the Company pursuant to the terms of any similar policy in any</w:t>
      </w:r>
    </w:p>
    <w:p>
      <w:pPr>
        <w:spacing w:after="0" w:line="1" w:lineRule="exact"/>
        <w:rPr>
          <w:sz w:val="20"/>
          <w:szCs w:val="20"/>
          <w:color w:val="auto"/>
        </w:rPr>
      </w:pPr>
    </w:p>
    <w:p>
      <w:pPr>
        <w:ind w:right="120"/>
        <w:spacing w:after="0" w:line="420" w:lineRule="auto"/>
        <w:rPr>
          <w:sz w:val="20"/>
          <w:szCs w:val="20"/>
          <w:color w:val="auto"/>
        </w:rPr>
      </w:pPr>
      <w:r>
        <w:rPr>
          <w:rFonts w:ascii="Arial" w:cs="Arial" w:eastAsia="Arial" w:hAnsi="Arial"/>
          <w:sz w:val="20"/>
          <w:szCs w:val="20"/>
          <w:color w:val="auto"/>
        </w:rPr>
        <w:t xml:space="preserve">employment agreement, equity award agreement or similar agreement and any other legal remedies available to the Company. </w:t>
      </w:r>
      <w:r>
        <w:rPr>
          <w:rFonts w:ascii="Arial" w:cs="Arial" w:eastAsia="Arial" w:hAnsi="Arial"/>
          <w:sz w:val="20"/>
          <w:szCs w:val="20"/>
          <w:b w:val="1"/>
          <w:bCs w:val="1"/>
          <w:u w:val="single" w:color="auto"/>
          <w:color w:val="auto"/>
        </w:rPr>
        <w:t>Impracticability</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Successors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Powell Industries, Inc. Company Policy</w:t>
      </w:r>
    </w:p>
    <w:p>
      <w:pPr>
        <w:spacing w:after="0" w:line="211" w:lineRule="auto"/>
        <w:rPr>
          <w:sz w:val="20"/>
          <w:szCs w:val="20"/>
          <w:color w:val="auto"/>
        </w:rPr>
      </w:pPr>
      <w:r>
        <w:rPr>
          <w:rFonts w:ascii="Arial" w:cs="Arial" w:eastAsia="Arial" w:hAnsi="Arial"/>
          <w:sz w:val="16"/>
          <w:szCs w:val="16"/>
          <w:color w:val="auto"/>
        </w:rPr>
        <w:t>Governance Policies</w:t>
      </w:r>
    </w:p>
    <w:p>
      <w:pPr>
        <w:spacing w:after="0" w:line="211" w:lineRule="auto"/>
        <w:rPr>
          <w:sz w:val="20"/>
          <w:szCs w:val="20"/>
          <w:color w:val="auto"/>
        </w:rPr>
      </w:pPr>
      <w:r>
        <w:rPr>
          <w:rFonts w:ascii="Arial" w:cs="Arial" w:eastAsia="Arial" w:hAnsi="Arial"/>
          <w:sz w:val="16"/>
          <w:szCs w:val="16"/>
          <w:color w:val="auto"/>
        </w:rPr>
        <w:t>Executive Recoupment Policy</w:t>
      </w:r>
    </w:p>
    <w:p>
      <w:pPr>
        <w:spacing w:after="0" w:line="211" w:lineRule="auto"/>
        <w:rPr>
          <w:sz w:val="20"/>
          <w:szCs w:val="20"/>
          <w:color w:val="auto"/>
        </w:rPr>
      </w:pPr>
      <w:r>
        <w:rPr>
          <w:rFonts w:ascii="Arial" w:cs="Arial" w:eastAsia="Arial" w:hAnsi="Arial"/>
          <w:sz w:val="16"/>
          <w:szCs w:val="16"/>
          <w:color w:val="auto"/>
        </w:rPr>
        <w:t>September 20, 2023</w:t>
      </w:r>
    </w:p>
    <w:p>
      <w:pPr>
        <w:spacing w:after="0" w:line="1"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4 of 4</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4FD6B4F"/>
    <w:multiLevelType w:val="hybridMultilevel"/>
    <w:lvl w:ilvl="0">
      <w:lvlJc w:val="left"/>
      <w:lvlText w:val="☒"/>
      <w:numFmt w:val="bullet"/>
      <w:start w:val="1"/>
    </w:lvl>
  </w:abstractNum>
  <w:abstractNum w:abstractNumId="1">
    <w:nsid w:val="5915FF32"/>
    <w:multiLevelType w:val="hybridMultilevel"/>
    <w:lvl w:ilvl="0">
      <w:lvlJc w:val="left"/>
      <w:lvlText w:val="☐"/>
      <w:numFmt w:val="bullet"/>
      <w:start w:val="1"/>
    </w:lvl>
  </w:abstractNum>
  <w:abstractNum w:abstractNumId="2">
    <w:nsid w:val="56438D15"/>
    <w:multiLevelType w:val="hybridMultilevel"/>
    <w:lvl w:ilvl="0">
      <w:lvlJc w:val="left"/>
      <w:lvlText w:val="$"/>
      <w:numFmt w:val="bullet"/>
      <w:start w:val="1"/>
    </w:lvl>
  </w:abstractNum>
  <w:abstractNum w:abstractNumId="3">
    <w:nsid w:val="519E3149"/>
    <w:multiLevelType w:val="hybridMultilevel"/>
    <w:lvl w:ilvl="0">
      <w:lvlJc w:val="left"/>
      <w:lvlText w:val="$"/>
      <w:numFmt w:val="bullet"/>
      <w:start w:val="1"/>
    </w:lvl>
  </w:abstractNum>
  <w:abstractNum w:abstractNumId="4">
    <w:nsid w:val="2C6E4AFD"/>
    <w:multiLevelType w:val="hybridMultilevel"/>
    <w:lvl w:ilvl="0">
      <w:lvlJc w:val="left"/>
      <w:lvlText w:val="(%1)"/>
      <w:numFmt w:val="decimal"/>
      <w:start w:val="1"/>
    </w:lvl>
  </w:abstractNum>
  <w:abstractNum w:abstractNumId="5">
    <w:nsid w:val="17A1B582"/>
    <w:multiLevelType w:val="hybridMultilevel"/>
    <w:lvl w:ilvl="0">
      <w:lvlJc w:val="left"/>
      <w:lvlText w:val="(%1)"/>
      <w:numFmt w:val="decimal"/>
      <w:start w:val="1"/>
    </w:lvl>
  </w:abstractNum>
  <w:abstractNum w:abstractNumId="6">
    <w:nsid w:val="4DF72E4E"/>
    <w:multiLevelType w:val="hybridMultilevel"/>
    <w:lvl w:ilvl="0">
      <w:lvlJc w:val="left"/>
      <w:lvlText w:val="(%1)"/>
      <w:numFmt w:val="decimal"/>
      <w:start w:val="1"/>
    </w:lvl>
  </w:abstractNum>
  <w:abstractNum w:abstractNumId="7">
    <w:nsid w:val="5046B5A9"/>
    <w:multiLevelType w:val="hybridMultilevel"/>
    <w:lvl w:ilvl="0">
      <w:lvlJc w:val="left"/>
      <w:lvlText w:val="(%1)"/>
      <w:numFmt w:val="decimal"/>
      <w:start w:val="1"/>
    </w:lvl>
  </w:abstractNum>
  <w:abstractNum w:abstractNumId="8">
    <w:nsid w:val="5D888A08"/>
    <w:multiLevelType w:val="hybridMultilevel"/>
    <w:lvl w:ilvl="0">
      <w:lvlJc w:val="left"/>
      <w:lvlText w:val="%1."/>
      <w:numFmt w:val="decimal"/>
      <w:start w:val="1"/>
    </w:lvl>
  </w:abstractNum>
  <w:abstractNum w:abstractNumId="9">
    <w:nsid w:val="2A082C70"/>
    <w:multiLevelType w:val="hybridMultilevel"/>
    <w:lvl w:ilvl="0">
      <w:lvlJc w:val="left"/>
      <w:lvlText w:val="*"/>
      <w:numFmt w:val="bullet"/>
      <w:start w:val="1"/>
    </w:lvl>
  </w:abstractNum>
  <w:abstractNum w:abstractNumId="10">
    <w:nsid w:val="5EC6AFD4"/>
    <w:multiLevelType w:val="hybridMultilevel"/>
    <w:lvl w:ilvl="0">
      <w:lvlJc w:val="left"/>
      <w:lvlText w:val="**"/>
      <w:numFmt w:val="bullet"/>
      <w:start w:val="1"/>
    </w:lvl>
  </w:abstractNum>
  <w:abstractNum w:abstractNumId="11">
    <w:nsid w:val="19E21BB2"/>
    <w:multiLevelType w:val="hybridMultilevel"/>
    <w:lvl w:ilvl="0">
      <w:lvlJc w:val="left"/>
      <w:lvlText w:val="***"/>
      <w:numFmt w:val="bullet"/>
      <w:start w:val="1"/>
    </w:lvl>
  </w:abstractNum>
  <w:abstractNum w:abstractNumId="12">
    <w:nsid w:val="75E0858A"/>
    <w:multiLevelType w:val="hybridMultilevel"/>
    <w:lvl w:ilvl="0">
      <w:lvlJc w:val="left"/>
      <w:lvlText w:val="****"/>
      <w:numFmt w:val="bullet"/>
      <w:start w:val="1"/>
    </w:lvl>
  </w:abstractNum>
  <w:abstractNum w:abstractNumId="13">
    <w:nsid w:val="57A61A29"/>
    <w:multiLevelType w:val="hybridMultilevel"/>
    <w:lvl w:ilvl="0">
      <w:lvlJc w:val="left"/>
      <w:lvlText w:val="%1."/>
      <w:numFmt w:val="upperLetter"/>
      <w:start w:val="1"/>
    </w:lvl>
  </w:abstractNum>
  <w:abstractNum w:abstractNumId="14">
    <w:nsid w:val="5399C654"/>
    <w:multiLevelType w:val="hybridMultilevel"/>
    <w:lvl w:ilvl="0">
      <w:lvlJc w:val="left"/>
      <w:lvlText w:val="(%1)"/>
      <w:numFmt w:val="lowerRoman"/>
      <w:start w:val="2"/>
    </w:lvl>
    <w:lvl w:ilvl="1">
      <w:lvlJc w:val="left"/>
      <w:lvlText w:val="%2."/>
      <w:numFmt w:val="upperLetter"/>
      <w:start w:val="3"/>
    </w:lvl>
  </w:abstractNum>
  <w:abstractNum w:abstractNumId="15">
    <w:nsid w:val="20EE1348"/>
    <w:multiLevelType w:val="hybridMultilevel"/>
    <w:lvl w:ilvl="0">
      <w:lvlJc w:val="left"/>
      <w:lvlText w:val="%1."/>
      <w:numFmt w:val="decimal"/>
      <w:start w:val="1"/>
    </w:lvl>
  </w:abstractNum>
  <w:abstractNum w:abstractNumId="16">
    <w:nsid w:val="4427069A"/>
    <w:multiLevelType w:val="hybridMultilevel"/>
    <w:lvl w:ilvl="0">
      <w:lvlJc w:val="left"/>
      <w:lvlText w:val="%1."/>
      <w:numFmt w:val="decimal"/>
      <w:start w:val="2"/>
    </w:lvl>
    <w:lvl w:ilvl="1">
      <w:lvlJc w:val="left"/>
      <w:lvlText w:val="(%2)"/>
      <w:numFmt w:val="lowerLetter"/>
      <w:start w:val="1"/>
    </w:lvl>
  </w:abstractNum>
  <w:abstractNum w:abstractNumId="17">
    <w:nsid w:val="B37E80A"/>
    <w:multiLevelType w:val="hybridMultilevel"/>
    <w:lvl w:ilvl="0">
      <w:lvlJc w:val="left"/>
      <w:lvlText w:val="(%1)"/>
      <w:numFmt w:val="lowerLetter"/>
      <w:start w:val="1"/>
    </w:lvl>
  </w:abstractNum>
  <w:abstractNum w:abstractNumId="18">
    <w:nsid w:val="2157F6BC"/>
    <w:multiLevelType w:val="hybridMultilevel"/>
    <w:lvl w:ilvl="0">
      <w:lvlJc w:val="left"/>
      <w:lvlText w:val="%1."/>
      <w:numFmt w:val="decimal"/>
      <w:start w:val="3"/>
    </w:lvl>
    <w:lvl w:ilvl="1">
      <w:lvlJc w:val="left"/>
      <w:lvlText w:val="(%2)"/>
      <w:numFmt w:val="lowerLetter"/>
      <w:start w:val="1"/>
    </w:lvl>
  </w:abstractNum>
  <w:abstractNum w:abstractNumId="19">
    <w:nsid w:val="704E1DD5"/>
    <w:multiLevelType w:val="hybridMultilevel"/>
    <w:lvl w:ilvl="0">
      <w:lvlJc w:val="left"/>
      <w:lvlText w:val="%1."/>
      <w:numFmt w:val="decimal"/>
      <w:start w:val="4"/>
    </w:lvl>
  </w:abstractNum>
  <w:abstractNum w:abstractNumId="20">
    <w:nsid w:val="57D2F10E"/>
    <w:multiLevelType w:val="hybridMultilevel"/>
    <w:lvl w:ilvl="0">
      <w:lvlJc w:val="left"/>
      <w:lvlText w:val="(%1)"/>
      <w:numFmt w:val="lowerLetter"/>
      <w:start w:val="1"/>
    </w:lvl>
  </w:abstractNum>
  <w:abstractNum w:abstractNumId="21">
    <w:nsid w:val="BFFAE18"/>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22">
    <w:nsid w:val="E3E47A8"/>
    <w:multiLevelType w:val="hybridMultilevel"/>
    <w:lvl w:ilvl="0">
      <w:lvlJc w:val="left"/>
      <w:lvlText w:val="(%1)"/>
      <w:numFmt w:val="lowerLetter"/>
      <w:start w:val="5"/>
    </w:lvl>
  </w:abstractNum>
  <w:abstractNum w:abstractNumId="23">
    <w:nsid w:val="2E48F044"/>
    <w:multiLevelType w:val="hybridMultilevel"/>
    <w:lvl w:ilvl="0">
      <w:lvlJc w:val="left"/>
      <w:lvlText w:val="%1."/>
      <w:numFmt w:val="decimal"/>
      <w:start w:val="5"/>
    </w:lvl>
  </w:abstractNum>
  <w:abstractNum w:abstractNumId="24">
    <w:nsid w:val="49D0FEAC"/>
    <w:multiLevelType w:val="hybridMultilevel"/>
    <w:lvl w:ilvl="0">
      <w:lvlJc w:val="left"/>
      <w:lvlText w:val="(%1)"/>
      <w:numFmt w:val="lowerLetter"/>
      <w:start w:val="1"/>
    </w:lvl>
  </w:abstractNum>
  <w:abstractNum w:abstractNumId="25">
    <w:nsid w:val="4BEE5A5B"/>
    <w:multiLevelType w:val="hybridMultilevel"/>
    <w:lvl w:ilvl="0">
      <w:lvlJc w:val="left"/>
      <w:lvlText w:val="(%1)"/>
      <w:numFmt w:val="lowerLetter"/>
      <w:start w:val="2"/>
    </w:lvl>
  </w:abstractNum>
  <w:abstractNum w:abstractNumId="26">
    <w:nsid w:val="5551B9F3"/>
    <w:multiLevelType w:val="hybridMultilevel"/>
    <w:lvl w:ilvl="0">
      <w:lvlJc w:val="left"/>
      <w:lvlText w:val="%1."/>
      <w:numFmt w:val="decimal"/>
      <w:start w:val="7"/>
    </w:lvl>
  </w:abstractNum>
  <w:abstractNum w:abstractNumId="27">
    <w:nsid w:val="24F6AB8E"/>
    <w:multiLevelType w:val="hybridMultilevel"/>
    <w:lvl w:ilvl="0">
      <w:lvlJc w:val="left"/>
      <w:lvlText w:val="(%1)"/>
      <w:numFmt w:val="lowerLetter"/>
      <w:start w:val="1"/>
    </w:lvl>
  </w:abstractNum>
  <w:abstractNum w:abstractNumId="28">
    <w:nsid w:val="634C574C"/>
    <w:multiLevelType w:val="hybridMultilevel"/>
    <w:lvl w:ilvl="0">
      <w:lvlJc w:val="left"/>
      <w:lvlText w:val="(%1)"/>
      <w:numFmt w:val="lowerLetter"/>
      <w:start w:val="7"/>
    </w:lvl>
  </w:abstractNum>
  <w:abstractNum w:abstractNumId="29">
    <w:nsid w:val="24E99DD7"/>
    <w:multiLevelType w:val="hybridMultilevel"/>
    <w:lvl w:ilvl="0">
      <w:lvlJc w:val="left"/>
      <w:lvlText w:val="%1."/>
      <w:numFmt w:val="decimal"/>
      <w:start w:val="8"/>
    </w:lvl>
  </w:abstractNum>
  <w:abstractNum w:abstractNumId="30">
    <w:nsid w:val="2A31B62D"/>
    <w:multiLevelType w:val="hybridMultilevel"/>
    <w:lvl w:ilvl="0">
      <w:lvlJc w:val="left"/>
      <w:lvlText w:val="%1."/>
      <w:numFmt w:val="upperLetter"/>
      <w:start w:val="1"/>
    </w:lvl>
  </w:abstractNum>
  <w:abstractNum w:abstractNumId="31">
    <w:nsid w:val="1849C29B"/>
    <w:multiLevelType w:val="hybridMultilevel"/>
    <w:lvl w:ilvl="0">
      <w:lvlJc w:val="left"/>
      <w:lvlText w:val="%1."/>
      <w:numFmt w:val="upperLetter"/>
      <w:start w:val="9"/>
    </w:lvl>
  </w:abstractNum>
  <w:abstractNum w:abstractNumId="32">
    <w:nsid w:val="7DFF9D09"/>
    <w:multiLevelType w:val="hybridMultilevel"/>
    <w:lvl w:ilvl="0">
      <w:lvlJc w:val="left"/>
      <w:lvlText w:val="(%1)"/>
      <w:numFmt w:val="lowerLetter"/>
      <w:start w:val="1"/>
    </w:lvl>
  </w:abstractNum>
  <w:abstractNum w:abstractNumId="33">
    <w:nsid w:val="754342"/>
    <w:multiLevelType w:val="hybridMultilevel"/>
    <w:lvl w:ilvl="0">
      <w:lvlJc w:val="left"/>
      <w:lvlText w:val="(%1)"/>
      <w:numFmt w:val="lowerLetter"/>
      <w:start w:val="1"/>
    </w:lvl>
  </w:abstractNum>
  <w:abstractNum w:abstractNumId="34">
    <w:nsid w:val="69E7F3E5"/>
    <w:multiLevelType w:val="hybridMultilevel"/>
    <w:lvl w:ilvl="0">
      <w:lvlJc w:val="left"/>
      <w:lvlText w:val="(%1)"/>
      <w:numFmt w:val="lowerLetter"/>
      <w:start w:val="1"/>
    </w:lvl>
  </w:abstractNum>
  <w:abstractNum w:abstractNumId="35">
    <w:nsid w:val="2A6DE806"/>
    <w:multiLevelType w:val="hybridMultilevel"/>
    <w:lvl w:ilvl="0">
      <w:lvlJc w:val="left"/>
      <w:lvlText w:val="(%1)"/>
      <w:numFmt w:val="lowerLetter"/>
      <w:start w:val="3"/>
    </w:lvl>
  </w:abstractNum>
  <w:abstractNum w:abstractNumId="36">
    <w:nsid w:val="1816F8C4"/>
    <w:multiLevelType w:val="hybridMultilevel"/>
    <w:lvl w:ilvl="0">
      <w:lvlJc w:val="left"/>
      <w:lvlText w:val="(%1)"/>
      <w:numFmt w:val="lowerLetter"/>
      <w:start w:val="2"/>
    </w:lvl>
  </w:abstractNum>
  <w:abstractNum w:abstractNumId="37">
    <w:nsid w:val="37DF2233"/>
    <w:multiLevelType w:val="hybridMultilevel"/>
    <w:lvl w:ilvl="0">
      <w:lvlJc w:val="left"/>
      <w:lvlText w:val="(%1)"/>
      <w:numFmt w:val="lowerLetter"/>
      <w:start w:val="1"/>
    </w:lvl>
  </w:abstractNum>
  <w:abstractNum w:abstractNumId="38">
    <w:nsid w:val="7AB49DAF"/>
    <w:multiLevelType w:val="hybridMultilevel"/>
    <w:lvl w:ilvl="0">
      <w:lvlJc w:val="left"/>
      <w:lvlText w:val="(%1)"/>
      <w:numFmt w:val="lowerLetter"/>
      <w:start w:val="1"/>
    </w:lvl>
  </w:abstractNum>
  <w:abstractNum w:abstractNumId="39">
    <w:nsid w:val="759F82CD"/>
    <w:multiLevelType w:val="hybridMultilevel"/>
    <w:lvl w:ilvl="0">
      <w:lvlJc w:val="left"/>
      <w:lvlText w:val="(%1)"/>
      <w:numFmt w:val="lowerLetter"/>
      <w:start w:val="2"/>
    </w:lvl>
  </w:abstractNum>
  <w:abstractNum w:abstractNumId="40">
    <w:nsid w:val="61E74EA3"/>
    <w:multiLevelType w:val="hybridMultilevel"/>
    <w:lvl w:ilvl="0">
      <w:lvlJc w:val="left"/>
      <w:lvlText w:val="(%1)"/>
      <w:numFmt w:val="lowerLetter"/>
      <w:start w:val="1"/>
    </w:lvl>
  </w:abstractNum>
  <w:abstractNum w:abstractNumId="41">
    <w:nsid w:val="597B4D84"/>
    <w:multiLevelType w:val="hybridMultilevel"/>
    <w:lvl w:ilvl="0">
      <w:lvlJc w:val="left"/>
      <w:lvlText w:val="(%1)"/>
      <w:numFmt w:val="lowerLetter"/>
      <w:start w:val="1"/>
    </w:lvl>
  </w:abstractNum>
  <w:abstractNum w:abstractNumId="42">
    <w:nsid w:val="F819E7F"/>
    <w:multiLevelType w:val="hybridMultilevel"/>
    <w:lvl w:ilvl="0">
      <w:lvlJc w:val="left"/>
      <w:lvlText w:val="(%1)"/>
      <w:numFmt w:val="lowerRoman"/>
      <w:start w:val="4"/>
    </w:lvl>
  </w:abstractNum>
  <w:abstractNum w:abstractNumId="43">
    <w:nsid w:val="57C7D42D"/>
    <w:multiLevelType w:val="hybridMultilevel"/>
    <w:lvl w:ilvl="0">
      <w:lvlJc w:val="left"/>
      <w:lvlText w:val="(%1)"/>
      <w:numFmt w:val="lowerLetter"/>
      <w:start w:val="1"/>
    </w:lvl>
  </w:abstractNum>
  <w:abstractNum w:abstractNumId="44">
    <w:nsid w:val="312167AD"/>
    <w:multiLevelType w:val="hybridMultilevel"/>
    <w:lvl w:ilvl="0">
      <w:lvlJc w:val="left"/>
      <w:lvlText w:val="(%1)"/>
      <w:numFmt w:val="lowerLetter"/>
      <w:start w:val="4"/>
    </w:lvl>
  </w:abstractNum>
  <w:abstractNum w:abstractNumId="45">
    <w:nsid w:val="631B64D4"/>
    <w:multiLevelType w:val="hybridMultilevel"/>
    <w:lvl w:ilvl="0">
      <w:lvlJc w:val="left"/>
      <w:lvlText w:val="(%1)"/>
      <w:numFmt w:val="lowerLetter"/>
      <w:start w:val="3"/>
    </w:lvl>
  </w:abstractNum>
  <w:abstractNum w:abstractNumId="46">
    <w:nsid w:val="78B5E776"/>
    <w:multiLevelType w:val="hybridMultilevel"/>
    <w:lvl w:ilvl="0">
      <w:lvlJc w:val="left"/>
      <w:lvlText w:val="(%1)"/>
      <w:numFmt w:val="lowerRoman"/>
      <w:start w:val="2"/>
    </w:lvl>
  </w:abstractNum>
  <w:abstractNum w:abstractNumId="47">
    <w:nsid w:val="75486E47"/>
    <w:multiLevelType w:val="hybridMultilevel"/>
    <w:lvl w:ilvl="0">
      <w:lvlJc w:val="left"/>
      <w:lvlText w:val="(%1)"/>
      <w:numFmt w:val="lowerRoman"/>
      <w:start w:val="1"/>
    </w:lvl>
  </w:abstractNum>
  <w:abstractNum w:abstractNumId="48">
    <w:nsid w:val="6E534CDE"/>
    <w:multiLevelType w:val="hybridMultilevel"/>
    <w:lvl w:ilvl="0">
      <w:lvlJc w:val="left"/>
      <w:lvlText w:val="(%1)"/>
      <w:numFmt w:val="lowerLetter"/>
      <w:start w:val="1"/>
    </w:lvl>
  </w:abstractNum>
  <w:abstractNum w:abstractNumId="49">
    <w:nsid w:val="1A0DDE32"/>
    <w:multiLevelType w:val="hybridMultilevel"/>
    <w:lvl w:ilvl="0">
      <w:lvlJc w:val="left"/>
      <w:lvlText w:val="(%1)"/>
      <w:numFmt w:val="lowerLetter"/>
      <w:start w:val="6"/>
    </w:lvl>
  </w:abstractNum>
  <w:abstractNum w:abstractNumId="50">
    <w:nsid w:val="65968C1C"/>
    <w:multiLevelType w:val="hybridMultilevel"/>
    <w:lvl w:ilvl="0">
      <w:lvlJc w:val="left"/>
      <w:lvlText w:val="(%1)"/>
      <w:numFmt w:val="lowerLetter"/>
      <w:start w:val="1"/>
    </w:lvl>
  </w:abstractNum>
  <w:abstractNum w:abstractNumId="51">
    <w:nsid w:val="46263DEC"/>
    <w:multiLevelType w:val="hybridMultilevel"/>
    <w:lvl w:ilvl="0">
      <w:lvlJc w:val="left"/>
      <w:lvlText w:val="(%1)"/>
      <w:numFmt w:val="lowerLetter"/>
      <w:start w:val="3"/>
    </w:lvl>
  </w:abstractNum>
  <w:abstractNum w:abstractNumId="52">
    <w:nsid w:val="260D8C4A"/>
    <w:multiLevelType w:val="hybridMultilevel"/>
    <w:lvl w:ilvl="0">
      <w:lvlJc w:val="left"/>
      <w:lvlText w:val="(%1)"/>
      <w:numFmt w:val="lowerLetter"/>
      <w:start w:val="1"/>
    </w:lvl>
  </w:abstractNum>
  <w:abstractNum w:abstractNumId="53">
    <w:nsid w:val="73D4D3C4"/>
    <w:multiLevelType w:val="hybridMultilevel"/>
    <w:lvl w:ilvl="0">
      <w:lvlJc w:val="left"/>
      <w:lvlText w:val="(%1)"/>
      <w:numFmt w:val="lowerLetter"/>
      <w:start w:val="4"/>
    </w:lvl>
  </w:abstractNum>
  <w:abstractNum w:abstractNumId="54">
    <w:nsid w:val="746F2E30"/>
    <w:multiLevelType w:val="hybridMultilevel"/>
    <w:lvl w:ilvl="0">
      <w:lvlJc w:val="left"/>
      <w:lvlText w:val="(%1)"/>
      <w:numFmt w:val="lowerLetter"/>
      <w:start w:val="1"/>
    </w:lvl>
  </w:abstractNum>
  <w:abstractNum w:abstractNumId="55">
    <w:nsid w:val="6FDE8AF6"/>
    <w:multiLevelType w:val="hybridMultilevel"/>
    <w:lvl w:ilvl="0">
      <w:lvlJc w:val="left"/>
      <w:lvlText w:val="(%1)"/>
      <w:numFmt w:val="lowerLetter"/>
      <w:start w:val="3"/>
    </w:lvl>
  </w:abstractNum>
  <w:abstractNum w:abstractNumId="56">
    <w:nsid w:val="3FC32E20"/>
    <w:multiLevelType w:val="hybridMultilevel"/>
    <w:lvl w:ilvl="0">
      <w:lvlJc w:val="left"/>
      <w:lvlText w:val="(%1)"/>
      <w:numFmt w:val="lowerLetter"/>
      <w:start w:val="1"/>
    </w:lvl>
  </w:abstractNum>
  <w:abstractNum w:abstractNumId="57">
    <w:nsid w:val="49C0E823"/>
    <w:multiLevelType w:val="hybridMultilevel"/>
    <w:lvl w:ilvl="0">
      <w:lvlJc w:val="left"/>
      <w:lvlText w:val="(%1)"/>
      <w:numFmt w:val="lowerLetter"/>
      <w:start w:val="5"/>
    </w:lvl>
  </w:abstractNum>
  <w:abstractNum w:abstractNumId="58">
    <w:nsid w:val="14D53685"/>
    <w:multiLevelType w:val="hybridMultilevel"/>
    <w:lvl w:ilvl="0">
      <w:lvlJc w:val="left"/>
      <w:lvlText w:val="(%1)"/>
      <w:numFmt w:val="lowerLetter"/>
      <w:start w:val="2"/>
    </w:lvl>
  </w:abstractNum>
  <w:abstractNum w:abstractNumId="59">
    <w:nsid w:val="230F856C"/>
    <w:multiLevelType w:val="hybridMultilevel"/>
    <w:lvl w:ilvl="0">
      <w:lvlJc w:val="left"/>
      <w:lvlText w:val="(%1)"/>
      <w:numFmt w:val="lowerLetter"/>
      <w:start w:val="2"/>
    </w:lvl>
  </w:abstractNum>
  <w:abstractNum w:abstractNumId="60">
    <w:nsid w:val="6EAA85FB"/>
    <w:multiLevelType w:val="hybridMultilevel"/>
    <w:lvl w:ilvl="0">
      <w:lvlJc w:val="left"/>
      <w:lvlText w:val="(%1)"/>
      <w:numFmt w:val="lowerLetter"/>
      <w:start w:val="1"/>
    </w:lvl>
  </w:abstractNum>
  <w:abstractNum w:abstractNumId="61">
    <w:nsid w:val="3F06ECB2"/>
    <w:multiLevelType w:val="hybridMultilevel"/>
    <w:lvl w:ilvl="0">
      <w:lvlJc w:val="left"/>
      <w:lvlText w:val="(%1)"/>
      <w:numFmt w:val="lowerLetter"/>
      <w:start w:val="2"/>
    </w:lvl>
  </w:abstractNum>
  <w:abstractNum w:abstractNumId="62">
    <w:nsid w:val="3B594807"/>
    <w:multiLevelType w:val="hybridMultilevel"/>
    <w:lvl w:ilvl="0">
      <w:lvlJc w:val="left"/>
      <w:lvlText w:val="(%1)"/>
      <w:numFmt w:val="lowerLetter"/>
      <w:start w:val="1"/>
    </w:lvl>
  </w:abstractNum>
  <w:abstractNum w:abstractNumId="63">
    <w:nsid w:val="6CAA2304"/>
    <w:multiLevelType w:val="hybridMultilevel"/>
    <w:lvl w:ilvl="0">
      <w:lvlJc w:val="left"/>
      <w:lvlText w:val="(%1)"/>
      <w:numFmt w:val="lowerRoman"/>
      <w:start w:val="1"/>
    </w:lvl>
  </w:abstractNum>
  <w:abstractNum w:abstractNumId="64">
    <w:nsid w:val="3F7C2FF4"/>
    <w:multiLevelType w:val="hybridMultilevel"/>
    <w:lvl w:ilvl="0">
      <w:lvlJc w:val="left"/>
      <w:lvlText w:val="(%1)"/>
      <w:numFmt w:val="lowerLetter"/>
      <w:start w:val="2"/>
    </w:lvl>
  </w:abstractNum>
  <w:abstractNum w:abstractNumId="65">
    <w:nsid w:val="25413BEC"/>
    <w:multiLevelType w:val="hybridMultilevel"/>
    <w:lvl w:ilvl="0">
      <w:lvlJc w:val="left"/>
      <w:lvlText w:val="(%1)"/>
      <w:numFmt w:val="lowerLetter"/>
      <w:start w:val="1"/>
    </w:lvl>
  </w:abstractNum>
  <w:abstractNum w:abstractNumId="66">
    <w:nsid w:val="17180B0B"/>
    <w:multiLevelType w:val="hybridMultilevel"/>
    <w:lvl w:ilvl="0">
      <w:lvlJc w:val="left"/>
      <w:lvlText w:val="(%1)"/>
      <w:numFmt w:val="lowerLetter"/>
      <w:start w:val="2"/>
    </w:lvl>
  </w:abstractNum>
  <w:abstractNum w:abstractNumId="67">
    <w:nsid w:val="579328B9"/>
    <w:multiLevelType w:val="hybridMultilevel"/>
    <w:lvl w:ilvl="0">
      <w:lvlJc w:val="left"/>
      <w:lvlText w:val="(%1)"/>
      <w:numFmt w:val="lowerLetter"/>
      <w:start w:val="1"/>
    </w:lvl>
  </w:abstractNum>
  <w:abstractNum w:abstractNumId="68">
    <w:nsid w:val="5D205E20"/>
    <w:multiLevelType w:val="hybridMultilevel"/>
    <w:lvl w:ilvl="0">
      <w:lvlJc w:val="left"/>
      <w:lvlText w:val="(%1)"/>
      <w:numFmt w:val="lowerLetter"/>
      <w:start w:val="3"/>
    </w:lvl>
  </w:abstractNum>
  <w:abstractNum w:abstractNumId="69">
    <w:nsid w:val="11CCA8BA"/>
    <w:multiLevelType w:val="hybridMultilevel"/>
    <w:lvl w:ilvl="0">
      <w:lvlJc w:val="left"/>
      <w:lvlText w:val="(%1)"/>
      <w:numFmt w:val="lowerLetter"/>
      <w:start w:val="1"/>
    </w:lvl>
  </w:abstractNum>
  <w:abstractNum w:abstractNumId="70">
    <w:nsid w:val="4D32AB86"/>
    <w:multiLevelType w:val="hybridMultilevel"/>
    <w:lvl w:ilvl="0">
      <w:lvlJc w:val="left"/>
      <w:lvlText w:val="%1."/>
      <w:numFmt w:val="upperLetter"/>
      <w:start w:val="35"/>
    </w:lvl>
  </w:abstractNum>
  <w:abstractNum w:abstractNumId="71">
    <w:nsid w:val="3F07ACC3"/>
    <w:multiLevelType w:val="hybridMultilevel"/>
    <w:lvl w:ilvl="0">
      <w:lvlJc w:val="left"/>
      <w:lvlText w:val="(%1)"/>
      <w:numFmt w:val="lowerLetter"/>
      <w:start w:val="1"/>
    </w:lvl>
  </w:abstractNum>
  <w:abstractNum w:abstractNumId="72">
    <w:nsid w:val="6B47F63E"/>
    <w:multiLevelType w:val="hybridMultilevel"/>
    <w:lvl w:ilvl="0">
      <w:lvlJc w:val="left"/>
      <w:lvlText w:val="(%1)"/>
      <w:numFmt w:val="lowerLetter"/>
      <w:start w:val="2"/>
    </w:lvl>
  </w:abstractNum>
  <w:abstractNum w:abstractNumId="73">
    <w:nsid w:val="5CB44A05"/>
    <w:multiLevelType w:val="hybridMultilevel"/>
    <w:lvl w:ilvl="0">
      <w:lvlJc w:val="left"/>
      <w:lvlText w:val="(%1)"/>
      <w:numFmt w:val="lowerLetter"/>
      <w:start w:val="1"/>
    </w:lvl>
    <w:lvl w:ilvl="1">
      <w:lvlJc w:val="left"/>
      <w:lvlText w:val="(%2)"/>
      <w:numFmt w:val="lowerRoman"/>
      <w:start w:val="1"/>
    </w:lvl>
  </w:abstractNum>
  <w:abstractNum w:abstractNumId="74">
    <w:nsid w:val="16CF80F1"/>
    <w:multiLevelType w:val="hybridMultilevel"/>
    <w:lvl w:ilvl="0">
      <w:lvlJc w:val="left"/>
      <w:lvlText w:val="(%1)"/>
      <w:numFmt w:val="decimal"/>
      <w:start w:val="2"/>
    </w:lvl>
  </w:abstractNum>
  <w:abstractNum w:abstractNumId="75">
    <w:nsid w:val="1C695DE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6">
    <w:nsid w:val="3FCFAED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77">
    <w:nsid w:val="F85686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8">
    <w:nsid w:val="11B1CC33"/>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79">
    <w:nsid w:val="2E22FBB7"/>
    <w:multiLevelType w:val="hybridMultilevel"/>
    <w:lvl w:ilvl="0">
      <w:lvlJc w:val="left"/>
      <w:lvlText w:val="(%1)"/>
      <w:numFmt w:val="lowerRoman"/>
      <w:start w:val="2"/>
    </w:lvl>
  </w:abstractNum>
  <w:abstractNum w:abstractNumId="80">
    <w:nsid w:val="29934699"/>
    <w:multiLevelType w:val="hybridMultilevel"/>
    <w:lvl w:ilvl="0">
      <w:lvlJc w:val="left"/>
      <w:lvlText w:val="%1"/>
      <w:numFmt w:val="lowerLetter"/>
      <w:start w:val="1"/>
    </w:lvl>
    <w:lvl w:ilvl="1">
      <w:lvlJc w:val="left"/>
      <w:lvlText w:val="(%2)"/>
      <w:numFmt w:val="lowerRoman"/>
      <w:start w:val="3"/>
    </w:lvl>
  </w:abstractNum>
  <w:abstractNum w:abstractNumId="81">
    <w:nsid w:val="77485850"/>
    <w:multiLevelType w:val="hybridMultilevel"/>
    <w:lvl w:ilvl="0">
      <w:lvlJc w:val="left"/>
      <w:lvlText w:val="(%1)"/>
      <w:numFmt w:val="lowerLetter"/>
      <w:start w:val="6"/>
    </w:lvl>
    <w:lvl w:ilvl="1">
      <w:lvlJc w:val="left"/>
      <w:lvlText w:val="(%2)"/>
      <w:numFmt w:val="lowerRoman"/>
      <w:start w:val="1"/>
    </w:lvl>
  </w:abstractNum>
  <w:abstractNum w:abstractNumId="82">
    <w:nsid w:val="744939A3"/>
    <w:multiLevelType w:val="hybridMultilevel"/>
    <w:lvl w:ilvl="0">
      <w:lvlJc w:val="left"/>
      <w:lvlText w:val="%1"/>
      <w:numFmt w:val="lowerLetter"/>
      <w:start w:val="1"/>
    </w:lvl>
    <w:lvl w:ilvl="1">
      <w:lvlJc w:val="left"/>
      <w:lvlText w:val="(%2)"/>
      <w:numFmt w:val="lowerRoman"/>
      <w:start w:val="3"/>
    </w:lvl>
  </w:abstractNum>
  <w:abstractNum w:abstractNumId="83">
    <w:nsid w:val="4FA0D2E3"/>
    <w:multiLevelType w:val="hybridMultilevel"/>
    <w:lvl w:ilvl="0">
      <w:lvlJc w:val="left"/>
      <w:lvlText w:val="(%1)"/>
      <w:numFmt w:val="lowerLetter"/>
      <w:start w:val="8"/>
    </w:lvl>
    <w:lvl w:ilvl="1">
      <w:lvlJc w:val="left"/>
      <w:lvlText w:val="%2"/>
      <w:numFmt w:val="lowerRoman"/>
      <w:start w:val="1"/>
    </w:lvl>
  </w:abstractNum>
  <w:abstractNum w:abstractNumId="84">
    <w:nsid w:val="6B1D2C14"/>
    <w:multiLevelType w:val="hybridMultilevel"/>
    <w:lvl w:ilvl="0">
      <w:lvlJc w:val="left"/>
      <w:lvlText w:val="(%1)"/>
      <w:numFmt w:val="lowerRoman"/>
      <w:start w:val="1"/>
    </w:lvl>
    <w:lvl w:ilvl="1">
      <w:lvlJc w:val="left"/>
      <w:lvlText w:val="(%2)"/>
      <w:numFmt w:val="lowerRoman"/>
      <w:start w:val="1"/>
    </w:lvl>
  </w:abstractNum>
  <w:abstractNum w:abstractNumId="85">
    <w:nsid w:val="68B867D3"/>
    <w:multiLevelType w:val="hybridMultilevel"/>
    <w:lvl w:ilvl="0">
      <w:lvlJc w:val="left"/>
      <w:lvlText w:val="(%1)"/>
      <w:numFmt w:val="upperLetter"/>
      <w:start w:val="4"/>
    </w:lvl>
    <w:lvl w:ilvl="1">
      <w:lvlJc w:val="left"/>
      <w:lvlText w:val="(%2)"/>
      <w:numFmt w:val="lowerLetter"/>
      <w:start w:val="10"/>
    </w:lvl>
  </w:abstractNum>
  <w:abstractNum w:abstractNumId="86">
    <w:nsid w:val="3F7F5DD9"/>
    <w:multiLevelType w:val="hybridMultilevel"/>
    <w:lvl w:ilvl="0">
      <w:lvlJc w:val="left"/>
      <w:lvlText w:val="(%1)"/>
      <w:numFmt w:val="lowerLetter"/>
      <w:start w:val="11"/>
    </w:lvl>
  </w:abstractNum>
  <w:abstractNum w:abstractNumId="87">
    <w:nsid w:val="2AE05A34"/>
    <w:multiLevelType w:val="hybridMultilevel"/>
    <w:lvl w:ilvl="0">
      <w:lvlJc w:val="left"/>
      <w:lvlText w:val="(%1)"/>
      <w:numFmt w:val="lowerLetter"/>
      <w:start w:val="16"/>
    </w:lvl>
    <w:lvl w:ilvl="1">
      <w:lvlJc w:val="left"/>
      <w:lvlText w:val="(%2)"/>
      <w:numFmt w:val="lowerRoman"/>
      <w:start w:val="1"/>
    </w:lvl>
  </w:abstractNum>
  <w:abstractNum w:abstractNumId="88">
    <w:nsid w:val="32794FF7"/>
    <w:multiLevelType w:val="hybridMultilevel"/>
    <w:lvl w:ilvl="0">
      <w:lvlJc w:val="left"/>
      <w:lvlText w:val="(%1)"/>
      <w:numFmt w:val="lowerLetter"/>
      <w:start w:val="18"/>
    </w:lvl>
  </w:abstractNum>
  <w:abstractNum w:abstractNumId="89">
    <w:nsid w:val="5454945E"/>
    <w:multiLevelType w:val="hybridMultilevel"/>
    <w:lvl w:ilvl="0">
      <w:lvlJc w:val="left"/>
      <w:lvlText w:val="(%1)"/>
      <w:numFmt w:val="lowerLetter"/>
      <w:start w:val="1"/>
    </w:lvl>
  </w:abstractNum>
  <w:abstractNum w:abstractNumId="90">
    <w:nsid w:val="4DEFDFA0"/>
    <w:multiLevelType w:val="hybridMultilevel"/>
    <w:lvl w:ilvl="0">
      <w:lvlJc w:val="left"/>
      <w:lvlText w:val="(%1)"/>
      <w:numFmt w:val="lowerLetter"/>
      <w:start w:val="2"/>
    </w:lvl>
    <w:lvl w:ilvl="1">
      <w:lvlJc w:val="left"/>
      <w:lvlText w:val="(%2)"/>
      <w:numFmt w:val="lowerRoman"/>
      <w:start w:val="1"/>
    </w:lvl>
  </w:abstractNum>
  <w:abstractNum w:abstractNumId="91">
    <w:nsid w:val="2123D5F2"/>
    <w:multiLevelType w:val="hybridMultilevel"/>
    <w:lvl w:ilvl="0">
      <w:lvlJc w:val="left"/>
      <w:lvlText w:val="%1"/>
      <w:numFmt w:val="lowerLetter"/>
      <w:start w:val="1"/>
    </w:lvl>
    <w:lvl w:ilvl="1">
      <w:lvlJc w:val="left"/>
      <w:lvlText w:val="(%2)"/>
      <w:numFmt w:val="lowerRoman"/>
      <w:start w:val="3"/>
    </w:lvl>
  </w:abstractNum>
  <w:abstractNum w:abstractNumId="92">
    <w:nsid w:val="135B8110"/>
    <w:multiLevelType w:val="hybridMultilevel"/>
    <w:lvl w:ilvl="0">
      <w:lvlJc w:val="left"/>
      <w:lvlText w:val="(%1)"/>
      <w:numFmt w:val="lowerLetter"/>
      <w:start w:val="4"/>
    </w:lvl>
    <w:lvl w:ilvl="1">
      <w:lvlJc w:val="left"/>
      <w:lvlText w:val="(%2)"/>
      <w:numFmt w:val="lowerRoman"/>
      <w:start w:val="1"/>
    </w:lvl>
  </w:abstractNum>
  <w:abstractNum w:abstractNumId="93">
    <w:nsid w:val="94927A8"/>
    <w:multiLevelType w:val="hybridMultilevel"/>
    <w:lvl w:ilvl="0">
      <w:lvlJc w:val="left"/>
      <w:lvlText w:val="(%1)"/>
      <w:numFmt w:val="lowerLetter"/>
      <w:start w:val="6"/>
    </w:lvl>
  </w:abstractNum>
  <w:abstractNum w:abstractNumId="94">
    <w:nsid w:val="DCDF8F6"/>
    <w:multiLevelType w:val="hybridMultilevel"/>
    <w:lvl w:ilvl="0">
      <w:lvlJc w:val="left"/>
      <w:lvlText w:val="(%1)"/>
      <w:numFmt w:val="lowerLetter"/>
      <w:start w:val="1"/>
    </w:lvl>
    <w:lvl w:ilvl="1">
      <w:lvlJc w:val="left"/>
      <w:lvlText w:val="(%2)"/>
      <w:numFmt w:val="lowerRoman"/>
      <w:start w:val="1"/>
    </w:lvl>
  </w:abstractNum>
  <w:abstractNum w:abstractNumId="95">
    <w:nsid w:val="52D7B105"/>
    <w:multiLevelType w:val="hybridMultilevel"/>
    <w:lvl w:ilvl="0">
      <w:lvlJc w:val="left"/>
      <w:lvlText w:val="(%1)"/>
      <w:numFmt w:val="lowerLetter"/>
      <w:start w:val="2"/>
    </w:lvl>
    <w:lvl w:ilvl="1">
      <w:lvlJc w:val="left"/>
      <w:lvlText w:val="(%2)"/>
      <w:numFmt w:val="lowerRoman"/>
      <w:start w:val="1"/>
    </w:lvl>
  </w:abstractNum>
  <w:abstractNum w:abstractNumId="96">
    <w:nsid w:val="2E8A6394"/>
    <w:multiLevelType w:val="hybridMultilevel"/>
    <w:lvl w:ilvl="0">
      <w:lvlJc w:val="left"/>
      <w:lvlText w:val="(%1)"/>
      <w:numFmt w:val="lowerLetter"/>
      <w:start w:val="1"/>
    </w:lvl>
  </w:abstractNum>
  <w:abstractNum w:abstractNumId="97">
    <w:nsid w:val="24E60401"/>
    <w:multiLevelType w:val="hybridMultilevel"/>
    <w:lvl w:ilvl="0">
      <w:lvlJc w:val="left"/>
      <w:lvlText w:val="(%1)"/>
      <w:numFmt w:val="lowerLetter"/>
      <w:start w:val="1"/>
    </w:lvl>
  </w:abstractNum>
  <w:abstractNum w:abstractNumId="98">
    <w:nsid w:val="2A6AD9BE"/>
    <w:multiLevelType w:val="hybridMultilevel"/>
    <w:lvl w:ilvl="0">
      <w:lvlJc w:val="left"/>
      <w:lvlText w:val="(%1)"/>
      <w:numFmt w:val="lowerLetter"/>
      <w:start w:val="1"/>
    </w:lvl>
  </w:abstractNum>
  <w:abstractNum w:abstractNumId="99">
    <w:nsid w:val="BAAC1B4"/>
    <w:multiLevelType w:val="hybridMultilevel"/>
    <w:lvl w:ilvl="0">
      <w:lvlJc w:val="left"/>
      <w:lvlText w:val="(%1)"/>
      <w:numFmt w:val="lowerLetter"/>
      <w:start w:val="2"/>
    </w:lvl>
    <w:lvl w:ilvl="1">
      <w:lvlJc w:val="left"/>
      <w:lvlText w:val="(%2)"/>
      <w:numFmt w:val="lowerRoman"/>
      <w:start w:val="1"/>
    </w:lvl>
  </w:abstractNum>
  <w:abstractNum w:abstractNumId="100">
    <w:nsid w:val="36B2ACBC"/>
    <w:multiLevelType w:val="hybridMultilevel"/>
    <w:lvl w:ilvl="0">
      <w:lvlJc w:val="left"/>
      <w:lvlText w:val="(%1)"/>
      <w:numFmt w:val="lowerLetter"/>
      <w:start w:val="1"/>
    </w:lvl>
  </w:abstractNum>
  <w:abstractNum w:abstractNumId="101">
    <w:nsid w:val="779D8544"/>
    <w:multiLevelType w:val="hybridMultilevel"/>
    <w:lvl w:ilvl="0">
      <w:lvlJc w:val="left"/>
      <w:lvlText w:val="(%1)"/>
      <w:numFmt w:val="lowerLetter"/>
      <w:start w:val="2"/>
    </w:lvl>
  </w:abstractNum>
  <w:abstractNum w:abstractNumId="102">
    <w:nsid w:val="4AB26E78"/>
    <w:multiLevelType w:val="hybridMultilevel"/>
    <w:lvl w:ilvl="0">
      <w:lvlJc w:val="left"/>
      <w:lvlText w:val="(%1)"/>
      <w:numFmt w:val="lowerRoman"/>
      <w:start w:val="1"/>
    </w:lvl>
  </w:abstractNum>
  <w:abstractNum w:abstractNumId="103">
    <w:nsid w:val="21FAA2FA"/>
    <w:multiLevelType w:val="hybridMultilevel"/>
    <w:lvl w:ilvl="0">
      <w:lvlJc w:val="left"/>
      <w:lvlText w:val="(%1)"/>
      <w:numFmt w:val="lowerLetter"/>
      <w:start w:val="1"/>
    </w:lvl>
  </w:abstractNum>
  <w:abstractNum w:abstractNumId="104">
    <w:nsid w:val="5451CF49"/>
    <w:multiLevelType w:val="hybridMultilevel"/>
    <w:lvl w:ilvl="0">
      <w:lvlJc w:val="left"/>
      <w:lvlText w:val="(%1)"/>
      <w:numFmt w:val="lowerLetter"/>
      <w:start w:val="1"/>
    </w:lvl>
  </w:abstractNum>
  <w:abstractNum w:abstractNumId="105">
    <w:nsid w:val="6181EF69"/>
    <w:multiLevelType w:val="hybridMultilevel"/>
    <w:lvl w:ilvl="0">
      <w:lvlJc w:val="left"/>
      <w:lvlText w:val="(%1)"/>
      <w:numFmt w:val="lowerLetter"/>
      <w:start w:val="1"/>
    </w:lvl>
  </w:abstractNum>
  <w:abstractNum w:abstractNumId="106">
    <w:nsid w:val="3E6400E6"/>
    <w:multiLevelType w:val="hybridMultilevel"/>
    <w:lvl w:ilvl="0">
      <w:lvlJc w:val="left"/>
      <w:lvlText w:val="(%1)"/>
      <w:numFmt w:val="lowerLetter"/>
      <w:start w:val="2"/>
    </w:lvl>
    <w:lvl w:ilvl="1">
      <w:lvlJc w:val="left"/>
      <w:lvlText w:val="(%2)"/>
      <w:numFmt w:val="lowerLetter"/>
      <w:start w:val="35"/>
    </w:lvl>
  </w:abstractNum>
  <w:abstractNum w:abstractNumId="107">
    <w:nsid w:val="14217E23"/>
    <w:multiLevelType w:val="hybridMultilevel"/>
    <w:lvl w:ilvl="0">
      <w:lvlJc w:val="left"/>
      <w:lvlText w:val="(%1)"/>
      <w:numFmt w:val="lowerLetter"/>
      <w:start w:val="3"/>
    </w:lvl>
  </w:abstractNum>
  <w:abstractNum w:abstractNumId="108">
    <w:nsid w:val="710757D0"/>
    <w:multiLevelType w:val="hybridMultilevel"/>
    <w:lvl w:ilvl="0">
      <w:lvlJc w:val="left"/>
      <w:lvlText w:val="(%1)"/>
      <w:numFmt w:val="upperLetter"/>
      <w:start w:val="2"/>
    </w:lvl>
  </w:abstractNum>
  <w:abstractNum w:abstractNumId="109">
    <w:nsid w:val="5015CD1A"/>
    <w:multiLevelType w:val="hybridMultilevel"/>
    <w:lvl w:ilvl="0">
      <w:lvlJc w:val="left"/>
      <w:lvlText w:val="(%1)"/>
      <w:numFmt w:val="lowerRoman"/>
      <w:start w:val="1"/>
    </w:lvl>
  </w:abstractNum>
  <w:abstractNum w:abstractNumId="110">
    <w:nsid w:val="424479DA"/>
    <w:multiLevelType w:val="hybridMultilevel"/>
    <w:lvl w:ilvl="0">
      <w:lvlJc w:val="left"/>
      <w:lvlText w:val="(%1)"/>
      <w:numFmt w:val="lowerLetter"/>
      <w:start w:val="1"/>
    </w:lvl>
  </w:abstractNum>
  <w:abstractNum w:abstractNumId="111">
    <w:nsid w:val="1A9A9E69"/>
    <w:multiLevelType w:val="hybridMultilevel"/>
    <w:lvl w:ilvl="0">
      <w:lvlJc w:val="left"/>
      <w:lvlText w:val="(%1)"/>
      <w:numFmt w:val="lowerLetter"/>
      <w:start w:val="3"/>
    </w:lvl>
  </w:abstractNum>
  <w:abstractNum w:abstractNumId="112">
    <w:nsid w:val="475E256A"/>
    <w:multiLevelType w:val="hybridMultilevel"/>
    <w:lvl w:ilvl="0">
      <w:lvlJc w:val="left"/>
      <w:lvlText w:val="(%1)"/>
      <w:numFmt w:val="lowerLetter"/>
      <w:start w:val="1"/>
    </w:lvl>
    <w:lvl w:ilvl="1">
      <w:lvlJc w:val="left"/>
      <w:lvlText w:val="(%2)"/>
      <w:numFmt w:val="lowerRoman"/>
      <w:start w:val="1"/>
    </w:lvl>
  </w:abstractNum>
  <w:abstractNum w:abstractNumId="113">
    <w:nsid w:val="368DB37E"/>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114">
    <w:nsid w:val="6A3B714C"/>
    <w:multiLevelType w:val="hybridMultilevel"/>
    <w:lvl w:ilvl="0">
      <w:lvlJc w:val="left"/>
      <w:lvlText w:val="%1"/>
      <w:numFmt w:val="lowerLetter"/>
      <w:start w:val="1"/>
    </w:lvl>
    <w:lvl w:ilvl="1">
      <w:lvlJc w:val="left"/>
      <w:lvlText w:val="(%2)"/>
      <w:numFmt w:val="lowerLetter"/>
      <w:start w:val="22"/>
    </w:lvl>
  </w:abstractNum>
  <w:abstractNum w:abstractNumId="115">
    <w:nsid w:val="327B517E"/>
    <w:multiLevelType w:val="hybridMultilevel"/>
    <w:lvl w:ilvl="0">
      <w:lvlJc w:val="left"/>
      <w:lvlText w:val="(%1)"/>
      <w:numFmt w:val="lowerLetter"/>
      <w:start w:val="2"/>
    </w:lvl>
    <w:lvl w:ilvl="1">
      <w:lvlJc w:val="left"/>
      <w:lvlText w:val="%2"/>
      <w:numFmt w:val="lowerLetter"/>
      <w:start w:val="1"/>
    </w:lvl>
  </w:abstractNum>
  <w:abstractNum w:abstractNumId="116">
    <w:nsid w:val="1F461B51"/>
    <w:multiLevelType w:val="hybridMultilevel"/>
    <w:lvl w:ilvl="0">
      <w:lvlJc w:val="left"/>
      <w:lvlText w:val="(%1)"/>
      <w:numFmt w:val="lowerLetter"/>
      <w:start w:val="1"/>
    </w:lvl>
  </w:abstractNum>
  <w:abstractNum w:abstractNumId="117">
    <w:nsid w:val="29BACF25"/>
    <w:multiLevelType w:val="hybridMultilevel"/>
    <w:lvl w:ilvl="0">
      <w:lvlJc w:val="left"/>
      <w:lvlText w:val="%1"/>
      <w:numFmt w:val="upperLetter"/>
      <w:start w:val="1"/>
    </w:lvl>
    <w:lvl w:ilvl="1">
      <w:lvlJc w:val="left"/>
      <w:lvlText w:val="(%2)"/>
      <w:numFmt w:val="lowerLetter"/>
      <w:start w:val="3"/>
    </w:lvl>
  </w:abstractNum>
  <w:abstractNum w:abstractNumId="118">
    <w:nsid w:val="5D5BABB3"/>
    <w:multiLevelType w:val="hybridMultilevel"/>
    <w:lvl w:ilvl="0">
      <w:lvlJc w:val="left"/>
      <w:lvlText w:val="%1."/>
      <w:numFmt w:val="upperLetter"/>
      <w:start w:val="61"/>
    </w:lvl>
    <w:lvl w:ilvl="1">
      <w:lvlJc w:val="left"/>
      <w:lvlText w:val="%2"/>
      <w:numFmt w:val="lowerLetter"/>
      <w:start w:val="1"/>
    </w:lvl>
  </w:abstractNum>
  <w:abstractNum w:abstractNumId="119">
    <w:nsid w:val="51BF6B48"/>
    <w:multiLevelType w:val="hybridMultilevel"/>
    <w:lvl w:ilvl="0">
      <w:lvlJc w:val="left"/>
      <w:lvlText w:val="(%1)"/>
      <w:numFmt w:val="lowerLetter"/>
      <w:start w:val="1"/>
    </w:lvl>
  </w:abstractNum>
  <w:abstractNum w:abstractNumId="120">
    <w:nsid w:val="7E0F6384"/>
    <w:multiLevelType w:val="hybridMultilevel"/>
    <w:lvl w:ilvl="0">
      <w:lvlJc w:val="left"/>
      <w:lvlText w:val="(%1)"/>
      <w:numFmt w:val="lowerLetter"/>
      <w:start w:val="3"/>
    </w:lvl>
    <w:lvl w:ilvl="1">
      <w:lvlJc w:val="left"/>
      <w:lvlText w:val="(%2)"/>
      <w:numFmt w:val="lowerRoman"/>
      <w:start w:val="1"/>
    </w:lvl>
  </w:abstractNum>
  <w:abstractNum w:abstractNumId="121">
    <w:nsid w:val="2B4B8B53"/>
    <w:multiLevelType w:val="hybridMultilevel"/>
    <w:lvl w:ilvl="0">
      <w:lvlJc w:val="left"/>
      <w:lvlText w:val="(%1)"/>
      <w:numFmt w:val="lowerLetter"/>
      <w:start w:val="35"/>
    </w:lvl>
    <w:lvl w:ilvl="1">
      <w:lvlJc w:val="left"/>
      <w:lvlText w:val="(%2)"/>
      <w:numFmt w:val="lowerRoman"/>
      <w:start w:val="2"/>
    </w:lvl>
  </w:abstractNum>
  <w:abstractNum w:abstractNumId="122">
    <w:nsid w:val="72E3413A"/>
    <w:multiLevelType w:val="hybridMultilevel"/>
    <w:lvl w:ilvl="0">
      <w:lvlJc w:val="left"/>
      <w:lvlText w:val="(%1)"/>
      <w:numFmt w:val="lowerLetter"/>
      <w:start w:val="5"/>
    </w:lvl>
    <w:lvl w:ilvl="1">
      <w:lvlJc w:val="left"/>
      <w:lvlText w:val="%2"/>
      <w:numFmt w:val="lowerRoman"/>
      <w:start w:val="1"/>
    </w:lvl>
  </w:abstractNum>
  <w:abstractNum w:abstractNumId="123">
    <w:nsid w:val="116AE49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4">
    <w:nsid w:val="3494B2F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125">
    <w:nsid w:val="B13A3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26">
    <w:nsid w:val="64429599"/>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127">
    <w:nsid w:val="631F1690"/>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28">
    <w:nsid w:val="25973E32"/>
    <w:multiLevelType w:val="hybridMultilevel"/>
    <w:lvl w:ilvl="0">
      <w:lvlJc w:val="left"/>
      <w:lvlText w:val="(%1)"/>
      <w:numFmt w:val="lowerLetter"/>
      <w:start w:val="8"/>
    </w:lvl>
  </w:abstractNum>
  <w:abstractNum w:abstractNumId="129">
    <w:nsid w:val="EAD6F57"/>
    <w:multiLevelType w:val="hybridMultilevel"/>
    <w:lvl w:ilvl="0">
      <w:lvlJc w:val="left"/>
      <w:lvlText w:val="(%1)"/>
      <w:numFmt w:val="lowerLetter"/>
      <w:start w:val="1"/>
    </w:lvl>
  </w:abstractNum>
  <w:abstractNum w:abstractNumId="130">
    <w:nsid w:val="6EC9D844"/>
    <w:multiLevelType w:val="hybridMultilevel"/>
    <w:lvl w:ilvl="0">
      <w:lvlJc w:val="left"/>
      <w:lvlText w:val="(%1)"/>
      <w:numFmt w:val="lowerLetter"/>
      <w:start w:val="2"/>
    </w:lvl>
    <w:lvl w:ilvl="1">
      <w:lvlJc w:val="left"/>
      <w:lvlText w:val="(%2)"/>
      <w:numFmt w:val="lowerRoman"/>
      <w:start w:val="1"/>
    </w:lvl>
  </w:abstractNum>
  <w:abstractNum w:abstractNumId="131">
    <w:nsid w:val="5C49EAEE"/>
    <w:multiLevelType w:val="hybridMultilevel"/>
    <w:lvl w:ilvl="0">
      <w:lvlJc w:val="left"/>
      <w:lvlText w:val="(%1)"/>
      <w:numFmt w:val="lowerLetter"/>
      <w:start w:val="24"/>
    </w:lvl>
  </w:abstractNum>
  <w:abstractNum w:abstractNumId="132">
    <w:nsid w:val="64AF49B"/>
    <w:multiLevelType w:val="hybridMultilevel"/>
    <w:lvl w:ilvl="0">
      <w:lvlJc w:val="left"/>
      <w:lvlText w:val="(%1)"/>
      <w:numFmt w:val="lowerLetter"/>
      <w:start w:val="3"/>
    </w:lvl>
    <w:lvl w:ilvl="1">
      <w:lvlJc w:val="left"/>
      <w:lvlText w:val="(%2)"/>
      <w:numFmt w:val="lowerRoman"/>
      <w:start w:val="1"/>
    </w:lvl>
  </w:abstractNum>
  <w:abstractNum w:abstractNumId="133">
    <w:nsid w:val="397C46BC"/>
    <w:multiLevelType w:val="hybridMultilevel"/>
    <w:lvl w:ilvl="0">
      <w:lvlJc w:val="left"/>
      <w:lvlText w:val="(%1)"/>
      <w:numFmt w:val="lowerLetter"/>
      <w:start w:val="4"/>
    </w:lvl>
  </w:abstractNum>
  <w:abstractNum w:abstractNumId="134">
    <w:nsid w:val="7E448DE9"/>
    <w:multiLevelType w:val="hybridMultilevel"/>
    <w:lvl w:ilvl="0">
      <w:lvlJc w:val="left"/>
      <w:lvlText w:val="%1"/>
      <w:numFmt w:val="lowerLetter"/>
      <w:start w:val="1"/>
    </w:lvl>
    <w:lvl w:ilvl="1">
      <w:lvlJc w:val="left"/>
      <w:lvlText w:val="(%2)"/>
      <w:numFmt w:val="lowerRoman"/>
      <w:start w:val="1"/>
    </w:lvl>
  </w:abstractNum>
  <w:abstractNum w:abstractNumId="135">
    <w:nsid w:val="5A9CC3E5"/>
    <w:multiLevelType w:val="hybridMultilevel"/>
    <w:lvl w:ilvl="0">
      <w:lvlJc w:val="left"/>
      <w:lvlText w:val="(%1)"/>
      <w:numFmt w:val="lowerLetter"/>
      <w:start w:val="5"/>
    </w:lvl>
    <w:lvl w:ilvl="1">
      <w:lvlJc w:val="left"/>
      <w:lvlText w:val="%2"/>
      <w:numFmt w:val="lowerRoman"/>
      <w:start w:val="1"/>
    </w:lvl>
  </w:abstractNum>
  <w:abstractNum w:abstractNumId="136">
    <w:nsid w:val="1AFE3625"/>
    <w:multiLevelType w:val="hybridMultilevel"/>
    <w:lvl w:ilvl="0">
      <w:lvlJc w:val="left"/>
      <w:lvlText w:val="(%1)"/>
      <w:numFmt w:val="lowerLetter"/>
      <w:start w:val="1"/>
    </w:lvl>
    <w:lvl w:ilvl="1">
      <w:lvlJc w:val="left"/>
      <w:lvlText w:val="(%2)"/>
      <w:numFmt w:val="lowerRoman"/>
      <w:start w:val="1"/>
    </w:lvl>
  </w:abstractNum>
  <w:abstractNum w:abstractNumId="137">
    <w:nsid w:val="3CA88ECF"/>
    <w:multiLevelType w:val="hybridMultilevel"/>
    <w:lvl w:ilvl="0">
      <w:lvlJc w:val="left"/>
      <w:lvlText w:val="(%1)"/>
      <w:numFmt w:val="lowerLetter"/>
      <w:start w:val="2"/>
    </w:lvl>
  </w:abstractNum>
  <w:abstractNum w:abstractNumId="138">
    <w:nsid w:val="6EBE4208"/>
    <w:multiLevelType w:val="hybridMultilevel"/>
    <w:lvl w:ilvl="0">
      <w:lvlJc w:val="left"/>
      <w:lvlText w:val="(%1)"/>
      <w:numFmt w:val="lowerLetter"/>
      <w:start w:val="1"/>
    </w:lvl>
  </w:abstractNum>
  <w:abstractNum w:abstractNumId="139">
    <w:nsid w:val="C058DF5"/>
    <w:multiLevelType w:val="hybridMultilevel"/>
    <w:lvl w:ilvl="0">
      <w:lvlJc w:val="left"/>
      <w:lvlText w:val="(%1)"/>
      <w:numFmt w:val="lowerLetter"/>
      <w:start w:val="3"/>
    </w:lvl>
  </w:abstractNum>
  <w:abstractNum w:abstractNumId="140">
    <w:nsid w:val="CBE5BE9"/>
    <w:multiLevelType w:val="hybridMultilevel"/>
    <w:lvl w:ilvl="0">
      <w:lvlJc w:val="left"/>
      <w:lvlText w:val="(%1)"/>
      <w:numFmt w:val="lowerLetter"/>
      <w:start w:val="1"/>
    </w:lvl>
  </w:abstractNum>
  <w:abstractNum w:abstractNumId="141">
    <w:nsid w:val="3102BBE2"/>
    <w:multiLevelType w:val="hybridMultilevel"/>
    <w:lvl w:ilvl="0">
      <w:lvlJc w:val="left"/>
      <w:lvlText w:val="(%1)"/>
      <w:numFmt w:val="lowerLetter"/>
      <w:start w:val="1"/>
    </w:lvl>
    <w:lvl w:ilvl="1">
      <w:lvlJc w:val="left"/>
      <w:lvlText w:val="(%2)"/>
      <w:numFmt w:val="lowerRoman"/>
      <w:start w:val="1"/>
    </w:lvl>
  </w:abstractNum>
  <w:abstractNum w:abstractNumId="142">
    <w:nsid w:val="26A02C5E"/>
    <w:multiLevelType w:val="hybridMultilevel"/>
    <w:lvl w:ilvl="0">
      <w:lvlJc w:val="left"/>
      <w:lvlText w:val="(%1)"/>
      <w:numFmt w:val="lowerLetter"/>
      <w:start w:val="6"/>
    </w:lvl>
  </w:abstractNum>
  <w:abstractNum w:abstractNumId="143">
    <w:nsid w:val="541C8153"/>
    <w:multiLevelType w:val="hybridMultilevel"/>
    <w:lvl w:ilvl="0">
      <w:lvlJc w:val="left"/>
      <w:lvlText w:val="(%1)"/>
      <w:numFmt w:val="lowerLetter"/>
      <w:start w:val="17"/>
    </w:lvl>
  </w:abstractNum>
  <w:abstractNum w:abstractNumId="144">
    <w:nsid w:val="67906F60"/>
    <w:multiLevelType w:val="hybridMultilevel"/>
    <w:lvl w:ilvl="0">
      <w:lvlJc w:val="left"/>
      <w:lvlText w:val="(%1)"/>
      <w:numFmt w:val="lowerLetter"/>
      <w:start w:val="1"/>
    </w:lvl>
  </w:abstractNum>
  <w:abstractNum w:abstractNumId="145">
    <w:nsid w:val="10DB9DAA"/>
    <w:multiLevelType w:val="hybridMultilevel"/>
    <w:lvl w:ilvl="0">
      <w:lvlJc w:val="left"/>
      <w:lvlText w:val="%1."/>
      <w:numFmt w:val="upperLetter"/>
      <w:start w:val="22"/>
    </w:lvl>
  </w:abstractNum>
  <w:abstractNum w:abstractNumId="146">
    <w:nsid w:val="697D2D2"/>
    <w:multiLevelType w:val="hybridMultilevel"/>
    <w:lvl w:ilvl="0">
      <w:lvlJc w:val="left"/>
      <w:lvlText w:val="(%1)"/>
      <w:numFmt w:val="lowerLetter"/>
      <w:start w:val="1"/>
    </w:lvl>
  </w:abstractNum>
  <w:abstractNum w:abstractNumId="147">
    <w:nsid w:val="6D68AB2"/>
    <w:multiLevelType w:val="hybridMultilevel"/>
    <w:lvl w:ilvl="0">
      <w:lvlJc w:val="left"/>
      <w:lvlText w:val="(%1)"/>
      <w:numFmt w:val="lowerLetter"/>
      <w:start w:val="2"/>
    </w:lvl>
  </w:abstractNum>
  <w:abstractNum w:abstractNumId="148">
    <w:nsid w:val="3A966CD0"/>
    <w:multiLevelType w:val="hybridMultilevel"/>
    <w:lvl w:ilvl="0">
      <w:lvlJc w:val="left"/>
      <w:lvlText w:val="(%1)"/>
      <w:numFmt w:val="lowerLetter"/>
      <w:start w:val="1"/>
    </w:lvl>
  </w:abstractNum>
  <w:abstractNum w:abstractNumId="149">
    <w:nsid w:val="63F37E85"/>
    <w:multiLevelType w:val="hybridMultilevel"/>
    <w:lvl w:ilvl="0">
      <w:lvlJc w:val="left"/>
      <w:lvlText w:val="(%1)"/>
      <w:numFmt w:val="lowerLetter"/>
      <w:start w:val="1"/>
    </w:lvl>
  </w:abstractNum>
  <w:abstractNum w:abstractNumId="150">
    <w:nsid w:val="5895F5FA"/>
    <w:multiLevelType w:val="hybridMultilevel"/>
    <w:lvl w:ilvl="0">
      <w:lvlJc w:val="left"/>
      <w:lvlText w:val="%1"/>
      <w:numFmt w:val="lowerLetter"/>
      <w:start w:val="1"/>
    </w:lvl>
    <w:lvl w:ilvl="1">
      <w:lvlJc w:val="left"/>
      <w:lvlText w:val="(%2)"/>
      <w:numFmt w:val="lowerLetter"/>
      <w:start w:val="4"/>
    </w:lvl>
  </w:abstractNum>
  <w:abstractNum w:abstractNumId="151">
    <w:nsid w:val="38A5D054"/>
    <w:multiLevelType w:val="hybridMultilevel"/>
    <w:lvl w:ilvl="0">
      <w:lvlJc w:val="left"/>
      <w:lvlText w:val="(%1)"/>
      <w:numFmt w:val="lowerLetter"/>
      <w:start w:val="35"/>
    </w:lvl>
    <w:lvl w:ilvl="1">
      <w:lvlJc w:val="left"/>
      <w:lvlText w:val="(%2)"/>
      <w:numFmt w:val="lowerLetter"/>
      <w:start w:val="5"/>
    </w:lvl>
  </w:abstractNum>
  <w:abstractNum w:abstractNumId="152">
    <w:nsid w:val="F3F09D8"/>
    <w:multiLevelType w:val="hybridMultilevel"/>
    <w:lvl w:ilvl="0">
      <w:lvlJc w:val="left"/>
      <w:lvlText w:val="(%1)"/>
      <w:numFmt w:val="lowerLetter"/>
      <w:start w:val="1"/>
    </w:lvl>
  </w:abstractNum>
  <w:abstractNum w:abstractNumId="153">
    <w:nsid w:val="4B793735"/>
    <w:multiLevelType w:val="hybridMultilevel"/>
    <w:lvl w:ilvl="0">
      <w:lvlJc w:val="left"/>
      <w:lvlText w:val="%1"/>
      <w:numFmt w:val="lowerLetter"/>
      <w:start w:val="1"/>
    </w:lvl>
    <w:lvl w:ilvl="1">
      <w:lvlJc w:val="left"/>
      <w:lvlText w:val="(%2)"/>
      <w:numFmt w:val="lowerLetter"/>
      <w:start w:val="1"/>
    </w:lvl>
  </w:abstractNum>
  <w:abstractNum w:abstractNumId="154">
    <w:nsid w:val="4A10B4E8"/>
    <w:multiLevelType w:val="hybridMultilevel"/>
    <w:lvl w:ilvl="0">
      <w:lvlJc w:val="left"/>
      <w:lvlText w:val="(%1)"/>
      <w:numFmt w:val="lowerLetter"/>
      <w:start w:val="61"/>
    </w:lvl>
    <w:lvl w:ilvl="1">
      <w:lvlJc w:val="left"/>
      <w:lvlText w:val="(%2)"/>
      <w:numFmt w:val="lowerLetter"/>
      <w:start w:val="2"/>
    </w:lvl>
  </w:abstractNum>
  <w:abstractNum w:abstractNumId="155">
    <w:nsid w:val="43D3BCD4"/>
    <w:multiLevelType w:val="hybridMultilevel"/>
    <w:lvl w:ilvl="0">
      <w:lvlJc w:val="left"/>
      <w:lvlText w:val="(%1)"/>
      <w:numFmt w:val="lowerLetter"/>
      <w:start w:val="1"/>
    </w:lvl>
  </w:abstractNum>
  <w:abstractNum w:abstractNumId="156">
    <w:nsid w:val="4C2A7166"/>
    <w:multiLevelType w:val="hybridMultilevel"/>
    <w:lvl w:ilvl="0">
      <w:lvlJc w:val="left"/>
      <w:lvlText w:val="%1"/>
      <w:numFmt w:val="lowerLetter"/>
      <w:start w:val="1"/>
    </w:lvl>
    <w:lvl w:ilvl="1">
      <w:lvlJc w:val="left"/>
      <w:lvlText w:val="(%2)"/>
      <w:numFmt w:val="lowerLetter"/>
      <w:start w:val="2"/>
    </w:lvl>
  </w:abstractNum>
  <w:abstractNum w:abstractNumId="157">
    <w:nsid w:val="2E534A82"/>
    <w:multiLevelType w:val="hybridMultilevel"/>
    <w:lvl w:ilvl="0">
      <w:lvlJc w:val="left"/>
      <w:lvlText w:val="(%1)"/>
      <w:numFmt w:val="lowerLetter"/>
      <w:start w:val="9"/>
    </w:lvl>
    <w:lvl w:ilvl="1">
      <w:lvlJc w:val="left"/>
      <w:lvlText w:val="%2"/>
      <w:numFmt w:val="lowerLetter"/>
      <w:start w:val="1"/>
    </w:lvl>
  </w:abstractNum>
  <w:abstractNum w:abstractNumId="158">
    <w:nsid w:val="26F2D364"/>
    <w:multiLevelType w:val="hybridMultilevel"/>
    <w:lvl w:ilvl="0">
      <w:lvlJc w:val="left"/>
      <w:lvlText w:val="(%1)"/>
      <w:numFmt w:val="lowerRoman"/>
      <w:start w:val="10"/>
    </w:lvl>
  </w:abstractNum>
  <w:abstractNum w:abstractNumId="159">
    <w:nsid w:val="71C1AF98"/>
    <w:multiLevelType w:val="hybridMultilevel"/>
    <w:lvl w:ilvl="0">
      <w:lvlJc w:val="left"/>
      <w:lvlText w:val="(%1)"/>
      <w:numFmt w:val="lowerLetter"/>
      <w:start w:val="1"/>
    </w:lvl>
  </w:abstractNum>
  <w:abstractNum w:abstractNumId="160">
    <w:nsid w:val="3D00B9D9"/>
    <w:multiLevelType w:val="hybridMultilevel"/>
    <w:lvl w:ilvl="0">
      <w:lvlJc w:val="left"/>
      <w:lvlText w:val="(%1)"/>
      <w:numFmt w:val="lowerLetter"/>
      <w:start w:val="1"/>
    </w:lvl>
  </w:abstractNum>
  <w:abstractNum w:abstractNumId="161">
    <w:nsid w:val="15BCABA8"/>
    <w:multiLevelType w:val="hybridMultilevel"/>
    <w:lvl w:ilvl="0">
      <w:lvlJc w:val="left"/>
      <w:lvlText w:val="(%1)"/>
      <w:numFmt w:val="lowerLetter"/>
      <w:start w:val="2"/>
    </w:lvl>
  </w:abstractNum>
  <w:abstractNum w:abstractNumId="162">
    <w:nsid w:val="4E0B9A87"/>
    <w:multiLevelType w:val="hybridMultilevel"/>
    <w:lvl w:ilvl="0">
      <w:lvlJc w:val="left"/>
      <w:lvlText w:val="(%1)"/>
      <w:numFmt w:val="lowerLetter"/>
      <w:start w:val="1"/>
    </w:lvl>
  </w:abstractNum>
  <w:abstractNum w:abstractNumId="163">
    <w:nsid w:val="434BAE75"/>
    <w:multiLevelType w:val="hybridMultilevel"/>
    <w:lvl w:ilvl="0">
      <w:lvlJc w:val="left"/>
      <w:lvlText w:val="(%1)"/>
      <w:numFmt w:val="lowerLetter"/>
      <w:start w:val="4"/>
    </w:lvl>
  </w:abstractNum>
  <w:abstractNum w:abstractNumId="164">
    <w:nsid w:val="4F38F265"/>
    <w:multiLevelType w:val="hybridMultilevel"/>
    <w:lvl w:ilvl="0">
      <w:lvlJc w:val="left"/>
      <w:lvlText w:val="(%1)"/>
      <w:numFmt w:val="lowerLetter"/>
      <w:start w:val="12"/>
    </w:lvl>
  </w:abstractNum>
  <w:abstractNum w:abstractNumId="165">
    <w:nsid w:val="4C502870"/>
    <w:multiLevelType w:val="hybridMultilevel"/>
    <w:lvl w:ilvl="0">
      <w:lvlJc w:val="left"/>
      <w:lvlText w:val="(%1)"/>
      <w:numFmt w:val="lowerLetter"/>
      <w:start w:val="1"/>
    </w:lvl>
  </w:abstractNum>
  <w:abstractNum w:abstractNumId="166">
    <w:nsid w:val="1DE8725A"/>
    <w:multiLevelType w:val="hybridMultilevel"/>
    <w:lvl w:ilvl="0">
      <w:lvlJc w:val="left"/>
      <w:lvlText w:val="(%1)"/>
      <w:numFmt w:val="lowerLetter"/>
      <w:start w:val="2"/>
    </w:lvl>
  </w:abstractNum>
  <w:abstractNum w:abstractNumId="167">
    <w:nsid w:val="6A37288A"/>
    <w:multiLevelType w:val="hybridMultilevel"/>
    <w:lvl w:ilvl="0">
      <w:lvlJc w:val="left"/>
      <w:lvlText w:val="(%1)"/>
      <w:numFmt w:val="lowerLetter"/>
      <w:start w:val="3"/>
    </w:lvl>
  </w:abstractNum>
  <w:abstractNum w:abstractNumId="168">
    <w:nsid w:val="8F8B73F"/>
    <w:multiLevelType w:val="hybridMultilevel"/>
    <w:lvl w:ilvl="0">
      <w:lvlJc w:val="left"/>
      <w:lvlText w:val="(%1)"/>
      <w:numFmt w:val="lowerLetter"/>
      <w:start w:val="1"/>
    </w:lvl>
  </w:abstractNum>
  <w:abstractNum w:abstractNumId="169">
    <w:nsid w:val="CA6B462"/>
    <w:multiLevelType w:val="hybridMultilevel"/>
    <w:lvl w:ilvl="0">
      <w:lvlJc w:val="left"/>
      <w:lvlText w:val="(%1)"/>
      <w:numFmt w:val="lowerLetter"/>
      <w:start w:val="1"/>
    </w:lvl>
  </w:abstractNum>
  <w:abstractNum w:abstractNumId="170">
    <w:nsid w:val="763CB680"/>
    <w:multiLevelType w:val="hybridMultilevel"/>
    <w:lvl w:ilvl="0">
      <w:lvlJc w:val="left"/>
      <w:lvlText w:val="(%1)"/>
      <w:numFmt w:val="lowerLetter"/>
      <w:start w:val="1"/>
    </w:lvl>
  </w:abstractNum>
  <w:abstractNum w:abstractNumId="171">
    <w:nsid w:val="15B71329"/>
    <w:multiLevelType w:val="hybridMultilevel"/>
    <w:lvl w:ilvl="0">
      <w:lvlJc w:val="left"/>
      <w:lvlText w:val="(%1)"/>
      <w:numFmt w:val="lowerLetter"/>
      <w:start w:val="1"/>
    </w:lvl>
  </w:abstractNum>
  <w:abstractNum w:abstractNumId="172">
    <w:nsid w:val="3DA97044"/>
    <w:multiLevelType w:val="hybridMultilevel"/>
    <w:lvl w:ilvl="0">
      <w:lvlJc w:val="left"/>
      <w:lvlText w:val="(%1)"/>
      <w:numFmt w:val="lowerLetter"/>
      <w:start w:val="1"/>
    </w:lvl>
  </w:abstractNum>
  <w:abstractNum w:abstractNumId="173">
    <w:nsid w:val="1CDCE2DE"/>
    <w:multiLevelType w:val="hybridMultilevel"/>
    <w:lvl w:ilvl="0">
      <w:lvlJc w:val="left"/>
      <w:lvlText w:val="(%1)"/>
      <w:numFmt w:val="lowerLetter"/>
      <w:start w:val="5"/>
    </w:lvl>
  </w:abstractNum>
  <w:abstractNum w:abstractNumId="174">
    <w:nsid w:val="69D3947C"/>
    <w:multiLevelType w:val="hybridMultilevel"/>
    <w:lvl w:ilvl="0">
      <w:lvlJc w:val="left"/>
      <w:lvlText w:val="(%1)"/>
      <w:numFmt w:val="lowerLetter"/>
      <w:start w:val="1"/>
    </w:lvl>
  </w:abstractNum>
  <w:abstractNum w:abstractNumId="175">
    <w:nsid w:val="2539DFA5"/>
    <w:multiLevelType w:val="hybridMultilevel"/>
    <w:lvl w:ilvl="0">
      <w:lvlJc w:val="left"/>
      <w:lvlText w:val="(%1)"/>
      <w:numFmt w:val="lowerLetter"/>
      <w:start w:val="3"/>
    </w:lvl>
  </w:abstractNum>
  <w:abstractNum w:abstractNumId="176">
    <w:nsid w:val="2DB88089"/>
    <w:multiLevelType w:val="hybridMultilevel"/>
    <w:lvl w:ilvl="0">
      <w:lvlJc w:val="left"/>
      <w:lvlText w:val="(%1)"/>
      <w:numFmt w:val="lowerLetter"/>
      <w:start w:val="1"/>
    </w:lvl>
  </w:abstractNum>
  <w:abstractNum w:abstractNumId="177">
    <w:nsid w:val="706B674E"/>
    <w:multiLevelType w:val="hybridMultilevel"/>
    <w:lvl w:ilvl="0">
      <w:lvlJc w:val="left"/>
      <w:lvlText w:val="(%1)"/>
      <w:numFmt w:val="lowerLetter"/>
      <w:start w:val="3"/>
    </w:lvl>
  </w:abstractNum>
  <w:abstractNum w:abstractNumId="178">
    <w:nsid w:val="2C106A57"/>
    <w:multiLevelType w:val="hybridMultilevel"/>
    <w:lvl w:ilvl="0">
      <w:lvlJc w:val="left"/>
      <w:lvlText w:val="%1"/>
      <w:numFmt w:val="lowerLetter"/>
      <w:start w:val="1"/>
    </w:lvl>
    <w:lvl w:ilvl="1">
      <w:lvlJc w:val="left"/>
      <w:lvlText w:val="(%2)"/>
      <w:numFmt w:val="lowerLetter"/>
      <w:start w:val="1"/>
    </w:lvl>
  </w:abstractNum>
  <w:abstractNum w:abstractNumId="179">
    <w:nsid w:val="684EED59"/>
    <w:multiLevelType w:val="hybridMultilevel"/>
    <w:lvl w:ilvl="0">
      <w:lvlJc w:val="left"/>
      <w:lvlText w:val="(%1)"/>
      <w:numFmt w:val="lowerLetter"/>
      <w:start w:val="35"/>
    </w:lvl>
    <w:lvl w:ilvl="1">
      <w:lvlJc w:val="left"/>
      <w:lvlText w:val="(%2)"/>
      <w:numFmt w:val="lowerLetter"/>
      <w:start w:val="2"/>
    </w:lvl>
  </w:abstractNum>
  <w:abstractNum w:abstractNumId="180">
    <w:nsid w:val="545EE5D3"/>
    <w:multiLevelType w:val="hybridMultilevel"/>
    <w:lvl w:ilvl="0">
      <w:lvlJc w:val="left"/>
      <w:lvlText w:val="(%1)"/>
      <w:numFmt w:val="lowerLetter"/>
      <w:start w:val="1"/>
    </w:lvl>
  </w:abstractNum>
  <w:abstractNum w:abstractNumId="181">
    <w:nsid w:val="4A66051"/>
    <w:multiLevelType w:val="hybridMultilevel"/>
    <w:lvl w:ilvl="0">
      <w:lvlJc w:val="left"/>
      <w:lvlText w:val="(%1)"/>
      <w:numFmt w:val="lowerLetter"/>
      <w:start w:val="1"/>
    </w:lvl>
  </w:abstractNum>
  <w:abstractNum w:abstractNumId="182">
    <w:nsid w:val="20F4BDAD"/>
    <w:multiLevelType w:val="hybridMultilevel"/>
    <w:lvl w:ilvl="0">
      <w:lvlJc w:val="left"/>
      <w:lvlText w:val="(%1)"/>
      <w:numFmt w:val="lowerLetter"/>
      <w:start w:val="1"/>
    </w:lvl>
  </w:abstractNum>
  <w:abstractNum w:abstractNumId="183">
    <w:nsid w:val="639DEFAC"/>
    <w:multiLevelType w:val="hybridMultilevel"/>
    <w:lvl w:ilvl="0">
      <w:lvlJc w:val="left"/>
      <w:lvlText w:val="(%1)"/>
      <w:numFmt w:val="lowerLetter"/>
      <w:start w:val="1"/>
    </w:lvl>
  </w:abstractNum>
  <w:abstractNum w:abstractNumId="184">
    <w:nsid w:val="501F9786"/>
    <w:multiLevelType w:val="hybridMultilevel"/>
    <w:lvl w:ilvl="0">
      <w:lvlJc w:val="left"/>
      <w:lvlText w:val="(%1)"/>
      <w:numFmt w:val="lowerLetter"/>
      <w:start w:val="1"/>
    </w:lvl>
  </w:abstractNum>
  <w:abstractNum w:abstractNumId="185">
    <w:nsid w:val="6B057295"/>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86">
    <w:nsid w:val="2771AC8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
    </w:lvl>
  </w:abstractNum>
  <w:abstractNum w:abstractNumId="187">
    <w:nsid w:val="1C4A08EC"/>
    <w:multiLevelType w:val="hybridMultilevel"/>
    <w:lvl w:ilvl="0">
      <w:lvlJc w:val="left"/>
      <w:lvlText w:val="(%1)"/>
      <w:numFmt w:val="lowerLetter"/>
      <w:start w:val="7"/>
    </w:lvl>
  </w:abstractNum>
  <w:abstractNum w:abstractNumId="188">
    <w:nsid w:val="1958BD17"/>
    <w:multiLevelType w:val="hybridMultilevel"/>
    <w:lvl w:ilvl="0">
      <w:lvlJc w:val="left"/>
      <w:lvlText w:val="(%1)"/>
      <w:numFmt w:val="lowerLetter"/>
      <w:start w:val="1"/>
    </w:lvl>
  </w:abstractNum>
  <w:abstractNum w:abstractNumId="189">
    <w:nsid w:val="4E647FE4"/>
    <w:multiLevelType w:val="hybridMultilevel"/>
    <w:lvl w:ilvl="0">
      <w:lvlJc w:val="left"/>
      <w:lvlText w:val="(%1)"/>
      <w:numFmt w:val="lowerLetter"/>
      <w:start w:val="1"/>
    </w:lvl>
  </w:abstractNum>
  <w:abstractNum w:abstractNumId="190">
    <w:nsid w:val="E0BB885"/>
    <w:multiLevelType w:val="hybridMultilevel"/>
    <w:lvl w:ilvl="0">
      <w:lvlJc w:val="left"/>
      <w:lvlText w:val="(%1)"/>
      <w:numFmt w:val="lowerLetter"/>
      <w:start w:val="2"/>
    </w:lvl>
  </w:abstractNum>
  <w:abstractNum w:abstractNumId="191">
    <w:nsid w:val="565976F1"/>
    <w:multiLevelType w:val="hybridMultilevel"/>
    <w:lvl w:ilvl="0">
      <w:lvlJc w:val="left"/>
      <w:lvlText w:val="(%1)"/>
      <w:numFmt w:val="lowerLetter"/>
      <w:start w:val="1"/>
    </w:lvl>
  </w:abstractNum>
  <w:abstractNum w:abstractNumId="192">
    <w:nsid w:val="64212B8C"/>
    <w:multiLevelType w:val="hybridMultilevel"/>
    <w:lvl w:ilvl="0">
      <w:lvlJc w:val="left"/>
      <w:lvlText w:val="(%1)"/>
      <w:numFmt w:val="lowerLetter"/>
      <w:start w:val="1"/>
    </w:lvl>
  </w:abstractNum>
  <w:abstractNum w:abstractNumId="193">
    <w:nsid w:val="5C17530C"/>
    <w:multiLevelType w:val="hybridMultilevel"/>
    <w:lvl w:ilvl="0">
      <w:lvlJc w:val="left"/>
      <w:lvlText w:val="%1"/>
      <w:numFmt w:val="lowerLetter"/>
      <w:start w:val="1"/>
    </w:lvl>
    <w:lvl w:ilvl="1">
      <w:lvlJc w:val="left"/>
      <w:lvlText w:val="(%2)"/>
      <w:numFmt w:val="lowerRoman"/>
      <w:start w:val="1"/>
    </w:lvl>
  </w:abstractNum>
  <w:abstractNum w:abstractNumId="194">
    <w:nsid w:val="19A52566"/>
    <w:multiLevelType w:val="hybridMultilevel"/>
    <w:lvl w:ilvl="0">
      <w:lvlJc w:val="left"/>
      <w:lvlText w:val="(%1)"/>
      <w:numFmt w:val="lowerLetter"/>
      <w:start w:val="2"/>
    </w:lvl>
    <w:lvl w:ilvl="1">
      <w:lvlJc w:val="left"/>
      <w:lvlText w:val="%2"/>
      <w:numFmt w:val="lowerRoman"/>
      <w:start w:val="1"/>
    </w:lvl>
  </w:abstractNum>
  <w:abstractNum w:abstractNumId="195">
    <w:nsid w:val="335A1DF1"/>
    <w:multiLevelType w:val="hybridMultilevel"/>
    <w:lvl w:ilvl="0">
      <w:lvlJc w:val="left"/>
      <w:lvlText w:val="(%1)"/>
      <w:numFmt w:val="lowerLetter"/>
      <w:start w:val="1"/>
    </w:lvl>
  </w:abstractNum>
  <w:abstractNum w:abstractNumId="196">
    <w:nsid w:val="28677B7C"/>
    <w:multiLevelType w:val="hybridMultilevel"/>
    <w:lvl w:ilvl="0">
      <w:lvlJc w:val="left"/>
      <w:lvlText w:val="(%1)"/>
      <w:numFmt w:val="lowerLetter"/>
      <w:start w:val="3"/>
    </w:lvl>
  </w:abstractNum>
  <w:abstractNum w:abstractNumId="197">
    <w:nsid w:val="378D97C0"/>
    <w:multiLevelType w:val="hybridMultilevel"/>
    <w:lvl w:ilvl="0">
      <w:lvlJc w:val="left"/>
      <w:lvlText w:val="(%1)"/>
      <w:numFmt w:val="lowerLetter"/>
      <w:start w:val="1"/>
    </w:lvl>
  </w:abstractNum>
  <w:abstractNum w:abstractNumId="198">
    <w:nsid w:val="1D91467C"/>
    <w:multiLevelType w:val="hybridMultilevel"/>
    <w:lvl w:ilvl="0">
      <w:lvlJc w:val="left"/>
      <w:lvlText w:val="(%1)"/>
      <w:numFmt w:val="lowerRoman"/>
      <w:start w:val="1"/>
    </w:lvl>
  </w:abstractNum>
  <w:abstractNum w:abstractNumId="199">
    <w:nsid w:val="316032BB"/>
    <w:multiLevelType w:val="hybridMultilevel"/>
    <w:lvl w:ilvl="0">
      <w:lvlJc w:val="left"/>
      <w:lvlText w:val="(%1)"/>
      <w:numFmt w:val="lowerLetter"/>
      <w:start w:val="2"/>
    </w:lvl>
  </w:abstractNum>
  <w:abstractNum w:abstractNumId="200">
    <w:nsid w:val="44344C22"/>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201">
    <w:nsid w:val="13CDFCF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02">
    <w:nsid w:val="471745E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03">
    <w:nsid w:val="1DDBC66"/>
    <w:multiLevelType w:val="hybridMultilevel"/>
    <w:lvl w:ilvl="0">
      <w:lvlJc w:val="left"/>
      <w:lvlText w:val="(%1)"/>
      <w:numFmt w:val="lowerLetter"/>
      <w:start w:val="1"/>
    </w:lvl>
    <w:lvl w:ilvl="1">
      <w:lvlJc w:val="left"/>
      <w:lvlText w:val="(%2)"/>
      <w:numFmt w:val="lowerRoman"/>
      <w:start w:val="1"/>
    </w:lvl>
  </w:abstractNum>
  <w:abstractNum w:abstractNumId="204">
    <w:nsid w:val="30AADFDA"/>
    <w:multiLevelType w:val="hybridMultilevel"/>
    <w:lvl w:ilvl="0">
      <w:lvlJc w:val="left"/>
      <w:lvlText w:val="(%1)"/>
      <w:numFmt w:val="lowerLetter"/>
      <w:start w:val="2"/>
    </w:lvl>
  </w:abstractNum>
  <w:abstractNum w:abstractNumId="205">
    <w:nsid w:val="30EADA61"/>
    <w:multiLevelType w:val="hybridMultilevel"/>
    <w:lvl w:ilvl="0">
      <w:lvlJc w:val="left"/>
      <w:lvlText w:val="(%1)"/>
      <w:numFmt w:val="lowerLetter"/>
      <w:start w:val="1"/>
    </w:lvl>
  </w:abstractNum>
  <w:abstractNum w:abstractNumId="206">
    <w:nsid w:val="27179C0B"/>
    <w:multiLevelType w:val="hybridMultilevel"/>
    <w:lvl w:ilvl="0">
      <w:lvlJc w:val="left"/>
      <w:lvlText w:val="%1."/>
      <w:numFmt w:val="upperLetter"/>
      <w:start w:val="24"/>
    </w:lvl>
    <w:lvl w:ilvl="1">
      <w:lvlJc w:val="left"/>
      <w:lvlText w:val="(%2)"/>
      <w:numFmt w:val="lowerLetter"/>
      <w:start w:val="1"/>
    </w:lvl>
    <w:lvl w:ilvl="2">
      <w:lvlJc w:val="left"/>
      <w:lvlText w:val="(%3)"/>
      <w:numFmt w:val="lowerRoman"/>
      <w:start w:val="1"/>
    </w:lvl>
  </w:abstractNum>
  <w:abstractNum w:abstractNumId="207">
    <w:nsid w:val="5E636063"/>
    <w:multiLevelType w:val="hybridMultilevel"/>
    <w:lvl w:ilvl="0">
      <w:lvlJc w:val="left"/>
      <w:lvlText w:val="(%1)"/>
      <w:numFmt w:val="lowerRoman"/>
      <w:start w:val="8"/>
    </w:lvl>
  </w:abstractNum>
  <w:abstractNum w:abstractNumId="208">
    <w:nsid w:val="215641AF"/>
    <w:multiLevelType w:val="hybridMultilevel"/>
    <w:lvl w:ilvl="0">
      <w:lvlJc w:val="left"/>
      <w:lvlText w:val="(%1)"/>
      <w:numFmt w:val="lowerLetter"/>
      <w:start w:val="2"/>
    </w:lvl>
  </w:abstractNum>
  <w:abstractNum w:abstractNumId="209">
    <w:nsid w:val="53280662"/>
    <w:multiLevelType w:val="hybridMultilevel"/>
    <w:lvl w:ilvl="0">
      <w:lvlJc w:val="left"/>
      <w:lvlText w:val="(%1)"/>
      <w:numFmt w:val="lowerLetter"/>
      <w:start w:val="4"/>
    </w:lvl>
  </w:abstractNum>
  <w:abstractNum w:abstractNumId="210">
    <w:nsid w:val="46B24DBC"/>
    <w:multiLevelType w:val="hybridMultilevel"/>
    <w:lvl w:ilvl="0">
      <w:lvlJc w:val="left"/>
      <w:lvlText w:val="(%1)"/>
      <w:numFmt w:val="lowerLetter"/>
      <w:start w:val="1"/>
    </w:lvl>
    <w:lvl w:ilvl="1">
      <w:lvlJc w:val="left"/>
      <w:lvlText w:val="(%2)"/>
      <w:numFmt w:val="lowerRoman"/>
      <w:start w:val="1"/>
    </w:lvl>
  </w:abstractNum>
  <w:abstractNum w:abstractNumId="211">
    <w:nsid w:val="75B52783"/>
    <w:multiLevelType w:val="hybridMultilevel"/>
    <w:lvl w:ilvl="0">
      <w:lvlJc w:val="left"/>
      <w:lvlText w:val="(%1)"/>
      <w:numFmt w:val="lowerLetter"/>
      <w:start w:val="2"/>
    </w:lvl>
    <w:lvl w:ilvl="1">
      <w:lvlJc w:val="left"/>
      <w:lvlText w:val="(%2)"/>
      <w:numFmt w:val="lowerRoman"/>
      <w:start w:val="1"/>
    </w:lvl>
  </w:abstractNum>
  <w:abstractNum w:abstractNumId="212">
    <w:nsid w:val="57CE66B4"/>
    <w:multiLevelType w:val="hybridMultilevel"/>
    <w:lvl w:ilvl="0">
      <w:lvlJc w:val="left"/>
      <w:lvlText w:val="%1"/>
      <w:numFmt w:val="lowerLetter"/>
      <w:start w:val="1"/>
    </w:lvl>
    <w:lvl w:ilvl="1">
      <w:lvlJc w:val="left"/>
      <w:lvlText w:val="(%2)"/>
      <w:numFmt w:val="lowerLetter"/>
      <w:start w:val="4"/>
    </w:lvl>
  </w:abstractNum>
  <w:abstractNum w:abstractNumId="213">
    <w:nsid w:val="67A70B69"/>
    <w:multiLevelType w:val="hybridMultilevel"/>
    <w:lvl w:ilvl="0">
      <w:lvlJc w:val="left"/>
      <w:lvlText w:val="(%1)"/>
      <w:numFmt w:val="lowerLetter"/>
      <w:start w:val="35"/>
    </w:lvl>
    <w:lvl w:ilvl="1">
      <w:lvlJc w:val="left"/>
      <w:lvlText w:val="%2"/>
      <w:numFmt w:val="lowerLetter"/>
      <w:start w:val="1"/>
    </w:lvl>
  </w:abstractNum>
  <w:abstractNum w:abstractNumId="214">
    <w:nsid w:val="5953172F"/>
    <w:multiLevelType w:val="hybridMultilevel"/>
    <w:lvl w:ilvl="0">
      <w:lvlJc w:val="left"/>
      <w:lvlText w:val="%1"/>
      <w:numFmt w:val="lowerLetter"/>
      <w:start w:val="1"/>
    </w:lvl>
    <w:lvl w:ilvl="1">
      <w:lvlJc w:val="left"/>
      <w:lvlText w:val="(%2)"/>
      <w:numFmt w:val="lowerLetter"/>
      <w:start w:val="5"/>
    </w:lvl>
  </w:abstractNum>
  <w:abstractNum w:abstractNumId="215">
    <w:nsid w:val="27EDFE3A"/>
    <w:multiLevelType w:val="hybridMultilevel"/>
    <w:lvl w:ilvl="0">
      <w:lvlJc w:val="left"/>
      <w:lvlText w:val="(%1)"/>
      <w:numFmt w:val="lowerLetter"/>
      <w:start w:val="9"/>
    </w:lvl>
    <w:lvl w:ilvl="1">
      <w:lvlJc w:val="left"/>
      <w:lvlText w:val="%2"/>
      <w:numFmt w:val="lowerLetter"/>
      <w:start w:val="1"/>
    </w:lvl>
  </w:abstractNum>
  <w:abstractNum w:abstractNumId="216">
    <w:nsid w:val="52AC7DFF"/>
    <w:multiLevelType w:val="hybridMultilevel"/>
    <w:lvl w:ilvl="0">
      <w:lvlJc w:val="left"/>
      <w:lvlText w:val="(%1)"/>
      <w:numFmt w:val="lowerLetter"/>
      <w:start w:val="1"/>
    </w:lvl>
  </w:abstractNum>
  <w:abstractNum w:abstractNumId="217">
    <w:nsid w:val="C4C3AF"/>
    <w:multiLevelType w:val="hybridMultilevel"/>
    <w:lvl w:ilvl="0">
      <w:lvlJc w:val="left"/>
      <w:lvlText w:val="(%1)"/>
      <w:numFmt w:val="lowerLetter"/>
      <w:start w:val="1"/>
    </w:lvl>
  </w:abstractNum>
  <w:abstractNum w:abstractNumId="218">
    <w:nsid w:val="44380727"/>
    <w:multiLevelType w:val="hybridMultilevel"/>
    <w:lvl w:ilvl="0">
      <w:lvlJc w:val="left"/>
      <w:lvlText w:val="(%1)"/>
      <w:numFmt w:val="lowerRoman"/>
      <w:start w:val="4"/>
    </w:lvl>
  </w:abstractNum>
  <w:abstractNum w:abstractNumId="219">
    <w:nsid w:val="6C053B16"/>
    <w:multiLevelType w:val="hybridMultilevel"/>
    <w:lvl w:ilvl="0">
      <w:lvlJc w:val="left"/>
      <w:lvlText w:val="(%1)"/>
      <w:numFmt w:val="lowerLetter"/>
      <w:start w:val="3"/>
    </w:lvl>
  </w:abstractNum>
  <w:abstractNum w:abstractNumId="220">
    <w:nsid w:val="4F29439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1">
    <w:nsid w:val="5243BFA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22">
    <w:nsid w:val="425EB207"/>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23">
    <w:nsid w:val="334A6F1F"/>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224">
    <w:nsid w:val="2E5B12B8"/>
    <w:multiLevelType w:val="hybridMultilevel"/>
    <w:lvl w:ilvl="0">
      <w:lvlJc w:val="left"/>
      <w:lvlText w:val="%1"/>
      <w:numFmt w:val="lowerLetter"/>
      <w:start w:val="1"/>
    </w:lvl>
    <w:lvl w:ilvl="1">
      <w:lvlJc w:val="left"/>
      <w:lvlText w:val="(%2)"/>
      <w:numFmt w:val="lowerRoman"/>
      <w:start w:val="6"/>
    </w:lvl>
  </w:abstractNum>
  <w:abstractNum w:abstractNumId="225">
    <w:nsid w:val="5C03D76D"/>
    <w:multiLevelType w:val="hybridMultilevel"/>
    <w:lvl w:ilvl="0">
      <w:lvlJc w:val="left"/>
      <w:lvlText w:val="(%1)"/>
      <w:numFmt w:val="lowerLetter"/>
      <w:start w:val="3"/>
    </w:lvl>
    <w:lvl w:ilvl="1">
      <w:lvlJc w:val="left"/>
      <w:lvlText w:val="%2"/>
      <w:numFmt w:val="lowerRoman"/>
      <w:start w:val="1"/>
    </w:lvl>
  </w:abstractNum>
  <w:abstractNum w:abstractNumId="226">
    <w:nsid w:val="66A48D11"/>
    <w:multiLevelType w:val="hybridMultilevel"/>
    <w:lvl w:ilvl="0">
      <w:lvlJc w:val="left"/>
      <w:lvlText w:val="(%1)"/>
      <w:numFmt w:val="lowerLetter"/>
      <w:start w:val="4"/>
    </w:lvl>
    <w:lvl w:ilvl="1">
      <w:lvlJc w:val="left"/>
      <w:lvlText w:val="(%2)"/>
      <w:numFmt w:val="lowerRoman"/>
      <w:start w:val="1"/>
    </w:lvl>
  </w:abstractNum>
  <w:abstractNum w:abstractNumId="227">
    <w:nsid w:val="56C28E34"/>
    <w:multiLevelType w:val="hybridMultilevel"/>
    <w:lvl w:ilvl="0">
      <w:lvlJc w:val="left"/>
      <w:lvlText w:val="(%1)"/>
      <w:numFmt w:val="lowerLetter"/>
      <w:start w:val="5"/>
    </w:lvl>
  </w:abstractNum>
  <w:abstractNum w:abstractNumId="228">
    <w:nsid w:val="13916F2D"/>
    <w:multiLevelType w:val="hybridMultilevel"/>
    <w:lvl w:ilvl="0">
      <w:lvlJc w:val="left"/>
      <w:lvlText w:val="%1"/>
      <w:numFmt w:val="lowerRoman"/>
      <w:start w:val="1"/>
    </w:lvl>
    <w:lvl w:ilvl="1">
      <w:lvlJc w:val="left"/>
      <w:lvlText w:val="(%2)"/>
      <w:numFmt w:val="lowerLetter"/>
      <w:start w:val="1"/>
    </w:lvl>
  </w:abstractNum>
  <w:abstractNum w:abstractNumId="229">
    <w:nsid w:val="435D38D"/>
    <w:multiLevelType w:val="hybridMultilevel"/>
    <w:lvl w:ilvl="0">
      <w:lvlJc w:val="left"/>
      <w:lvlText w:val="(%1)"/>
      <w:numFmt w:val="lowerRoman"/>
      <w:start w:val="6"/>
    </w:lvl>
    <w:lvl w:ilvl="1">
      <w:lvlJc w:val="left"/>
      <w:lvlText w:val="%2"/>
      <w:numFmt w:val="lowerLetter"/>
      <w:start w:val="1"/>
    </w:lvl>
  </w:abstractNum>
  <w:abstractNum w:abstractNumId="230">
    <w:nsid w:val="822C0EF"/>
    <w:multiLevelType w:val="hybridMultilevel"/>
    <w:lvl w:ilvl="0">
      <w:lvlJc w:val="left"/>
      <w:lvlText w:val="(%1)"/>
      <w:numFmt w:val="lowerLetter"/>
      <w:start w:val="24"/>
    </w:lvl>
    <w:lvl w:ilvl="1">
      <w:lvlJc w:val="left"/>
      <w:lvlText w:val="(%2)"/>
      <w:numFmt w:val="lowerLetter"/>
      <w:start w:val="1"/>
    </w:lvl>
  </w:abstractNum>
  <w:abstractNum w:abstractNumId="231">
    <w:nsid w:val="57C5BB4F"/>
    <w:multiLevelType w:val="hybridMultilevel"/>
    <w:lvl w:ilvl="0">
      <w:lvlJc w:val="left"/>
      <w:lvlText w:val="(%1)"/>
      <w:numFmt w:val="lowerLetter"/>
      <w:start w:val="2"/>
    </w:lvl>
  </w:abstractNum>
  <w:abstractNum w:abstractNumId="232">
    <w:nsid w:val="1803D089"/>
    <w:multiLevelType w:val="hybridMultilevel"/>
    <w:lvl w:ilvl="0">
      <w:lvlJc w:val="left"/>
      <w:lvlText w:val="(%1)"/>
      <w:numFmt w:val="lowerLetter"/>
      <w:start w:val="1"/>
    </w:lvl>
  </w:abstractNum>
  <w:abstractNum w:abstractNumId="233">
    <w:nsid w:val="4F3A06D4"/>
    <w:multiLevelType w:val="hybridMultilevel"/>
    <w:lvl w:ilvl="0">
      <w:lvlJc w:val="left"/>
      <w:lvlText w:val="(%1)"/>
      <w:numFmt w:val="lowerLetter"/>
      <w:start w:val="1"/>
    </w:lvl>
    <w:lvl w:ilvl="1">
      <w:lvlJc w:val="left"/>
      <w:lvlText w:val="(%2)"/>
      <w:numFmt w:val="lowerRoman"/>
      <w:start w:val="1"/>
    </w:lvl>
  </w:abstractNum>
  <w:abstractNum w:abstractNumId="234">
    <w:nsid w:val="59A377B6"/>
    <w:multiLevelType w:val="hybridMultilevel"/>
    <w:lvl w:ilvl="0">
      <w:lvlJc w:val="left"/>
      <w:lvlText w:val="(%1)"/>
      <w:numFmt w:val="lowerLetter"/>
      <w:start w:val="4"/>
    </w:lvl>
  </w:abstractNum>
  <w:abstractNum w:abstractNumId="235">
    <w:nsid w:val="48AEB063"/>
    <w:multiLevelType w:val="hybridMultilevel"/>
    <w:lvl w:ilvl="0">
      <w:lvlJc w:val="left"/>
      <w:lvlText w:val="%1"/>
      <w:numFmt w:val="lowerLetter"/>
      <w:start w:val="1"/>
    </w:lvl>
    <w:lvl w:ilvl="1">
      <w:lvlJc w:val="left"/>
      <w:lvlText w:val="(%2)"/>
      <w:numFmt w:val="lowerLetter"/>
      <w:start w:val="1"/>
    </w:lvl>
  </w:abstractNum>
  <w:abstractNum w:abstractNumId="236">
    <w:nsid w:val="24E135"/>
    <w:multiLevelType w:val="hybridMultilevel"/>
    <w:lvl w:ilvl="0">
      <w:lvlJc w:val="left"/>
      <w:lvlText w:val="(%1)"/>
      <w:numFmt w:val="lowerLetter"/>
      <w:start w:val="2"/>
    </w:lvl>
    <w:lvl w:ilvl="1">
      <w:lvlJc w:val="left"/>
      <w:lvlText w:val="(%2)"/>
      <w:numFmt w:val="lowerLetter"/>
      <w:start w:val="3"/>
    </w:lvl>
  </w:abstractNum>
  <w:abstractNum w:abstractNumId="237">
    <w:nsid w:val="BB13C1"/>
    <w:multiLevelType w:val="hybridMultilevel"/>
    <w:lvl w:ilvl="0">
      <w:lvlJc w:val="left"/>
      <w:lvlText w:val="(%1)"/>
      <w:numFmt w:val="lowerLetter"/>
      <w:start w:val="4"/>
    </w:lvl>
  </w:abstractNum>
  <w:abstractNum w:abstractNumId="238">
    <w:nsid w:val="271210C7"/>
    <w:multiLevelType w:val="hybridMultilevel"/>
    <w:lvl w:ilvl="0">
      <w:lvlJc w:val="left"/>
      <w:lvlText w:val="(%1)"/>
      <w:numFmt w:val="lowerLetter"/>
      <w:start w:val="1"/>
    </w:lvl>
    <w:lvl w:ilvl="1">
      <w:lvlJc w:val="left"/>
      <w:lvlText w:val="(%2)"/>
      <w:numFmt w:val="lowerRoman"/>
      <w:start w:val="1"/>
    </w:lvl>
  </w:abstractNum>
  <w:abstractNum w:abstractNumId="239">
    <w:nsid w:val="217B22E4"/>
    <w:multiLevelType w:val="hybridMultilevel"/>
    <w:lvl w:ilvl="0">
      <w:lvlJc w:val="left"/>
      <w:lvlText w:val="(%1)"/>
      <w:numFmt w:val="lowerRoman"/>
      <w:start w:val="3"/>
    </w:lvl>
  </w:abstractNum>
  <w:abstractNum w:abstractNumId="240">
    <w:nsid w:val="53E31A24"/>
    <w:multiLevelType w:val="hybridMultilevel"/>
    <w:lvl w:ilvl="0">
      <w:lvlJc w:val="left"/>
      <w:lvlText w:val="%1."/>
      <w:numFmt w:val="decimal"/>
      <w:start w:val="1"/>
    </w:lvl>
    <w:lvl w:ilvl="1">
      <w:lvlJc w:val="left"/>
      <w:lvlText w:val="%2)"/>
      <w:numFmt w:val="lowerLetter"/>
      <w:start w:val="1"/>
    </w:lvl>
  </w:abstractNum>
  <w:abstractNum w:abstractNumId="241">
    <w:nsid w:val="6DC45E83"/>
    <w:multiLevelType w:val="hybridMultilevel"/>
    <w:lvl w:ilvl="0">
      <w:lvlJc w:val="left"/>
      <w:lvlText w:val="%1."/>
      <w:numFmt w:val="decimal"/>
      <w:start w:val="1"/>
    </w:lvl>
    <w:lvl w:ilvl="1">
      <w:lvlJc w:val="left"/>
      <w:lvlText w:val="%2)"/>
      <w:numFmt w:val="lowerLetter"/>
      <w:start w:val="1"/>
    </w:lvl>
  </w:abstractNum>
  <w:abstractNum w:abstractNumId="242">
    <w:nsid w:val="17304A67"/>
    <w:multiLevelType w:val="hybridMultilevel"/>
    <w:lvl w:ilvl="0">
      <w:lvlJc w:val="left"/>
      <w:lvlText w:val="(%1)"/>
      <w:numFmt w:val="decimal"/>
      <w:start w:val="1"/>
    </w:lvl>
  </w:abstractNum>
  <w:abstractNum w:abstractNumId="243">
    <w:nsid w:val="2BB180D8"/>
    <w:multiLevelType w:val="hybridMultilevel"/>
    <w:lvl w:ilvl="0">
      <w:lvlJc w:val="left"/>
      <w:lvlText w:val="(%1)"/>
      <w:numFmt w:val="decimal"/>
      <w:start w:val="1"/>
    </w:lvl>
  </w:abstractNum>
  <w:abstractNum w:abstractNumId="244">
    <w:nsid w:val="556B69ED"/>
    <w:multiLevelType w:val="hybridMultilevel"/>
    <w:lvl w:ilvl="0">
      <w:lvlJc w:val="left"/>
      <w:lvlText w:val="·"/>
      <w:numFmt w:val="bullet"/>
      <w:start w:val="1"/>
    </w:lvl>
  </w:abstractNum>
  <w:abstractNum w:abstractNumId="245">
    <w:nsid w:val="70836196"/>
    <w:multiLevelType w:val="hybridMultilevel"/>
    <w:lvl w:ilvl="0">
      <w:lvlJc w:val="left"/>
      <w:lvlText w:val="·"/>
      <w:numFmt w:val="bullet"/>
      <w:start w:val="1"/>
    </w:lvl>
  </w:abstractNum>
  <w:abstractNum w:abstractNumId="246">
    <w:nsid w:val="539F7F12"/>
    <w:multiLevelType w:val="hybridMultilevel"/>
    <w:lvl w:ilvl="0">
      <w:lvlJc w:val="left"/>
      <w:lvlText w:val="(%1)"/>
      <w:numFmt w:val="lowerLetter"/>
      <w:start w:val="1"/>
    </w:lvl>
  </w:abstractNum>
  <w:abstractNum w:abstractNumId="247">
    <w:nsid w:val="2817E7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jpeg"/><Relationship Id="rId140" Type="http://schemas.openxmlformats.org/officeDocument/2006/relationships/image" Target="media/image104.jpeg"/><Relationship Id="rId141" Type="http://schemas.openxmlformats.org/officeDocument/2006/relationships/image" Target="media/image105.png"/><Relationship Id="rId142" Type="http://schemas.openxmlformats.org/officeDocument/2006/relationships/image" Target="media/image106.jpeg"/><Relationship Id="rId143" Type="http://schemas.openxmlformats.org/officeDocument/2006/relationships/image" Target="media/image107.jpeg"/><Relationship Id="rId144" Type="http://schemas.openxmlformats.org/officeDocument/2006/relationships/image" Target="media/image108.jpeg"/><Relationship Id="rId145" Type="http://schemas.openxmlformats.org/officeDocument/2006/relationships/image" Target="media/image109.jpeg"/><Relationship Id="rId146" Type="http://schemas.openxmlformats.org/officeDocument/2006/relationships/image" Target="media/image110.jpeg"/><Relationship Id="rId147" Type="http://schemas.openxmlformats.org/officeDocument/2006/relationships/image" Target="media/image111.jpeg"/><Relationship Id="rId85" Type="http://schemas.openxmlformats.org/officeDocument/2006/relationships/hyperlink" Target="http://www.sec.gov/Archives/edgar/data/80420/000008042004000044/exhibit3_1.htm" TargetMode="External"/><Relationship Id="rId86" Type="http://schemas.openxmlformats.org/officeDocument/2006/relationships/hyperlink" Target="http://www.sec.gov/Archives/edgar/data/80420/000119312512421889/d424375dex31.htm" TargetMode="External"/><Relationship Id="rId87" Type="http://schemas.openxmlformats.org/officeDocument/2006/relationships/hyperlink" Target="http://www.sec.gov/Archives/edgar/data/0000080420/000008042021000018/ex31-amendmentno1toamended.htm" TargetMode="External"/><Relationship Id="rId88" Type="http://schemas.openxmlformats.org/officeDocument/2006/relationships/hyperlink" Target="http://www.sec.gov/Archives/edgar/data/80420/000095012903000042/h02247exv10w9.txt" TargetMode="External"/><Relationship Id="rId89" Type="http://schemas.openxmlformats.org/officeDocument/2006/relationships/hyperlink" Target="http://www.sec.gov/Archives/edgar/data/80420/000095012906000313/h31947exv10w16.htm" TargetMode="External"/><Relationship Id="rId90" Type="http://schemas.openxmlformats.org/officeDocument/2006/relationships/hyperlink" Target="http://www.sec.gov/Archives/edgar/data/80420/000095013406015374/h38545exv10w2.htm" TargetMode="External"/><Relationship Id="rId91" Type="http://schemas.openxmlformats.org/officeDocument/2006/relationships/hyperlink" Target="http://www.sec.gov/Archives/edgar/data/80420/000119312512222108/d337560dex102.htm" TargetMode="External"/><Relationship Id="rId92" Type="http://schemas.openxmlformats.org/officeDocument/2006/relationships/hyperlink" Target="http://www.sec.gov/Archives/edgar/data/80420/000119312512222108/d337560dex104.htm" TargetMode="External"/><Relationship Id="rId93" Type="http://schemas.openxmlformats.org/officeDocument/2006/relationships/hyperlink" Target="http://www.sec.gov/Archives/edgar/data/80420/000119312514014351/d661947dex101.htm" TargetMode="External"/><Relationship Id="rId94" Type="http://schemas.openxmlformats.org/officeDocument/2006/relationships/hyperlink" Target="http://www.sec.gov/Archives/edgar/data/80420/000156459014000140/powl-ex10_20131231466.htm" TargetMode="External"/><Relationship Id="rId95" Type="http://schemas.openxmlformats.org/officeDocument/2006/relationships/hyperlink" Target="http://www.sec.gov/Archives/edgar/data/80420/000156459014001858/powl-ex10_20140331386.htm" TargetMode="External"/><Relationship Id="rId96" Type="http://schemas.openxmlformats.org/officeDocument/2006/relationships/hyperlink" Target="http://www.sec.gov/Archives/edgar/data/80420/000156459014001858/powl-ex10_20140331532.htm" TargetMode="External"/><Relationship Id="rId99" Type="http://schemas.openxmlformats.org/officeDocument/2006/relationships/hyperlink" Target="http://www.sec.gov/Archives/edgar/data/80420/000156459014001858/powl-ex10_20140331533.htm" TargetMode="External"/><Relationship Id="rId100" Type="http://schemas.openxmlformats.org/officeDocument/2006/relationships/hyperlink" Target="http://www.sec.gov/Archives/edgar/data/80420/000156459014001858/powl-ex10_20140331387.htm" TargetMode="External"/><Relationship Id="rId101" Type="http://schemas.openxmlformats.org/officeDocument/2006/relationships/hyperlink" Target="http://www.sec.gov/Archives/edgar/data/80420/000156459014001858/powl-ex10_20140331534.htm" TargetMode="External"/><Relationship Id="rId102" Type="http://schemas.openxmlformats.org/officeDocument/2006/relationships/hyperlink" Target="http://www.sec.gov/Archives/edgar/data/80420/000156459014001858/powl-ex10_20140331535.htm" TargetMode="External"/><Relationship Id="rId103" Type="http://schemas.openxmlformats.org/officeDocument/2006/relationships/hyperlink" Target="http://www.sec.gov/Archives/edgar/data/80420/000156459014001858/powl-ex10_20140331388.htm" TargetMode="External"/><Relationship Id="rId104" Type="http://schemas.openxmlformats.org/officeDocument/2006/relationships/hyperlink" Target="http://www.sec.gov/Archives/edgar/data/80420/000156459014001858/powl-ex10_20140331536.htm" TargetMode="External"/><Relationship Id="rId105" Type="http://schemas.openxmlformats.org/officeDocument/2006/relationships/hyperlink" Target="http://www.sec.gov/Archives/edgar/data/80420/000156459014006033/powl-ex1048_2014093076.htm" TargetMode="External"/><Relationship Id="rId106" Type="http://schemas.openxmlformats.org/officeDocument/2006/relationships/hyperlink" Target="http://www.sec.gov/Archives/edgar/data/80420/000156459015003392/powl-ex101_20150331597.htm" TargetMode="External"/><Relationship Id="rId107" Type="http://schemas.openxmlformats.org/officeDocument/2006/relationships/hyperlink" Target="http://www.sec.gov/Archives/edgar/data/80420/000119312516726999/d262942dex101.htm" TargetMode="External"/><Relationship Id="rId108" Type="http://schemas.openxmlformats.org/officeDocument/2006/relationships/hyperlink" Target="http://www.sec.gov/Archives/edgar/data/80420/000008042018000027/ex101-metcalfmichaelwxcfoe.htm" TargetMode="External"/><Relationship Id="rId109" Type="http://schemas.openxmlformats.org/officeDocument/2006/relationships/hyperlink" Target="http://www.sec.gov/Archives/edgar/data/80420/000008042019000039/exhibit102510k2019creditag.htm" TargetMode="External"/><Relationship Id="rId110" Type="http://schemas.openxmlformats.org/officeDocument/2006/relationships/hyperlink" Target="http://www.sec.gov/Archives/edgar/data/0000080420/000119312521082878/d130870dex101.htm" TargetMode="External"/><Relationship Id="rId111" Type="http://schemas.openxmlformats.org/officeDocument/2006/relationships/hyperlink" Target="http://www.sec.gov/Archives/edgar/data/80420/000008042022000007/powlex101q12022-libortrans.htm" TargetMode="External"/><Relationship Id="rId112" Type="http://schemas.openxmlformats.org/officeDocument/2006/relationships/hyperlink" Target="http://www.sec.gov/Archives/edgar/data/80420/000008042023000007/powlex101q12023-libortrans.htm" TargetMode="External"/><Relationship Id="rId113" Type="http://schemas.openxmlformats.org/officeDocument/2006/relationships/hyperlink" Target="http://www.sec.gov/Archives/edgar/data/80420/000008042023000020/secondamendmenttotheusrevo.htm" TargetMode="External"/><Relationship Id="rId114" Type="http://schemas.openxmlformats.org/officeDocument/2006/relationships/hyperlink" Target="http://www.sec.gov/Archives/edgar/data/80420/000119312523029998/d423291dex102.htm" TargetMode="External"/><Relationship Id="rId115" Type="http://schemas.openxmlformats.org/officeDocument/2006/relationships/hyperlink" Target="http://www.sec.gov/Archives/edgar/data/80420/000008042023000011/amendment1toequityincenti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2023-12-06T12:41:28Z</dcterms:created>
  <dcterms:modified xsi:type="dcterms:W3CDTF">2023-12-06T12:41:28Z</dcterms:modified>
</cp:coreProperties>
</file>