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857" w:right="339" w:bottom="1440" w:gutter="0" w:footer="0" w:header="0"/>
        </w:sectPr>
      </w:pPr>
    </w:p>
    <w:p>
      <w:pPr>
        <w:spacing w:after="0" w:line="17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001-12488</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88-0106100</w:t>
      </w:r>
    </w:p>
    <w:p>
      <w:pPr>
        <w:spacing w:after="0" w:line="37" w:lineRule="exact"/>
        <w:rPr>
          <w:sz w:val="24"/>
          <w:szCs w:val="24"/>
          <w:color w:val="auto"/>
        </w:rPr>
      </w:pPr>
    </w:p>
    <w:p>
      <w:pPr>
        <w:sectPr>
          <w:pgSz w:w="11900" w:h="16838" w:orient="portrait"/>
          <w:cols w:equalWidth="0" w:num="3">
            <w:col w:w="4620" w:space="720"/>
            <w:col w:w="2980" w:space="720"/>
            <w:col w:w="2200"/>
          </w:cols>
          <w:pgMar w:left="320" w:top="857" w:right="339" w:bottom="1440" w:gutter="0" w:footer="0" w:header="0"/>
          <w:type w:val="continuous"/>
        </w:sect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2" w:lineRule="exact"/>
        <w:rPr>
          <w:sz w:val="24"/>
          <w:szCs w:val="24"/>
          <w:color w:val="auto"/>
        </w:rPr>
      </w:pPr>
    </w:p>
    <w:p>
      <w:pPr>
        <w:sectPr>
          <w:pgSz w:w="11900" w:h="16838" w:orient="portrait"/>
          <w:cols w:equalWidth="0" w:num="3">
            <w:col w:w="4600" w:space="720"/>
            <w:col w:w="2720" w:space="720"/>
            <w:col w:w="2480"/>
          </w:cols>
          <w:pgMar w:left="320" w:top="857" w:right="3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8550 Mosley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Houston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77075-1180</w:t>
      </w:r>
    </w:p>
    <w:p>
      <w:pPr>
        <w:spacing w:after="0" w:line="42" w:lineRule="exact"/>
        <w:rPr>
          <w:sz w:val="24"/>
          <w:szCs w:val="24"/>
          <w:color w:val="auto"/>
        </w:rPr>
      </w:pPr>
    </w:p>
    <w:p>
      <w:pPr>
        <w:sectPr>
          <w:pgSz w:w="11900" w:h="16838" w:orient="portrait"/>
          <w:cols w:equalWidth="0" w:num="4">
            <w:col w:w="3480" w:space="720"/>
            <w:col w:w="1120" w:space="720"/>
            <w:col w:w="1540" w:space="720"/>
            <w:col w:w="2940"/>
          </w:cols>
          <w:pgMar w:left="320" w:top="857" w:right="339" w:bottom="1440" w:gutter="0" w:footer="0" w:header="0"/>
          <w:type w:val="continuous"/>
        </w:sectPr>
      </w:pPr>
    </w:p>
    <w:p>
      <w:pPr>
        <w:jc w:val="center"/>
        <w:ind w:left="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600" w:space="720"/>
            <w:col w:w="2920"/>
          </w:cols>
          <w:pgMar w:left="320" w:top="857" w:right="33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944-6900</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331" w:lineRule="exact"/>
        <w:rPr>
          <w:sz w:val="24"/>
          <w:szCs w:val="24"/>
          <w:color w:val="auto"/>
        </w:rPr>
      </w:pPr>
    </w:p>
    <w:p>
      <w:pPr>
        <w:ind w:right="680"/>
        <w:spacing w:after="0" w:line="38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7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40" w:type="dxa"/>
            <w:vAlign w:val="bottom"/>
          </w:tcPr>
          <w:p>
            <w:pPr>
              <w:spacing w:after="0"/>
              <w:rPr>
                <w:sz w:val="19"/>
                <w:szCs w:val="19"/>
                <w:color w:val="auto"/>
              </w:rPr>
            </w:pPr>
          </w:p>
        </w:tc>
        <w:tc>
          <w:tcPr>
            <w:tcW w:w="1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POWL</w:t>
            </w:r>
          </w:p>
        </w:tc>
        <w:tc>
          <w:tcPr>
            <w:tcW w:w="340" w:type="dxa"/>
            <w:vAlign w:val="bottom"/>
          </w:tcPr>
          <w:p>
            <w:pPr>
              <w:spacing w:after="0"/>
              <w:rPr>
                <w:sz w:val="19"/>
                <w:szCs w:val="19"/>
                <w:color w:val="auto"/>
              </w:rPr>
            </w:pPr>
          </w:p>
        </w:tc>
        <w:tc>
          <w:tcPr>
            <w:tcW w:w="4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68" w:lineRule="exact"/>
        <w:rPr>
          <w:sz w:val="24"/>
          <w:szCs w:val="24"/>
          <w:color w:val="auto"/>
        </w:rPr>
      </w:pPr>
    </w:p>
    <w:p>
      <w:pPr>
        <w:ind w:right="520"/>
        <w:spacing w:after="0" w:line="38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160"/>
        <w:spacing w:after="0" w:line="28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 Results of Operations and Financial Condition.</w:t>
      </w:r>
    </w:p>
    <w:p>
      <w:pPr>
        <w:spacing w:after="0" w:line="30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On May 4, 2026, Powell Industries, Inc. (NASDAQ: POWL) (the “Company”) issued a press release regarding the Company’s results of operations for its fiscal 2026 second quarter ended March 31, 2026. A copy of the press release is attached hereto as Exhibit 99.1 and is incorporated herein by reference.</w:t>
      </w:r>
    </w:p>
    <w:p>
      <w:pPr>
        <w:spacing w:after="0" w:line="6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The information in Item 2.02 of this Current Report on Form 8-K (“Current Report”) and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unless specifically identified therein as being incorporated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 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 The following exhibits are furnished as part of this Report.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2540" w:type="dxa"/>
            <w:vAlign w:val="bottom"/>
          </w:tcPr>
          <w:p>
            <w:pPr>
              <w:spacing w:after="0"/>
              <w:rPr>
                <w:sz w:val="21"/>
                <w:szCs w:val="21"/>
                <w:color w:val="auto"/>
              </w:rPr>
            </w:pPr>
          </w:p>
        </w:tc>
        <w:tc>
          <w:tcPr>
            <w:tcW w:w="6040" w:type="dxa"/>
            <w:vAlign w:val="bottom"/>
            <w:gridSpan w:val="4"/>
          </w:tcPr>
          <w:p>
            <w:pPr>
              <w:jc w:val="center"/>
              <w:ind w:right="3460"/>
              <w:spacing w:after="0"/>
              <w:rPr>
                <w:sz w:val="20"/>
                <w:szCs w:val="20"/>
                <w:color w:val="auto"/>
              </w:rPr>
            </w:pPr>
            <w:r>
              <w:rPr>
                <w:rFonts w:ascii="Times New Roman" w:cs="Times New Roman" w:eastAsia="Times New Roman" w:hAnsi="Times New Roman"/>
                <w:sz w:val="20"/>
                <w:szCs w:val="20"/>
                <w:b w:val="1"/>
                <w:bCs w:val="1"/>
                <w:color w:val="auto"/>
                <w:w w:val="99"/>
              </w:rPr>
              <w:t>Description</w:t>
            </w:r>
          </w:p>
        </w:tc>
      </w:tr>
      <w:tr>
        <w:trPr>
          <w:trHeight w:val="27"/>
        </w:trPr>
        <w:tc>
          <w:tcPr>
            <w:tcW w:w="6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311"/>
        </w:trPr>
        <w:tc>
          <w:tcPr>
            <w:tcW w:w="620" w:type="dxa"/>
            <w:vAlign w:val="bottom"/>
          </w:tcPr>
          <w:p>
            <w:pPr>
              <w:spacing w:after="0"/>
              <w:rPr>
                <w:sz w:val="24"/>
                <w:szCs w:val="24"/>
                <w:color w:val="auto"/>
              </w:rPr>
            </w:pPr>
          </w:p>
        </w:tc>
        <w:tc>
          <w:tcPr>
            <w:tcW w:w="138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99.1</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40" w:type="dxa"/>
            <w:vAlign w:val="bottom"/>
            <w:gridSpan w:val="4"/>
          </w:tcPr>
          <w:p>
            <w:pPr>
              <w:jc w:val="center"/>
              <w:ind w:right="3420"/>
              <w:spacing w:after="0"/>
              <w:rPr>
                <w:sz w:val="20"/>
                <w:szCs w:val="20"/>
                <w:color w:val="auto"/>
              </w:rPr>
            </w:pPr>
            <w:r>
              <w:rPr>
                <w:rFonts w:ascii="Times New Roman" w:cs="Times New Roman" w:eastAsia="Times New Roman" w:hAnsi="Times New Roman"/>
                <w:sz w:val="20"/>
                <w:szCs w:val="20"/>
                <w:color w:val="0000FF"/>
                <w:w w:val="99"/>
              </w:rPr>
              <w:t>Press Release dated May 4, 2026</w:t>
            </w:r>
          </w:p>
        </w:tc>
      </w:tr>
      <w:tr>
        <w:trPr>
          <w:trHeight w:val="20"/>
        </w:trPr>
        <w:tc>
          <w:tcPr>
            <w:tcW w:w="2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10"/>
        </w:trPr>
        <w:tc>
          <w:tcPr>
            <w:tcW w:w="2000" w:type="dxa"/>
            <w:vAlign w:val="bottom"/>
            <w:gridSpan w:val="2"/>
          </w:tcPr>
          <w:p>
            <w:pPr>
              <w:jc w:val="right"/>
              <w:ind w:right="441"/>
              <w:spacing w:after="0"/>
              <w:rPr>
                <w:sz w:val="20"/>
                <w:szCs w:val="20"/>
                <w:color w:val="auto"/>
              </w:rPr>
            </w:pPr>
            <w:r>
              <w:rPr>
                <w:rFonts w:ascii="Times New Roman" w:cs="Times New Roman" w:eastAsia="Times New Roman" w:hAnsi="Times New Roman"/>
                <w:sz w:val="20"/>
                <w:szCs w:val="20"/>
                <w:color w:val="auto"/>
              </w:rPr>
              <w:t>104</w:t>
            </w:r>
          </w:p>
        </w:tc>
        <w:tc>
          <w:tcPr>
            <w:tcW w:w="660" w:type="dxa"/>
            <w:vAlign w:val="bottom"/>
          </w:tcPr>
          <w:p>
            <w:pPr>
              <w:spacing w:after="0"/>
              <w:rPr>
                <w:sz w:val="24"/>
                <w:szCs w:val="24"/>
                <w:color w:val="auto"/>
              </w:rPr>
            </w:pPr>
          </w:p>
        </w:tc>
        <w:tc>
          <w:tcPr>
            <w:tcW w:w="8580" w:type="dxa"/>
            <w:vAlign w:val="bottom"/>
            <w:gridSpan w:val="5"/>
          </w:tcPr>
          <w:p>
            <w:pPr>
              <w:jc w:val="center"/>
              <w:ind w:right="920"/>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r>
        <w:trPr>
          <w:trHeight w:val="1756"/>
        </w:trPr>
        <w:tc>
          <w:tcPr>
            <w:tcW w:w="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 w:name="page3"/>
    <w:bookmarkEnd w:id="2"/>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74"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POWELL INDUSTRIES, INC.</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5980" w:type="dxa"/>
            <w:vAlign w:val="bottom"/>
          </w:tcPr>
          <w:p>
            <w:pPr>
              <w:spacing w:after="0"/>
              <w:rPr>
                <w:sz w:val="19"/>
                <w:szCs w:val="19"/>
                <w:color w:val="auto"/>
              </w:rPr>
            </w:pPr>
          </w:p>
        </w:tc>
      </w:tr>
      <w:tr>
        <w:trPr>
          <w:trHeight w:val="234"/>
        </w:trPr>
        <w:tc>
          <w:tcPr>
            <w:tcW w:w="520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520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30"/>
        </w:trPr>
        <w:tc>
          <w:tcPr>
            <w:tcW w:w="520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520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and Principal Accounting Officer</w:t>
            </w:r>
          </w:p>
        </w:tc>
      </w:tr>
      <w:tr>
        <w:trPr>
          <w:trHeight w:val="234"/>
        </w:trPr>
        <w:tc>
          <w:tcPr>
            <w:tcW w:w="520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ectPr>
          <w:pgSz w:w="11900" w:h="16838" w:orient="portrait"/>
          <w:cols w:equalWidth="0" w:num="1">
            <w:col w:w="11220"/>
          </w:cols>
          <w:pgMar w:left="320" w:top="144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1765935" cy="52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50"/>
          <w:szCs w:val="50"/>
          <w:b w:val="1"/>
          <w:bCs w:val="1"/>
          <w:i w:val="1"/>
          <w:iCs w:val="1"/>
          <w:color w:val="auto"/>
        </w:rPr>
        <w:t>PRESS RELEASE</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 Immediate Release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Contact: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Metcalf, CFO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Powell Industries,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713-947-4422</w:t>
      </w:r>
    </w:p>
    <w:p>
      <w:pPr>
        <w:spacing w:after="0" w:line="200" w:lineRule="exact"/>
        <w:rPr>
          <w:sz w:val="20"/>
          <w:szCs w:val="20"/>
          <w:color w:val="auto"/>
        </w:rPr>
      </w:pPr>
    </w:p>
    <w:p>
      <w:pPr>
        <w:sectPr>
          <w:pgSz w:w="11900" w:h="16838" w:orient="portrait"/>
          <w:cols w:equalWidth="0" w:num="3">
            <w:col w:w="5240" w:space="720"/>
            <w:col w:w="640" w:space="720"/>
            <w:col w:w="3920"/>
          </w:cols>
          <w:pgMar w:left="320" w:top="121" w:right="339" w:bottom="1440" w:gutter="0" w:footer="0" w:header="0"/>
          <w:type w:val="continuous"/>
        </w:sectPr>
      </w:pPr>
    </w:p>
    <w:p>
      <w:pPr>
        <w:spacing w:after="0" w:line="8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Robert Winters or Ryan Coleman</w:t>
      </w:r>
    </w:p>
    <w:p>
      <w:pPr>
        <w:spacing w:after="0" w:line="3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Alpha IR Group</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POWL@alpha-ir.com</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312-445-2870</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POWELL INDUSTRIES ANNOUNCES SECOND QUARTER FISCAL 2026 RESULTS</w:t>
      </w:r>
    </w:p>
    <w:p>
      <w:pPr>
        <w:spacing w:after="0" w:line="357"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22"/>
          <w:szCs w:val="22"/>
          <w:color w:val="auto"/>
        </w:rPr>
        <w:t>HOUSTON — May 4, 2026 — Powell Industries, Inc. (NASDAQ: POWL) (“Powell” or the “Company”), a leading supplier of custom-engineered solutions for the management, control and distribution of electrical energy, today announced results for the second quarter Fiscal 2026 ended March 31, 2026. All comparisons are to the second quarter of Fiscal 2025, unless otherwise noted.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Highlights:</w:t>
      </w:r>
    </w:p>
    <w:p>
      <w:pPr>
        <w:spacing w:after="0" w:line="14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Revenues of $297 million increased 6%;</w:t>
      </w:r>
    </w:p>
    <w:p>
      <w:pPr>
        <w:spacing w:after="0" w:line="137" w:lineRule="exact"/>
        <w:rPr>
          <w:rFonts w:ascii="Arial" w:cs="Arial" w:eastAsia="Arial" w:hAnsi="Arial"/>
          <w:sz w:val="22"/>
          <w:szCs w:val="22"/>
          <w:b w:val="1"/>
          <w:bCs w:val="1"/>
          <w:color w:val="auto"/>
        </w:rPr>
      </w:pPr>
    </w:p>
    <w:p>
      <w:pPr>
        <w:ind w:left="660" w:hanging="328"/>
        <w:spacing w:after="0"/>
        <w:tabs>
          <w:tab w:leader="none" w:pos="660" w:val="left"/>
        </w:tabs>
        <w:numPr>
          <w:ilvl w:val="0"/>
          <w:numId w:val="2"/>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Gross profit of $88 million, or 29.6% of revenue, increased 5%;</w:t>
      </w:r>
    </w:p>
    <w:p>
      <w:pPr>
        <w:spacing w:after="0" w:line="137" w:lineRule="exact"/>
        <w:rPr>
          <w:rFonts w:ascii="Arial" w:cs="Arial" w:eastAsia="Arial" w:hAnsi="Arial"/>
          <w:sz w:val="22"/>
          <w:szCs w:val="22"/>
          <w:b w:val="1"/>
          <w:bCs w:val="1"/>
          <w:color w:val="auto"/>
        </w:rPr>
      </w:pPr>
    </w:p>
    <w:p>
      <w:pPr>
        <w:ind w:left="660" w:hanging="328"/>
        <w:spacing w:after="0"/>
        <w:tabs>
          <w:tab w:leader="none" w:pos="660" w:val="left"/>
        </w:tabs>
        <w:numPr>
          <w:ilvl w:val="0"/>
          <w:numId w:val="2"/>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Net income of $45.9 million, or $1.25 per diluted share</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declined 1%;</w:t>
      </w:r>
    </w:p>
    <w:p>
      <w:pPr>
        <w:spacing w:after="0" w:line="124" w:lineRule="exact"/>
        <w:rPr>
          <w:rFonts w:ascii="Arial" w:cs="Arial" w:eastAsia="Arial" w:hAnsi="Arial"/>
          <w:sz w:val="22"/>
          <w:szCs w:val="22"/>
          <w:b w:val="1"/>
          <w:bCs w:val="1"/>
          <w:color w:val="auto"/>
        </w:rPr>
      </w:pPr>
    </w:p>
    <w:p>
      <w:pPr>
        <w:ind w:left="660" w:hanging="328"/>
        <w:spacing w:after="0"/>
        <w:tabs>
          <w:tab w:leader="none" w:pos="660" w:val="left"/>
        </w:tabs>
        <w:numPr>
          <w:ilvl w:val="0"/>
          <w:numId w:val="2"/>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New orders</w:t>
      </w:r>
      <w:r>
        <w:rPr>
          <w:rFonts w:ascii="Times New Roman" w:cs="Times New Roman" w:eastAsia="Times New Roman" w:hAnsi="Times New Roman"/>
          <w:sz w:val="11"/>
          <w:szCs w:val="11"/>
          <w:color w:val="auto"/>
        </w:rPr>
        <w:t>(2)</w:t>
      </w:r>
      <w:r>
        <w:rPr>
          <w:rFonts w:ascii="Times New Roman" w:cs="Times New Roman" w:eastAsia="Times New Roman" w:hAnsi="Times New Roman"/>
          <w:sz w:val="22"/>
          <w:szCs w:val="22"/>
          <w:color w:val="auto"/>
        </w:rPr>
        <w:t xml:space="preserve"> totaled $490 million, an increase of 97%;</w:t>
      </w:r>
    </w:p>
    <w:p>
      <w:pPr>
        <w:spacing w:after="0" w:line="137" w:lineRule="exact"/>
        <w:rPr>
          <w:rFonts w:ascii="Arial" w:cs="Arial" w:eastAsia="Arial" w:hAnsi="Arial"/>
          <w:sz w:val="22"/>
          <w:szCs w:val="22"/>
          <w:b w:val="1"/>
          <w:bCs w:val="1"/>
          <w:color w:val="auto"/>
        </w:rPr>
      </w:pPr>
    </w:p>
    <w:p>
      <w:pPr>
        <w:ind w:left="660" w:hanging="328"/>
        <w:spacing w:after="0"/>
        <w:tabs>
          <w:tab w:leader="none" w:pos="660" w:val="left"/>
        </w:tabs>
        <w:numPr>
          <w:ilvl w:val="0"/>
          <w:numId w:val="2"/>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Backlog</w:t>
      </w:r>
      <w:r>
        <w:rPr>
          <w:rFonts w:ascii="Times New Roman" w:cs="Times New Roman" w:eastAsia="Times New Roman" w:hAnsi="Times New Roman"/>
          <w:sz w:val="11"/>
          <w:szCs w:val="11"/>
          <w:color w:val="auto"/>
        </w:rPr>
        <w:t>(3)</w:t>
      </w:r>
      <w:r>
        <w:rPr>
          <w:rFonts w:ascii="Times New Roman" w:cs="Times New Roman" w:eastAsia="Times New Roman" w:hAnsi="Times New Roman"/>
          <w:sz w:val="22"/>
          <w:szCs w:val="22"/>
          <w:color w:val="auto"/>
        </w:rPr>
        <w:t xml:space="preserve"> as of March 31, 2026 totaled $1.8 billion, an increase of 33%;</w:t>
      </w:r>
    </w:p>
    <w:p>
      <w:pPr>
        <w:spacing w:after="0" w:line="137" w:lineRule="exact"/>
        <w:rPr>
          <w:rFonts w:ascii="Arial" w:cs="Arial" w:eastAsia="Arial" w:hAnsi="Arial"/>
          <w:sz w:val="22"/>
          <w:szCs w:val="22"/>
          <w:b w:val="1"/>
          <w:bCs w:val="1"/>
          <w:color w:val="auto"/>
        </w:rPr>
      </w:pPr>
    </w:p>
    <w:p>
      <w:pPr>
        <w:ind w:left="660" w:hanging="328"/>
        <w:spacing w:after="0"/>
        <w:tabs>
          <w:tab w:leader="none" w:pos="660" w:val="left"/>
        </w:tabs>
        <w:numPr>
          <w:ilvl w:val="0"/>
          <w:numId w:val="2"/>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Cash and short-term investments as of March 31, 2026 totaled $545 million;</w:t>
      </w:r>
    </w:p>
    <w:p>
      <w:pPr>
        <w:spacing w:after="0" w:line="137" w:lineRule="exact"/>
        <w:rPr>
          <w:rFonts w:ascii="Arial" w:cs="Arial" w:eastAsia="Arial" w:hAnsi="Arial"/>
          <w:sz w:val="22"/>
          <w:szCs w:val="22"/>
          <w:b w:val="1"/>
          <w:bCs w:val="1"/>
          <w:color w:val="auto"/>
        </w:rPr>
      </w:pPr>
    </w:p>
    <w:p>
      <w:pPr>
        <w:ind w:left="660" w:hanging="328"/>
        <w:spacing w:after="0"/>
        <w:tabs>
          <w:tab w:leader="none" w:pos="660" w:val="left"/>
        </w:tabs>
        <w:numPr>
          <w:ilvl w:val="0"/>
          <w:numId w:val="2"/>
        </w:numPr>
        <w:rPr>
          <w:rFonts w:ascii="Arial" w:cs="Arial" w:eastAsia="Arial" w:hAnsi="Arial"/>
          <w:sz w:val="22"/>
          <w:szCs w:val="22"/>
          <w:b w:val="1"/>
          <w:bCs w:val="1"/>
          <w:color w:val="auto"/>
        </w:rPr>
      </w:pPr>
      <w:r>
        <w:rPr>
          <w:rFonts w:ascii="Times New Roman" w:cs="Times New Roman" w:eastAsia="Times New Roman" w:hAnsi="Times New Roman"/>
          <w:sz w:val="22"/>
          <w:szCs w:val="22"/>
          <w:color w:val="auto"/>
        </w:rPr>
        <w:t>Subsequent to quarter end, Powell was awarded a mega</w:t>
      </w:r>
      <w:r>
        <w:rPr>
          <w:rFonts w:ascii="Times New Roman" w:cs="Times New Roman" w:eastAsia="Times New Roman" w:hAnsi="Times New Roman"/>
          <w:sz w:val="11"/>
          <w:szCs w:val="11"/>
          <w:color w:val="auto"/>
        </w:rPr>
        <w:t>(4)</w:t>
      </w:r>
      <w:r>
        <w:rPr>
          <w:rFonts w:ascii="Times New Roman" w:cs="Times New Roman" w:eastAsia="Times New Roman" w:hAnsi="Times New Roman"/>
          <w:sz w:val="22"/>
          <w:szCs w:val="22"/>
          <w:color w:val="auto"/>
        </w:rPr>
        <w:t xml:space="preserve"> data center order with a value exceeding $400 million.</w:t>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415" w:lineRule="auto"/>
        <w:rPr>
          <w:sz w:val="20"/>
          <w:szCs w:val="20"/>
          <w:color w:val="auto"/>
        </w:rPr>
      </w:pPr>
      <w:r>
        <w:rPr>
          <w:rFonts w:ascii="Times New Roman" w:cs="Times New Roman" w:eastAsia="Times New Roman" w:hAnsi="Times New Roman"/>
          <w:sz w:val="20"/>
          <w:szCs w:val="20"/>
          <w:color w:val="auto"/>
        </w:rPr>
        <w:t>Brett A. Cope, Powell’s Chairman and Chief Executive Officer, stated, “The commercial momentum we observed to start the fiscal year continued throughout the second quarter, driving a well-balanced and strong order total of $490 million which led to a 1.7x book-to-bill ratio. That momentum has continued into our fiscal third quarter as evidenced by the mega</w:t>
      </w:r>
      <w:r>
        <w:rPr>
          <w:rFonts w:ascii="Times New Roman" w:cs="Times New Roman" w:eastAsia="Times New Roman" w:hAnsi="Times New Roman"/>
          <w:sz w:val="11"/>
          <w:szCs w:val="11"/>
          <w:color w:val="auto"/>
        </w:rPr>
        <w:t>(4)</w:t>
      </w:r>
      <w:r>
        <w:rPr>
          <w:rFonts w:ascii="Times New Roman" w:cs="Times New Roman" w:eastAsia="Times New Roman" w:hAnsi="Times New Roman"/>
          <w:sz w:val="20"/>
          <w:szCs w:val="20"/>
          <w:color w:val="auto"/>
        </w:rPr>
        <w:t xml:space="preserve"> data center order we were awarded after the fiscal second quarter-end with a value in excess of $400 million – the largest order in Powell history. Meanwhile, the team continues to demonstrate high levels of project execution, delivering a gross margin of 29.6% in the quarter. We remain acutely focused on executing our key growth objectives and delivering on project schedules for our customers to further Powell’s competitive position against a favorable demand landscape for engineered-to-order distribution solutions.”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Second Quarter Fiscal 2026 Results</w:t>
      </w:r>
    </w:p>
    <w:p>
      <w:pPr>
        <w:spacing w:after="0" w:line="291" w:lineRule="exact"/>
        <w:rPr>
          <w:sz w:val="20"/>
          <w:szCs w:val="20"/>
          <w:color w:val="auto"/>
        </w:rPr>
      </w:pPr>
    </w:p>
    <w:p>
      <w:pPr>
        <w:jc w:val="both"/>
        <w:ind w:firstLine="648"/>
        <w:spacing w:after="0" w:line="369" w:lineRule="auto"/>
        <w:rPr>
          <w:sz w:val="20"/>
          <w:szCs w:val="20"/>
          <w:color w:val="auto"/>
        </w:rPr>
      </w:pPr>
      <w:r>
        <w:rPr>
          <w:rFonts w:ascii="Times New Roman" w:cs="Times New Roman" w:eastAsia="Times New Roman" w:hAnsi="Times New Roman"/>
          <w:sz w:val="22"/>
          <w:szCs w:val="22"/>
          <w:color w:val="auto"/>
        </w:rPr>
        <w:t>Revenues totaled $296.6 million, an increase of 6% compared to $278.6 million in the prior year, and a sequential increase of 18% compared to $251.2 million in the first quarter of Fiscal 2026. The growth compared to the prior year was driven by higher revenue levels from the Commercial &amp; Other Industrial market, which grew 35%, as well as from the Electric Utility and Oil &amp; Gas markets, which grew 14% and 11%, respectively. This was partially offset by lower revenue within the Petrochemical market, which declined 37%. The sequential increase was consistent with the typical seasonal acceleration from the first fiscal quarter driven by a higher number of working days.</w:t>
      </w:r>
    </w:p>
    <w:p>
      <w:pPr>
        <w:spacing w:after="0" w:line="2" w:lineRule="exact"/>
        <w:rPr>
          <w:sz w:val="20"/>
          <w:szCs w:val="20"/>
          <w:color w:val="auto"/>
        </w:rPr>
      </w:pPr>
    </w:p>
    <w:p>
      <w:pPr>
        <w:jc w:val="both"/>
        <w:ind w:firstLine="648"/>
        <w:spacing w:after="0" w:line="364" w:lineRule="exact"/>
        <w:rPr>
          <w:sz w:val="20"/>
          <w:szCs w:val="20"/>
          <w:color w:val="auto"/>
        </w:rPr>
      </w:pPr>
      <w:r>
        <w:rPr>
          <w:rFonts w:ascii="Times New Roman" w:cs="Times New Roman" w:eastAsia="Times New Roman" w:hAnsi="Times New Roman"/>
          <w:sz w:val="22"/>
          <w:szCs w:val="22"/>
          <w:color w:val="auto"/>
        </w:rPr>
        <w:t>Gross profit of $87.9 million, or 29.6% of revenue, increased 5% compared to $83.4 million, or 29.9% of revenue, in the prior year and increased sequentially by 23% compared to $71.4 million, or 28.4% of revenue, in the first quarter of Fiscal 2026. The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over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increase in gross profit was primarily driven by higher revenues, while the sequential improvement also reflected favorable volume leverage, strong project execution, and a continued stable pricing environment.</w:t>
      </w:r>
    </w:p>
    <w:p>
      <w:pPr>
        <w:spacing w:after="0" w:line="98" w:lineRule="exact"/>
        <w:rPr>
          <w:sz w:val="20"/>
          <w:szCs w:val="20"/>
          <w:color w:val="auto"/>
        </w:rPr>
      </w:pPr>
    </w:p>
    <w:p>
      <w:pPr>
        <w:jc w:val="both"/>
        <w:ind w:firstLine="648"/>
        <w:spacing w:after="0" w:line="378" w:lineRule="auto"/>
        <w:rPr>
          <w:sz w:val="20"/>
          <w:szCs w:val="20"/>
          <w:color w:val="auto"/>
        </w:rPr>
      </w:pPr>
      <w:r>
        <w:rPr>
          <w:rFonts w:ascii="Times New Roman" w:cs="Times New Roman" w:eastAsia="Times New Roman" w:hAnsi="Times New Roman"/>
          <w:sz w:val="22"/>
          <w:szCs w:val="22"/>
          <w:color w:val="auto"/>
        </w:rPr>
        <w:t>New orders totaled $490 million compared to $249 million in the prior year and $439 million in the first quarter of Fiscal 2026. The increases were driven by improved bookings across the Company’s core markets, including the Electric Utility, Commercial &amp; Other Industrial, and Oil &amp; Gas markets. During the quarter, the Company was awarded a mega</w:t>
      </w:r>
      <w:r>
        <w:rPr>
          <w:rFonts w:ascii="Times New Roman" w:cs="Times New Roman" w:eastAsia="Times New Roman" w:hAnsi="Times New Roman"/>
          <w:sz w:val="11"/>
          <w:szCs w:val="11"/>
          <w:color w:val="auto"/>
        </w:rPr>
        <w:t>(4)</w:t>
      </w:r>
      <w:r>
        <w:rPr>
          <w:rFonts w:ascii="Times New Roman" w:cs="Times New Roman" w:eastAsia="Times New Roman" w:hAnsi="Times New Roman"/>
          <w:sz w:val="22"/>
          <w:szCs w:val="22"/>
          <w:color w:val="auto"/>
        </w:rPr>
        <w:t xml:space="preserve"> electric utility order and a mega</w:t>
      </w:r>
      <w:r>
        <w:rPr>
          <w:rFonts w:ascii="Times New Roman" w:cs="Times New Roman" w:eastAsia="Times New Roman" w:hAnsi="Times New Roman"/>
          <w:sz w:val="11"/>
          <w:szCs w:val="11"/>
          <w:color w:val="auto"/>
        </w:rPr>
        <w:t>(4)</w:t>
      </w:r>
      <w:r>
        <w:rPr>
          <w:rFonts w:ascii="Times New Roman" w:cs="Times New Roman" w:eastAsia="Times New Roman" w:hAnsi="Times New Roman"/>
          <w:sz w:val="22"/>
          <w:szCs w:val="22"/>
          <w:color w:val="auto"/>
        </w:rPr>
        <w:t xml:space="preserve"> data center order, each with a value exceeding $75 million. In addition to these mega orders booked in the second fiscal quarter of 2026, subsequent to the end of the second quarter, the</w:t>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
        <w:spacing w:after="0" w:line="371" w:lineRule="auto"/>
        <w:rPr>
          <w:sz w:val="20"/>
          <w:szCs w:val="20"/>
          <w:color w:val="auto"/>
        </w:rPr>
      </w:pPr>
      <w:r>
        <w:rPr>
          <w:rFonts w:ascii="Times New Roman" w:cs="Times New Roman" w:eastAsia="Times New Roman" w:hAnsi="Times New Roman"/>
          <w:sz w:val="22"/>
          <w:szCs w:val="22"/>
          <w:color w:val="auto"/>
        </w:rPr>
        <w:t>Company was awarded an additional mega</w:t>
      </w:r>
      <w:r>
        <w:rPr>
          <w:rFonts w:ascii="Times New Roman" w:cs="Times New Roman" w:eastAsia="Times New Roman" w:hAnsi="Times New Roman"/>
          <w:sz w:val="11"/>
          <w:szCs w:val="11"/>
          <w:color w:val="auto"/>
        </w:rPr>
        <w:t>(4)</w:t>
      </w:r>
      <w:r>
        <w:rPr>
          <w:rFonts w:ascii="Times New Roman" w:cs="Times New Roman" w:eastAsia="Times New Roman" w:hAnsi="Times New Roman"/>
          <w:sz w:val="22"/>
          <w:szCs w:val="22"/>
          <w:color w:val="auto"/>
        </w:rPr>
        <w:t xml:space="preserve"> data center order with a value exceeding $400 million related to a behind-the-meter design of on-site generation assets.</w:t>
      </w:r>
    </w:p>
    <w:p>
      <w:pPr>
        <w:spacing w:after="0" w:line="1" w:lineRule="exact"/>
        <w:rPr>
          <w:sz w:val="20"/>
          <w:szCs w:val="20"/>
          <w:color w:val="auto"/>
        </w:rPr>
      </w:pPr>
    </w:p>
    <w:p>
      <w:pPr>
        <w:jc w:val="both"/>
        <w:ind w:firstLine="648"/>
        <w:spacing w:after="0" w:line="365" w:lineRule="auto"/>
        <w:rPr>
          <w:sz w:val="20"/>
          <w:szCs w:val="20"/>
          <w:color w:val="auto"/>
        </w:rPr>
      </w:pPr>
      <w:r>
        <w:rPr>
          <w:rFonts w:ascii="Times New Roman" w:cs="Times New Roman" w:eastAsia="Times New Roman" w:hAnsi="Times New Roman"/>
          <w:sz w:val="22"/>
          <w:szCs w:val="22"/>
          <w:color w:val="auto"/>
        </w:rPr>
        <w:t>Backlog totaled $1.8 billion as of March 31, 2026, an increase of 12% compared to $1.6 billion as of December 31, 2025, and an increase of 33% compared to $1.3 billion as of March 31, 2025.</w:t>
      </w:r>
    </w:p>
    <w:p>
      <w:pPr>
        <w:jc w:val="both"/>
        <w:ind w:firstLine="648"/>
        <w:spacing w:after="0" w:line="368" w:lineRule="auto"/>
        <w:rPr>
          <w:sz w:val="20"/>
          <w:szCs w:val="20"/>
          <w:color w:val="auto"/>
        </w:rPr>
      </w:pPr>
      <w:r>
        <w:rPr>
          <w:rFonts w:ascii="Times New Roman" w:cs="Times New Roman" w:eastAsia="Times New Roman" w:hAnsi="Times New Roman"/>
          <w:sz w:val="22"/>
          <w:szCs w:val="22"/>
          <w:color w:val="auto"/>
        </w:rPr>
        <w:t>Net income of $45.9 million, or $1.25 per diluted share, declined 1% compared to $46.3 million, or $1.27 per diluted share as adjusted for the Stock Split</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in the prior year. The decline was the result of higher SG&amp;A expenses, driven by higher compensation expenses, as well as an increase in R&amp;D expenses. Net income in the quarter increased sequentially by 11% compared to $41.4 million, or $1.13 per diluted share as adjusted for the Stock Split</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in the first quarter of Fiscal 2026.</w:t>
      </w:r>
    </w:p>
    <w:p>
      <w:pPr>
        <w:spacing w:after="0" w:line="1" w:lineRule="exact"/>
        <w:rPr>
          <w:sz w:val="20"/>
          <w:szCs w:val="20"/>
          <w:color w:val="auto"/>
        </w:rPr>
      </w:pPr>
    </w:p>
    <w:p>
      <w:pPr>
        <w:jc w:val="both"/>
        <w:ind w:firstLine="648"/>
        <w:spacing w:after="0" w:line="380" w:lineRule="auto"/>
        <w:rPr>
          <w:sz w:val="20"/>
          <w:szCs w:val="20"/>
          <w:color w:val="auto"/>
        </w:rPr>
      </w:pPr>
      <w:r>
        <w:rPr>
          <w:rFonts w:ascii="Times New Roman" w:cs="Times New Roman" w:eastAsia="Times New Roman" w:hAnsi="Times New Roman"/>
          <w:sz w:val="22"/>
          <w:szCs w:val="22"/>
          <w:color w:val="auto"/>
        </w:rPr>
        <w:t>On April 2, 2026, we effected a three-for-one forward split of our common stock and proportionately increased the number of authorized common stock from 30,000,000 to 90,000,000. Each shareholder of record as of the close of trading on March 20, 2026 (the “Record Date”) received, after the close of trading on April 2, 2026, two additional shares for every one share held on the Record Date. Trading began on a split-adjusted basis at market open on April 6,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OUTLOOK</w:t>
      </w:r>
    </w:p>
    <w:p>
      <w:pPr>
        <w:spacing w:after="0" w:line="129" w:lineRule="exact"/>
        <w:rPr>
          <w:sz w:val="20"/>
          <w:szCs w:val="20"/>
          <w:color w:val="auto"/>
        </w:rPr>
      </w:pPr>
    </w:p>
    <w:p>
      <w:pPr>
        <w:jc w:val="both"/>
        <w:ind w:firstLine="648"/>
        <w:spacing w:after="0" w:line="369" w:lineRule="auto"/>
        <w:rPr>
          <w:sz w:val="20"/>
          <w:szCs w:val="20"/>
          <w:color w:val="auto"/>
        </w:rPr>
      </w:pPr>
      <w:r>
        <w:rPr>
          <w:rFonts w:ascii="Times New Roman" w:cs="Times New Roman" w:eastAsia="Times New Roman" w:hAnsi="Times New Roman"/>
          <w:sz w:val="22"/>
          <w:szCs w:val="22"/>
          <w:color w:val="auto"/>
        </w:rPr>
        <w:t>Commenting on the Company’s expectations for Fiscal 2026, Cope added, “Market activity across each of our core markets remains favorable. We remain optimistic that the ongoing investment cycle to support data center build outs and AI capacity growth, in addition to addressing future power demand, will remain supportive of overall activity in our commercial and electric utility end markets. We also anticipate that activity within the gas market, including LNG, gas pipeline and gas-to-chemical end markets, will remain active, driven by the advantaged competitive position which we believe U.S.-based exporters currently maintain.”</w:t>
      </w:r>
    </w:p>
    <w:p>
      <w:pPr>
        <w:spacing w:after="0" w:line="2" w:lineRule="exact"/>
        <w:rPr>
          <w:sz w:val="20"/>
          <w:szCs w:val="20"/>
          <w:color w:val="auto"/>
        </w:rPr>
      </w:pPr>
    </w:p>
    <w:p>
      <w:pPr>
        <w:jc w:val="both"/>
        <w:ind w:firstLine="648"/>
        <w:spacing w:after="0" w:line="374" w:lineRule="auto"/>
        <w:rPr>
          <w:sz w:val="20"/>
          <w:szCs w:val="20"/>
          <w:color w:val="auto"/>
        </w:rPr>
      </w:pPr>
      <w:r>
        <w:rPr>
          <w:rFonts w:ascii="Times New Roman" w:cs="Times New Roman" w:eastAsia="Times New Roman" w:hAnsi="Times New Roman"/>
          <w:sz w:val="22"/>
          <w:szCs w:val="22"/>
          <w:color w:val="auto"/>
        </w:rPr>
        <w:t>Michael Metcalf, Powell’s Chief Financial Officer, commented, “Our year-to-date financial results show sustainable growth over the prior year and reinforce our conviction in delivering another year of solid financial performance in Fiscal 2026. Looking at the current composition of our backlog, we expect margins to remain consistent with the performance levels achieved in the prior year. The recent acceleration in backlog growth further strengthens our confidence to prudently invest in incremental capacity to complement our existing manufacturing footprint, including the most recent capacity expansion projects at our facilities. We continue to evaluate</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99" w:lineRule="auto"/>
        <w:rPr>
          <w:sz w:val="20"/>
          <w:szCs w:val="20"/>
          <w:color w:val="auto"/>
        </w:rPr>
      </w:pPr>
      <w:r>
        <w:rPr>
          <w:rFonts w:ascii="Times New Roman" w:cs="Times New Roman" w:eastAsia="Times New Roman" w:hAnsi="Times New Roman"/>
          <w:sz w:val="22"/>
          <w:szCs w:val="22"/>
          <w:color w:val="auto"/>
        </w:rPr>
        <w:t>potential capacity investments with an emphasis on ensuring adequate returns, supported by the visibility provided by our backlog and the commercial outlook across our core markets.”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129" w:lineRule="exact"/>
        <w:rPr>
          <w:sz w:val="20"/>
          <w:szCs w:val="20"/>
          <w:color w:val="auto"/>
        </w:rPr>
      </w:pPr>
    </w:p>
    <w:p>
      <w:pPr>
        <w:jc w:val="both"/>
        <w:ind w:firstLine="648"/>
        <w:spacing w:after="0" w:line="368" w:lineRule="auto"/>
        <w:rPr>
          <w:sz w:val="20"/>
          <w:szCs w:val="20"/>
          <w:color w:val="auto"/>
        </w:rPr>
      </w:pPr>
      <w:r>
        <w:rPr>
          <w:rFonts w:ascii="Times New Roman" w:cs="Times New Roman" w:eastAsia="Times New Roman" w:hAnsi="Times New Roman"/>
          <w:sz w:val="22"/>
          <w:szCs w:val="22"/>
          <w:color w:val="auto"/>
        </w:rPr>
        <w:t>Powell Industries has scheduled a conference call for Tuesday, May 5, 2026 at 11:00 a.m. Eastern time. To participate in the conference call, dial 1-833-953-2431 (domestic) or 1-412-317-5760 (international) at least 10 minutes before the call begins and ask for the Powell Industries conference call. A telephonic replay of the conference call will be available through May 12, 2026 and may be accessed by calling 1-855-669-9658 (domestic) or 1-412-317-0088 (international) and using passcode 7179345#.</w:t>
      </w:r>
    </w:p>
    <w:p>
      <w:pPr>
        <w:spacing w:after="0" w:line="5" w:lineRule="exact"/>
        <w:rPr>
          <w:sz w:val="20"/>
          <w:szCs w:val="20"/>
          <w:color w:val="auto"/>
        </w:rPr>
      </w:pPr>
    </w:p>
    <w:p>
      <w:pPr>
        <w:jc w:val="both"/>
        <w:ind w:firstLine="648"/>
        <w:spacing w:after="0" w:line="380" w:lineRule="auto"/>
        <w:rPr>
          <w:sz w:val="20"/>
          <w:szCs w:val="20"/>
          <w:color w:val="auto"/>
        </w:rPr>
      </w:pPr>
      <w:r>
        <w:rPr>
          <w:rFonts w:ascii="Times New Roman" w:cs="Times New Roman" w:eastAsia="Times New Roman" w:hAnsi="Times New Roman"/>
          <w:sz w:val="22"/>
          <w:szCs w:val="22"/>
          <w:color w:val="auto"/>
        </w:rPr>
        <w:t>Investors, analysts and the general public will also have the opportunity to listen to the conference call over the Internet by visiting powellind.com. To listen to the live call on the web, please visit the website at least 15 minutes before the call begins to register, download and install any necessary audio software. For those who cannot listen to the live webcast, an archive will be available shortly after the call and will remain available for approximately twelve months at powellind.com.</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Powell Industries</w:t>
      </w:r>
    </w:p>
    <w:p>
      <w:pPr>
        <w:spacing w:after="0" w:line="129" w:lineRule="exact"/>
        <w:rPr>
          <w:sz w:val="20"/>
          <w:szCs w:val="20"/>
          <w:color w:val="auto"/>
        </w:rPr>
      </w:pPr>
    </w:p>
    <w:p>
      <w:pPr>
        <w:jc w:val="both"/>
        <w:ind w:firstLine="648"/>
        <w:spacing w:after="0" w:line="373" w:lineRule="auto"/>
        <w:rPr>
          <w:sz w:val="20"/>
          <w:szCs w:val="20"/>
          <w:color w:val="auto"/>
        </w:rPr>
      </w:pPr>
      <w:r>
        <w:rPr>
          <w:rFonts w:ascii="Times New Roman" w:cs="Times New Roman" w:eastAsia="Times New Roman" w:hAnsi="Times New Roman"/>
          <w:sz w:val="22"/>
          <w:szCs w:val="22"/>
          <w:color w:val="auto"/>
        </w:rPr>
        <w:t>Powell Industries, Inc., headquartered in Houston, Texas, develops, designs, manufactures and services custom-engineered equipment and systems that distribute, control and monitor the flow of electrical energy and provide protection to motors, transformers and other electrically powered equipment. Powell Industries, Inc. primarily serves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 For more information, please visit powellind.com.</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20"/>
          <w:szCs w:val="20"/>
          <w:i w:val="1"/>
          <w:iCs w:val="1"/>
          <w:color w:val="auto"/>
        </w:rPr>
        <w:t>Any forward-looking statements in the preceding paragraphs of this release, including those related to our outlook, are made pursuant to the safe harbor provisions of the Private Securities Litigation Reform Act of 1995. Investors are cautioned that such forward-looking statements involve risks and uncertainties in that actual results may differ materially from those projected in the forward-looking statements. In the course of operations, we are subject to certain risk factors, competition and competitive pressures, sensitivity to general economic and industrial conditions, international political and economic risks, availability and price of raw materials, the impact of tariffs and execution of business strategy. For further information, please refer to the Company’s filings with the Securities and Exchange Commission, copies of which are available from the Company without charge.</w:t>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POWELL INDUSTRIES, INC. &amp; SUBSIDIARIES</w:t>
      </w:r>
    </w:p>
    <w:p>
      <w:pPr>
        <w:spacing w:after="0" w:line="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2260" w:type="dxa"/>
            <w:vAlign w:val="bottom"/>
            <w:gridSpan w:val="4"/>
            <w:vMerge w:val="restart"/>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53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278,631</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547,799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520,062</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208,679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195,199</w:t>
            </w:r>
          </w:p>
        </w:tc>
        <w:tc>
          <w:tcPr>
            <w:tcW w:w="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388,445</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377,106</w:t>
            </w: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87,936</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83,432</w:t>
            </w:r>
          </w:p>
        </w:tc>
        <w:tc>
          <w:tcPr>
            <w:tcW w:w="3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159,354</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142,956</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57,581</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100,352</w:t>
            </w: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94,491</w:t>
            </w: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3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0" w:type="dxa"/>
            <w:vAlign w:val="bottom"/>
          </w:tcPr>
          <w:p>
            <w:pPr>
              <w:spacing w:after="0"/>
              <w:rPr>
                <w:sz w:val="1"/>
                <w:szCs w:val="1"/>
                <w:color w:val="auto"/>
              </w:rPr>
            </w:pPr>
          </w:p>
        </w:tc>
      </w:tr>
      <w:tr>
        <w:trPr>
          <w:trHeight w:val="26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61,784</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62,474</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108,820</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3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45,887</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46,330</w:t>
            </w:r>
          </w:p>
        </w:tc>
        <w:tc>
          <w:tcPr>
            <w:tcW w:w="3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87,277</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81,093</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Earnings per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3"/>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36,206</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36,378</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36,159</w:t>
            </w:r>
          </w:p>
        </w:tc>
        <w:tc>
          <w:tcPr>
            <w:tcW w:w="0" w:type="dxa"/>
            <w:vAlign w:val="bottom"/>
          </w:tcPr>
          <w:p>
            <w:pPr>
              <w:spacing w:after="0"/>
              <w:rPr>
                <w:sz w:val="1"/>
                <w:szCs w:val="1"/>
                <w:color w:val="auto"/>
              </w:rPr>
            </w:pPr>
          </w:p>
        </w:tc>
      </w:tr>
      <w:tr>
        <w:trPr>
          <w:trHeight w:val="243"/>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36,523</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SELECTED FINANCIAL DATA:</w:t>
            </w: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4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360" w:type="dxa"/>
            <w:vAlign w:val="bottom"/>
            <w:shd w:val="clear" w:color="auto" w:fill="CCEEFF"/>
          </w:tcPr>
          <w:p>
            <w:pPr>
              <w:spacing w:after="0"/>
              <w:rPr>
                <w:sz w:val="24"/>
                <w:szCs w:val="24"/>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26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4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360" w:type="dxa"/>
            <w:vAlign w:val="bottom"/>
          </w:tcPr>
          <w:p>
            <w:pPr>
              <w:spacing w:after="0"/>
              <w:rPr>
                <w:sz w:val="24"/>
                <w:szCs w:val="24"/>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6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4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360" w:type="dxa"/>
            <w:vAlign w:val="bottom"/>
            <w:shd w:val="clear" w:color="auto" w:fill="CCEEFF"/>
          </w:tcPr>
          <w:p>
            <w:pPr>
              <w:spacing w:after="0"/>
              <w:rPr>
                <w:sz w:val="24"/>
                <w:szCs w:val="24"/>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26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40" w:top="12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b w:val="1"/>
          <w:bCs w:val="1"/>
          <w:color w:val="auto"/>
        </w:rPr>
        <w:t>POWELL INDUSTRIES, INC. &amp; SUBSIDIARIES</w:t>
      </w:r>
    </w:p>
    <w:p>
      <w:pPr>
        <w:spacing w:after="0" w:line="31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200" w:lineRule="exact"/>
        <w:rPr>
          <w:sz w:val="20"/>
          <w:szCs w:val="20"/>
          <w:color w:val="auto"/>
        </w:rPr>
      </w:pPr>
    </w:p>
    <w:p>
      <w:pPr>
        <w:spacing w:after="0" w:line="308" w:lineRule="exact"/>
        <w:rPr>
          <w:sz w:val="20"/>
          <w:szCs w:val="20"/>
          <w:color w:val="auto"/>
        </w:rPr>
      </w:pPr>
    </w:p>
    <w:p>
      <w:pPr>
        <w:ind w:left="6952"/>
        <w:spacing w:after="0"/>
        <w:tabs>
          <w:tab w:leader="none" w:pos="9272" w:val="left"/>
        </w:tabs>
        <w:rPr>
          <w:sz w:val="20"/>
          <w:szCs w:val="20"/>
          <w:color w:val="auto"/>
        </w:rPr>
      </w:pPr>
      <w:r>
        <w:rPr>
          <w:rFonts w:ascii="Times New Roman" w:cs="Times New Roman" w:eastAsia="Times New Roman" w:hAnsi="Times New Roman"/>
          <w:sz w:val="14"/>
          <w:szCs w:val="14"/>
          <w:b w:val="1"/>
          <w:bCs w:val="1"/>
          <w:color w:val="auto"/>
        </w:rPr>
        <w:t>March 31, 2026</w:t>
      </w:r>
      <w:r>
        <w:rPr>
          <w:sz w:val="20"/>
          <w:szCs w:val="20"/>
          <w:color w:val="auto"/>
        </w:rPr>
        <w:tab/>
      </w:r>
      <w:r>
        <w:rPr>
          <w:rFonts w:ascii="Times New Roman" w:cs="Times New Roman" w:eastAsia="Times New Roman" w:hAnsi="Times New Roman"/>
          <w:sz w:val="14"/>
          <w:szCs w:val="14"/>
          <w:b w:val="1"/>
          <w:bCs w:val="1"/>
          <w:color w:val="auto"/>
        </w:rPr>
        <w:t>September 30, 2025</w:t>
      </w:r>
    </w:p>
    <w:p>
      <w:pPr>
        <w:sectPr>
          <w:pgSz w:w="11900" w:h="16838" w:orient="portrait"/>
          <w:cols w:equalWidth="0" w:num="1">
            <w:col w:w="11232"/>
          </w:cols>
          <w:pgMar w:left="328" w:top="121" w:right="339" w:bottom="1440" w:gutter="0" w:footer="0" w:header="0"/>
        </w:sectPr>
      </w:pPr>
    </w:p>
    <w:p>
      <w:pPr>
        <w:spacing w:after="0" w:line="48" w:lineRule="exact"/>
        <w:rPr>
          <w:sz w:val="20"/>
          <w:szCs w:val="20"/>
          <w:color w:val="auto"/>
        </w:rPr>
      </w:pPr>
    </w:p>
    <w:p>
      <w:pPr>
        <w:jc w:val="center"/>
        <w:ind w:left="752"/>
        <w:spacing w:after="0"/>
        <w:rPr>
          <w:sz w:val="20"/>
          <w:szCs w:val="20"/>
          <w:color w:val="auto"/>
        </w:rPr>
      </w:pPr>
      <w:r>
        <w:rPr>
          <w:rFonts w:ascii="Times New Roman" w:cs="Times New Roman" w:eastAsia="Times New Roman" w:hAnsi="Times New Roman"/>
          <w:sz w:val="18"/>
          <w:szCs w:val="18"/>
          <w:color w:val="auto"/>
        </w:rPr>
        <w:t>(In thousands)</w:t>
      </w:r>
    </w:p>
    <w:p>
      <w:pPr>
        <w:spacing w:after="0" w:line="252"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Assets:</w:t>
      </w:r>
    </w:p>
    <w:p>
      <w:pPr>
        <w:spacing w:after="0" w:line="347"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p>
      <w:pPr>
        <w:spacing w:after="0" w:line="200" w:lineRule="exact"/>
        <w:rPr>
          <w:sz w:val="20"/>
          <w:szCs w:val="20"/>
          <w:color w:val="auto"/>
        </w:rPr>
      </w:pPr>
    </w:p>
    <w:p>
      <w:pPr>
        <w:spacing w:after="0" w:line="226"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18"/>
          <w:szCs w:val="18"/>
          <w:color w:val="auto"/>
        </w:rPr>
        <w:t>All other current assets</w:t>
      </w:r>
    </w:p>
    <w:p>
      <w:pPr>
        <w:spacing w:after="0" w:line="200" w:lineRule="exact"/>
        <w:rPr>
          <w:sz w:val="20"/>
          <w:szCs w:val="20"/>
          <w:color w:val="auto"/>
        </w:rPr>
      </w:pPr>
    </w:p>
    <w:p>
      <w:pPr>
        <w:spacing w:after="0" w:line="201"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00" w:lineRule="exact"/>
        <w:rPr>
          <w:sz w:val="20"/>
          <w:szCs w:val="20"/>
          <w:color w:val="auto"/>
        </w:rPr>
      </w:pPr>
    </w:p>
    <w:p>
      <w:pPr>
        <w:spacing w:after="0" w:line="282"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8"/>
          <w:szCs w:val="18"/>
          <w:color w:val="auto"/>
        </w:rPr>
        <w:t>Long-term assets</w:t>
      </w:r>
    </w:p>
    <w:p>
      <w:pPr>
        <w:spacing w:after="0" w:line="200" w:lineRule="exact"/>
        <w:rPr>
          <w:sz w:val="20"/>
          <w:szCs w:val="20"/>
          <w:color w:val="auto"/>
        </w:rPr>
      </w:pPr>
    </w:p>
    <w:p>
      <w:pPr>
        <w:spacing w:after="0" w:line="282"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17145</wp:posOffset>
            </wp:positionV>
            <wp:extent cx="691769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-273685</wp:posOffset>
            </wp:positionV>
            <wp:extent cx="2914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1420" w:val="left"/>
          <w:tab w:leader="none" w:pos="2460" w:val="left"/>
          <w:tab w:leader="none" w:pos="3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544,889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475,527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-127635</wp:posOffset>
            </wp:positionV>
            <wp:extent cx="691769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17690"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left="1440"/>
        <w:spacing w:after="0"/>
        <w:tabs>
          <w:tab w:leader="none" w:pos="3900" w:val="left"/>
        </w:tabs>
        <w:rPr>
          <w:sz w:val="20"/>
          <w:szCs w:val="20"/>
          <w:color w:val="auto"/>
        </w:rPr>
      </w:pPr>
      <w:r>
        <w:rPr>
          <w:rFonts w:ascii="Times New Roman" w:cs="Times New Roman" w:eastAsia="Times New Roman" w:hAnsi="Times New Roman"/>
          <w:sz w:val="18"/>
          <w:szCs w:val="18"/>
          <w:color w:val="auto"/>
        </w:rPr>
        <w:t>463,497</w:t>
      </w:r>
      <w:r>
        <w:rPr>
          <w:sz w:val="20"/>
          <w:szCs w:val="20"/>
          <w:color w:val="auto"/>
        </w:rPr>
        <w:tab/>
      </w:r>
      <w:r>
        <w:rPr>
          <w:rFonts w:ascii="Times New Roman" w:cs="Times New Roman" w:eastAsia="Times New Roman" w:hAnsi="Times New Roman"/>
          <w:sz w:val="18"/>
          <w:szCs w:val="18"/>
          <w:color w:val="auto"/>
        </w:rPr>
        <w:t>456,189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-127635</wp:posOffset>
            </wp:positionV>
            <wp:extent cx="691769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7690" cy="214630"/>
                    </a:xfrm>
                    <a:prstGeom prst="rect">
                      <a:avLst/>
                    </a:prstGeom>
                    <a:noFill/>
                  </pic:spPr>
                </pic:pic>
              </a:graphicData>
            </a:graphic>
          </wp:anchor>
        </w:drawing>
      </w:r>
    </w:p>
    <w:p>
      <w:pPr>
        <w:spacing w:after="0" w:line="367" w:lineRule="exact"/>
        <w:rPr>
          <w:sz w:val="20"/>
          <w:szCs w:val="20"/>
          <w:color w:val="auto"/>
        </w:rPr>
      </w:pPr>
    </w:p>
    <w:p>
      <w:pPr>
        <w:jc w:val="both"/>
        <w:ind w:left="1460"/>
        <w:spacing w:after="0"/>
        <w:tabs>
          <w:tab w:leader="none" w:pos="3920" w:val="left"/>
        </w:tabs>
        <w:rPr>
          <w:sz w:val="20"/>
          <w:szCs w:val="20"/>
          <w:color w:val="auto"/>
        </w:rPr>
      </w:pPr>
      <w:r>
        <w:rPr>
          <w:rFonts w:ascii="Times New Roman" w:cs="Times New Roman" w:eastAsia="Times New Roman" w:hAnsi="Times New Roman"/>
          <w:sz w:val="18"/>
          <w:szCs w:val="18"/>
          <w:color w:val="auto"/>
        </w:rPr>
        <w:t>111,822</w:t>
      </w:r>
      <w:r>
        <w:rPr>
          <w:sz w:val="20"/>
          <w:szCs w:val="20"/>
          <w:color w:val="auto"/>
        </w:rPr>
        <w:tab/>
      </w:r>
      <w:r>
        <w:rPr>
          <w:rFonts w:ascii="Times New Roman" w:cs="Times New Roman" w:eastAsia="Times New Roman" w:hAnsi="Times New Roman"/>
          <w:sz w:val="18"/>
          <w:szCs w:val="18"/>
          <w:color w:val="auto"/>
        </w:rPr>
        <w:t>111,049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-127635</wp:posOffset>
            </wp:positionV>
            <wp:extent cx="691769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7690" cy="24003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308610</wp:posOffset>
            </wp:positionV>
            <wp:extent cx="691769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7690" cy="2400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540"/>
        <w:spacing w:after="0"/>
        <w:tabs>
          <w:tab w:leader="none" w:pos="3980" w:val="left"/>
        </w:tabs>
        <w:rPr>
          <w:sz w:val="20"/>
          <w:szCs w:val="20"/>
          <w:color w:val="auto"/>
        </w:rPr>
      </w:pPr>
      <w:r>
        <w:rPr>
          <w:rFonts w:ascii="Times New Roman" w:cs="Times New Roman" w:eastAsia="Times New Roman" w:hAnsi="Times New Roman"/>
          <w:sz w:val="18"/>
          <w:szCs w:val="18"/>
          <w:color w:val="auto"/>
        </w:rPr>
        <w:t>59,831</w:t>
      </w:r>
      <w:r>
        <w:rPr>
          <w:sz w:val="20"/>
          <w:szCs w:val="20"/>
          <w:color w:val="auto"/>
        </w:rPr>
        <w:tab/>
      </w:r>
      <w:r>
        <w:rPr>
          <w:rFonts w:ascii="Times New Roman" w:cs="Times New Roman" w:eastAsia="Times New Roman" w:hAnsi="Times New Roman"/>
          <w:sz w:val="18"/>
          <w:szCs w:val="18"/>
          <w:color w:val="auto"/>
        </w:rPr>
        <w:t>66,219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300355</wp:posOffset>
            </wp:positionV>
            <wp:extent cx="691769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7690" cy="2400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102870</wp:posOffset>
            </wp:positionV>
            <wp:extent cx="29146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1300" w:val="left"/>
          <w:tab w:leader="none" w:pos="2460" w:val="left"/>
          <w:tab w:leader="none" w:pos="3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1,180,039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1,108,984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300355</wp:posOffset>
            </wp:positionV>
            <wp:extent cx="691769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17690" cy="16319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111760</wp:posOffset>
            </wp:positionV>
            <wp:extent cx="29146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5652" w:space="720"/>
            <w:col w:w="4860"/>
          </w:cols>
          <w:pgMar w:left="328" w:top="121"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Liabilities and equity:</w:t>
      </w:r>
    </w:p>
    <w:p>
      <w:pPr>
        <w:spacing w:after="0" w:line="47" w:lineRule="exact"/>
        <w:rPr>
          <w:sz w:val="20"/>
          <w:szCs w:val="20"/>
          <w:color w:val="auto"/>
        </w:rPr>
      </w:pPr>
    </w:p>
    <w:tbl>
      <w:tblPr>
        <w:tblLayout w:type="fixed"/>
        <w:tblInd w:w="52" w:type="dxa"/>
        <w:tblCellMar>
          <w:top w:w="0" w:type="dxa"/>
          <w:left w:w="0" w:type="dxa"/>
          <w:bottom w:w="0" w:type="dxa"/>
          <w:right w:w="0" w:type="dxa"/>
        </w:tblCellMar>
      </w:tblPr>
      <w:tr>
        <w:trPr>
          <w:trHeight w:val="237"/>
        </w:trPr>
        <w:tc>
          <w:tcPr>
            <w:tcW w:w="6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447,280</w:t>
            </w:r>
          </w:p>
        </w:tc>
        <w:tc>
          <w:tcPr>
            <w:tcW w:w="38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446,387</w:t>
            </w:r>
          </w:p>
        </w:tc>
        <w:tc>
          <w:tcPr>
            <w:tcW w:w="0" w:type="dxa"/>
            <w:vAlign w:val="bottom"/>
          </w:tcPr>
          <w:p>
            <w:pPr>
              <w:spacing w:after="0"/>
              <w:rPr>
                <w:sz w:val="1"/>
                <w:szCs w:val="1"/>
                <w:color w:val="auto"/>
              </w:rPr>
            </w:pPr>
          </w:p>
        </w:tc>
      </w:tr>
      <w:tr>
        <w:trPr>
          <w:trHeight w:val="63"/>
        </w:trPr>
        <w:tc>
          <w:tcPr>
            <w:tcW w:w="63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Deferred and other long-term liabilities</w:t>
            </w:r>
          </w:p>
        </w:tc>
        <w:tc>
          <w:tcPr>
            <w:tcW w:w="7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21,827</w:t>
            </w:r>
          </w:p>
        </w:tc>
        <w:tc>
          <w:tcPr>
            <w:tcW w:w="0" w:type="dxa"/>
            <w:vAlign w:val="bottom"/>
          </w:tcPr>
          <w:p>
            <w:pPr>
              <w:spacing w:after="0"/>
              <w:rPr>
                <w:sz w:val="1"/>
                <w:szCs w:val="1"/>
                <w:color w:val="auto"/>
              </w:rPr>
            </w:pPr>
          </w:p>
        </w:tc>
      </w:tr>
      <w:tr>
        <w:trPr>
          <w:trHeight w:val="63"/>
        </w:trPr>
        <w:tc>
          <w:tcPr>
            <w:tcW w:w="63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7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709,069</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640,770</w:t>
            </w:r>
          </w:p>
        </w:tc>
        <w:tc>
          <w:tcPr>
            <w:tcW w:w="0" w:type="dxa"/>
            <w:vAlign w:val="bottom"/>
          </w:tcPr>
          <w:p>
            <w:pPr>
              <w:spacing w:after="0"/>
              <w:rPr>
                <w:sz w:val="1"/>
                <w:szCs w:val="1"/>
                <w:color w:val="auto"/>
              </w:rPr>
            </w:pPr>
          </w:p>
        </w:tc>
      </w:tr>
      <w:tr>
        <w:trPr>
          <w:trHeight w:val="81"/>
        </w:trPr>
        <w:tc>
          <w:tcPr>
            <w:tcW w:w="6300" w:type="dxa"/>
            <w:vAlign w:val="bottom"/>
            <w:tcBorders>
              <w:bottom w:val="single" w:sz="8" w:color="CCEEFF"/>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38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6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1,180,039</w:t>
            </w:r>
          </w:p>
        </w:tc>
        <w:tc>
          <w:tcPr>
            <w:tcW w:w="380" w:type="dxa"/>
            <w:vAlign w:val="bottom"/>
          </w:tcPr>
          <w:p>
            <w:pPr>
              <w:spacing w:after="0"/>
              <w:rPr>
                <w:sz w:val="24"/>
                <w:szCs w:val="24"/>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1,108,984</w:t>
            </w: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FINANCIAL DATA:</w:t>
            </w:r>
          </w:p>
        </w:tc>
        <w:tc>
          <w:tcPr>
            <w:tcW w:w="7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(5)</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561,106</w:t>
            </w: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2" w:right="200" w:hanging="332"/>
        <w:spacing w:after="0" w:line="244" w:lineRule="auto"/>
        <w:tabs>
          <w:tab w:leader="none" w:pos="326" w:val="left"/>
        </w:tabs>
        <w:numPr>
          <w:ilvl w:val="0"/>
          <w:numId w:val="3"/>
        </w:numPr>
        <w:rPr>
          <w:rFonts w:ascii="Arial" w:cs="Arial" w:eastAsia="Arial" w:hAnsi="Arial"/>
          <w:sz w:val="12"/>
          <w:szCs w:val="12"/>
          <w:color w:val="auto"/>
        </w:rPr>
      </w:pPr>
      <w:r>
        <w:rPr>
          <w:rFonts w:ascii="Times New Roman" w:cs="Times New Roman" w:eastAsia="Times New Roman" w:hAnsi="Times New Roman"/>
          <w:sz w:val="12"/>
          <w:szCs w:val="12"/>
          <w:color w:val="auto"/>
        </w:rPr>
        <w:t>On April 2, 2026, the Company effected a three-for-one forward split of its common stock (the “Stock Split”). Share and per-share amounts disclosed for all periods have been retroactively adjusted to reflect the effect of the Stock Split.</w:t>
      </w:r>
    </w:p>
    <w:p>
      <w:pPr>
        <w:ind w:left="312" w:hanging="312"/>
        <w:spacing w:after="0" w:line="234" w:lineRule="auto"/>
        <w:tabs>
          <w:tab w:leader="none" w:pos="31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orders (bookings) represent the estimated value of contracts added to existing backlog (unsatisfied performance obligations).</w:t>
      </w:r>
    </w:p>
    <w:p>
      <w:pPr>
        <w:ind w:left="332" w:right="180" w:hanging="332"/>
        <w:spacing w:after="0" w:line="234" w:lineRule="auto"/>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recorded in backlog may not be a reliable indicator of our future operating results and may not be indicative of continuing revenue performance over future fiscal quarters or years primarily due to unexpected contract adjustments, cancellations or scope reductions.</w:t>
      </w:r>
    </w:p>
    <w:p>
      <w:pPr>
        <w:ind w:left="312" w:hanging="312"/>
        <w:spacing w:after="0" w:line="234" w:lineRule="auto"/>
        <w:tabs>
          <w:tab w:leader="none" w:pos="31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mega order is defined as an order with a contract value exceeding $50 million.</w:t>
      </w:r>
    </w:p>
    <w:p>
      <w:pPr>
        <w:ind w:left="312" w:hanging="312"/>
        <w:spacing w:after="0"/>
        <w:tabs>
          <w:tab w:leader="none" w:pos="31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Working capital is equal to current assets (including cash and short-term investments) minus current liabilities.</w:t>
      </w:r>
    </w:p>
    <w:sectPr>
      <w:pgSz w:w="11900" w:h="16838" w:orient="portrait"/>
      <w:cols w:equalWidth="0" w:num="1">
        <w:col w:w="11232"/>
      </w:cols>
      <w:pgMar w:left="328"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2026-05-04T16:20:36Z</dcterms:created>
  <dcterms:modified xsi:type="dcterms:W3CDTF">2026-05-04T16:20:36Z</dcterms:modified>
</cp:coreProperties>
</file>