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603250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517525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107315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161290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18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120015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90170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3"/>
              </w:rPr>
              <w:t>Delaware</w:t>
            </w:r>
          </w:p>
        </w:tc>
        <w:tc>
          <w:tcPr>
            <w:tcW w:w="1280" w:type="dxa"/>
            <w:vAlign w:val="bottom"/>
          </w:tcPr>
          <w:p>
            <w:pPr>
              <w:jc w:val="center"/>
              <w:ind w:left="61"/>
              <w:spacing w:after="0"/>
              <w:rPr>
                <w:sz w:val="20"/>
                <w:szCs w:val="20"/>
                <w:color w:val="auto"/>
              </w:rPr>
            </w:pPr>
            <w:r>
              <w:rPr>
                <w:rFonts w:ascii="Arial" w:cs="Arial" w:eastAsia="Arial" w:hAnsi="Arial"/>
                <w:sz w:val="18"/>
                <w:szCs w:val="18"/>
                <w:b w:val="1"/>
                <w:bCs w:val="1"/>
                <w:color w:val="auto"/>
                <w:w w:val="89"/>
              </w:rPr>
              <w:t>88-0106100</w:t>
            </w:r>
          </w:p>
        </w:tc>
      </w:tr>
      <w:tr>
        <w:trPr>
          <w:trHeight w:val="234"/>
        </w:trPr>
        <w:tc>
          <w:tcPr>
            <w:tcW w:w="6260" w:type="dxa"/>
            <w:vAlign w:val="bottom"/>
            <w:gridSpan w:val="3"/>
          </w:tcPr>
          <w:p>
            <w:pPr>
              <w:jc w:val="center"/>
              <w:ind w:right="3900"/>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60" w:type="dxa"/>
            <w:vAlign w:val="bottom"/>
            <w:gridSpan w:val="3"/>
          </w:tcPr>
          <w:p>
            <w:pPr>
              <w:jc w:val="center"/>
              <w:ind w:right="3900"/>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0"/>
              </w:rPr>
              <w:t>8550 Mosley Road</w:t>
            </w:r>
          </w:p>
        </w:tc>
        <w:tc>
          <w:tcPr>
            <w:tcW w:w="1280" w:type="dxa"/>
            <w:vAlign w:val="bottom"/>
          </w:tcPr>
          <w:p>
            <w:pPr>
              <w:spacing w:after="0"/>
              <w:rPr>
                <w:sz w:val="22"/>
                <w:szCs w:val="22"/>
                <w:color w:val="auto"/>
              </w:rPr>
            </w:pPr>
          </w:p>
        </w:tc>
      </w:tr>
      <w:tr>
        <w:trPr>
          <w:trHeight w:val="270"/>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0"/>
              </w:rPr>
              <w:t>Houston</w:t>
            </w:r>
          </w:p>
        </w:tc>
        <w:tc>
          <w:tcPr>
            <w:tcW w:w="1280" w:type="dxa"/>
            <w:vAlign w:val="bottom"/>
          </w:tcPr>
          <w:p>
            <w:pPr>
              <w:spacing w:after="0"/>
              <w:rPr>
                <w:sz w:val="23"/>
                <w:szCs w:val="23"/>
                <w:color w:val="auto"/>
              </w:rPr>
            </w:pPr>
          </w:p>
        </w:tc>
      </w:tr>
      <w:tr>
        <w:trPr>
          <w:trHeight w:val="270"/>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82"/>
              </w:rPr>
              <w:t>Texas</w:t>
            </w:r>
          </w:p>
        </w:tc>
        <w:tc>
          <w:tcPr>
            <w:tcW w:w="1280" w:type="dxa"/>
            <w:vAlign w:val="bottom"/>
          </w:tcPr>
          <w:p>
            <w:pPr>
              <w:jc w:val="center"/>
              <w:ind w:left="6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26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260" w:type="dxa"/>
            <w:vAlign w:val="bottom"/>
            <w:gridSpan w:val="3"/>
          </w:tcPr>
          <w:p>
            <w:pPr>
              <w:jc w:val="center"/>
              <w:ind w:left="1856"/>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280" w:type="dxa"/>
            <w:vAlign w:val="bottom"/>
          </w:tcPr>
          <w:p>
            <w:pPr>
              <w:spacing w:after="0"/>
              <w:rPr>
                <w:sz w:val="24"/>
                <w:szCs w:val="24"/>
                <w:color w:val="auto"/>
              </w:rPr>
            </w:pPr>
          </w:p>
        </w:tc>
      </w:tr>
      <w:tr>
        <w:trPr>
          <w:trHeight w:val="234"/>
        </w:trPr>
        <w:tc>
          <w:tcPr>
            <w:tcW w:w="576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(713) 944-6900</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35"/>
        </w:trPr>
        <w:tc>
          <w:tcPr>
            <w:tcW w:w="246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Title of each class</w:t>
            </w: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Common Stock, par value $0.01 per share</w:t>
            </w: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POWL</w:t>
            </w:r>
          </w:p>
        </w:tc>
        <w:tc>
          <w:tcPr>
            <w:tcW w:w="448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80" w:lineRule="exact"/>
        <w:rPr>
          <w:sz w:val="24"/>
          <w:szCs w:val="24"/>
          <w:color w:val="auto"/>
        </w:rPr>
      </w:pPr>
    </w:p>
    <w:p>
      <w:pPr>
        <w:jc w:val="both"/>
        <w:ind w:firstLine="49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9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9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58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5800" w:type="dxa"/>
            <w:vAlign w:val="bottom"/>
            <w:vMerge w:val="continue"/>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4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2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August 3, 2020, there were 11,614,613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1016" w:right="339" w:bottom="96" w:gutter="0" w:footer="0" w:header="0"/>
        </w:sect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016" w:right="339" w:bottom="96"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43"/>
        </w:trPr>
        <w:tc>
          <w:tcPr>
            <w:tcW w:w="105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Condensed Consolidated Financial Statements</w:t>
              </w:r>
            </w:hyperlink>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6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10540" w:type="dxa"/>
            <w:vAlign w:val="bottom"/>
            <w:gridSpan w:val="2"/>
          </w:tcPr>
          <w:p>
            <w:pPr>
              <w:ind w:left="3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Income (Loss)</w:t>
              </w:r>
            </w:hyperlink>
          </w:p>
        </w:tc>
        <w:tc>
          <w:tcPr>
            <w:tcW w:w="6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6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70"/>
        </w:trPr>
        <w:tc>
          <w:tcPr>
            <w:tcW w:w="10540" w:type="dxa"/>
            <w:vAlign w:val="bottom"/>
            <w:gridSpan w:val="2"/>
          </w:tcPr>
          <w:p>
            <w:pPr>
              <w:ind w:left="3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29">
              <w:r>
                <w:rPr>
                  <w:rFonts w:ascii="Arial" w:cs="Arial" w:eastAsia="Arial" w:hAnsi="Arial"/>
                  <w:sz w:val="18"/>
                  <w:szCs w:val="18"/>
                  <w:u w:val="single" w:color="auto"/>
                  <w:color w:val="0000EE"/>
                  <w:w w:val="90"/>
                </w:rPr>
                <w:t>Item 3.</w:t>
              </w:r>
            </w:hyperlink>
          </w:p>
        </w:tc>
        <w:tc>
          <w:tcPr>
            <w:tcW w:w="988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30">
              <w:r>
                <w:rPr>
                  <w:rFonts w:ascii="Arial" w:cs="Arial" w:eastAsia="Arial" w:hAnsi="Arial"/>
                  <w:sz w:val="18"/>
                  <w:szCs w:val="18"/>
                  <w:u w:val="single" w:color="auto"/>
                  <w:color w:val="0000EE"/>
                  <w:w w:val="90"/>
                </w:rPr>
                <w:t>Item 4.</w:t>
              </w:r>
            </w:hyperlink>
          </w:p>
        </w:tc>
        <w:tc>
          <w:tcPr>
            <w:tcW w:w="988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499"/>
        </w:trPr>
        <w:tc>
          <w:tcPr>
            <w:tcW w:w="10540" w:type="dxa"/>
            <w:vAlign w:val="bottom"/>
            <w:gridSpan w:val="2"/>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 Other Information</w:t>
              </w:r>
            </w:hyperlink>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31">
              <w:r>
                <w:rPr>
                  <w:rFonts w:ascii="Arial" w:cs="Arial" w:eastAsia="Arial" w:hAnsi="Arial"/>
                  <w:sz w:val="18"/>
                  <w:szCs w:val="18"/>
                  <w:u w:val="single" w:color="auto"/>
                  <w:color w:val="0000EE"/>
                  <w:w w:val="90"/>
                </w:rPr>
                <w:t>Item 1.</w:t>
              </w:r>
            </w:hyperlink>
          </w:p>
        </w:tc>
        <w:tc>
          <w:tcPr>
            <w:tcW w:w="9880" w:type="dxa"/>
            <w:vAlign w:val="bottom"/>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1A. Risk Factors</w:t>
              </w:r>
            </w:hyperlink>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0"/>
        </w:trPr>
        <w:tc>
          <w:tcPr>
            <w:tcW w:w="660" w:type="dxa"/>
            <w:vAlign w:val="bottom"/>
          </w:tcPr>
          <w:p>
            <w:pPr>
              <w:ind w:left="140"/>
              <w:spacing w:after="0"/>
              <w:rPr>
                <w:rFonts w:ascii="Arial" w:cs="Arial" w:eastAsia="Arial" w:hAnsi="Arial"/>
                <w:sz w:val="18"/>
                <w:szCs w:val="18"/>
                <w:u w:val="single" w:color="auto"/>
                <w:color w:val="0000EE"/>
                <w:w w:val="90"/>
              </w:rPr>
            </w:pPr>
            <w:hyperlink w:anchor="page32">
              <w:r>
                <w:rPr>
                  <w:rFonts w:ascii="Arial" w:cs="Arial" w:eastAsia="Arial" w:hAnsi="Arial"/>
                  <w:sz w:val="18"/>
                  <w:szCs w:val="18"/>
                  <w:u w:val="single" w:color="auto"/>
                  <w:color w:val="0000EE"/>
                  <w:w w:val="90"/>
                </w:rPr>
                <w:t>Item 6.</w:t>
              </w:r>
            </w:hyperlink>
          </w:p>
        </w:tc>
        <w:tc>
          <w:tcPr>
            <w:tcW w:w="988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Exhibits</w:t>
              </w:r>
            </w:hyperlink>
          </w:p>
        </w:tc>
        <w:tc>
          <w:tcPr>
            <w:tcW w:w="6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0"/>
        </w:trPr>
        <w:tc>
          <w:tcPr>
            <w:tcW w:w="10540" w:type="dxa"/>
            <w:vAlign w:val="bottom"/>
            <w:gridSpan w:val="2"/>
          </w:tcPr>
          <w:p>
            <w:pPr>
              <w:ind w:left="1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Signatures</w:t>
              </w:r>
            </w:hyperlink>
          </w:p>
        </w:tc>
        <w:tc>
          <w:tcPr>
            <w:tcW w:w="6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675"/>
        </w:trPr>
        <w:tc>
          <w:tcPr>
            <w:tcW w:w="660" w:type="dxa"/>
            <w:vAlign w:val="bottom"/>
          </w:tcPr>
          <w:p>
            <w:pPr>
              <w:spacing w:after="0"/>
              <w:rPr>
                <w:sz w:val="24"/>
                <w:szCs w:val="24"/>
                <w:color w:val="auto"/>
              </w:rPr>
            </w:pPr>
          </w:p>
        </w:tc>
        <w:tc>
          <w:tcPr>
            <w:tcW w:w="9880" w:type="dxa"/>
            <w:vAlign w:val="bottom"/>
          </w:tcPr>
          <w:p>
            <w:pPr>
              <w:ind w:left="48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r>
    </w:tbl>
    <w:p>
      <w:pPr>
        <w:sectPr>
          <w:pgSz w:w="11900" w:h="16838" w:orient="portrait"/>
          <w:cols w:equalWidth="0" w:num="1">
            <w:col w:w="11200"/>
          </w:cols>
          <w:pgMar w:left="36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36"/>
        </w:trPr>
        <w:tc>
          <w:tcPr>
            <w:tcW w:w="7780" w:type="dxa"/>
            <w:vAlign w:val="bottom"/>
            <w:tcBorders>
              <w:top w:val="single" w:sz="8" w:color="CCEEFF"/>
              <w:bottom w:val="single" w:sz="8" w:color="CCEEFF"/>
            </w:tcBorders>
            <w:shd w:val="clear" w:color="auto" w:fill="CCEEFF"/>
          </w:tcPr>
          <w:p>
            <w:pPr>
              <w:ind w:left="358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118,639</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less allowance for doubtful accounts of $434 and $301</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112,093</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Contract assets</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55,374</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29,202</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46"/>
        </w:trPr>
        <w:tc>
          <w:tcPr>
            <w:tcW w:w="77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328,568</w:t>
            </w: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114,826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120,812</w:t>
            </w:r>
          </w:p>
        </w:tc>
        <w:tc>
          <w:tcPr>
            <w:tcW w:w="0" w:type="dxa"/>
            <w:vAlign w:val="bottom"/>
          </w:tcPr>
          <w:p>
            <w:pPr>
              <w:spacing w:after="0"/>
              <w:rPr>
                <w:sz w:val="1"/>
                <w:szCs w:val="1"/>
                <w:color w:val="auto"/>
              </w:rPr>
            </w:pPr>
          </w:p>
        </w:tc>
      </w:tr>
      <w:tr>
        <w:trPr>
          <w:trHeight w:val="46"/>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11,577</w:t>
            </w:r>
          </w:p>
        </w:tc>
        <w:tc>
          <w:tcPr>
            <w:tcW w:w="0" w:type="dxa"/>
            <w:vAlign w:val="bottom"/>
          </w:tcPr>
          <w:p>
            <w:pPr>
              <w:spacing w:after="0"/>
              <w:rPr>
                <w:sz w:val="1"/>
                <w:szCs w:val="1"/>
                <w:color w:val="auto"/>
              </w:rPr>
            </w:pPr>
          </w:p>
        </w:tc>
      </w:tr>
      <w:tr>
        <w:trPr>
          <w:trHeight w:val="47"/>
        </w:trPr>
        <w:tc>
          <w:tcPr>
            <w:tcW w:w="77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467,411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51,180</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97,969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71,464</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10,811</w:t>
            </w:r>
          </w:p>
        </w:tc>
        <w:tc>
          <w:tcPr>
            <w:tcW w:w="0" w:type="dxa"/>
            <w:vAlign w:val="bottom"/>
          </w:tcPr>
          <w:p>
            <w:pPr>
              <w:spacing w:after="0"/>
              <w:rPr>
                <w:sz w:val="1"/>
                <w:szCs w:val="1"/>
                <w:color w:val="auto"/>
              </w:rPr>
            </w:pP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170,499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157,896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6,447</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47"/>
        </w:trPr>
        <w:tc>
          <w:tcPr>
            <w:tcW w:w="77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168,258</w:t>
            </w:r>
          </w:p>
        </w:tc>
        <w:tc>
          <w:tcPr>
            <w:tcW w:w="0" w:type="dxa"/>
            <w:vAlign w:val="bottom"/>
          </w:tcPr>
          <w:p>
            <w:pPr>
              <w:spacing w:after="0"/>
              <w:rPr>
                <w:sz w:val="1"/>
                <w:szCs w:val="1"/>
                <w:color w:val="auto"/>
              </w:rPr>
            </w:pPr>
          </w:p>
        </w:tc>
      </w:tr>
      <w:tr>
        <w:trPr>
          <w:trHeight w:val="203"/>
        </w:trPr>
        <w:tc>
          <w:tcPr>
            <w:tcW w:w="7780" w:type="dxa"/>
            <w:vAlign w:val="bottom"/>
          </w:tcPr>
          <w:p>
            <w:pPr>
              <w:ind w:left="40"/>
              <w:spacing w:after="0"/>
              <w:rPr>
                <w:sz w:val="20"/>
                <w:szCs w:val="20"/>
                <w:color w:val="auto"/>
              </w:rPr>
            </w:pPr>
            <w:r>
              <w:rPr>
                <w:rFonts w:ascii="Arial" w:cs="Arial" w:eastAsia="Arial" w:hAnsi="Arial"/>
                <w:sz w:val="16"/>
                <w:szCs w:val="16"/>
                <w:color w:val="auto"/>
              </w:rPr>
              <w:t>Commitments and Contingencies (Note F)</w:t>
            </w: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Common stock, par value $.01; 30,000,000 shares authorized; 12,420,631 and 12,372,766 shares issued,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60,927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59,153</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289,422</w:t>
            </w:r>
          </w:p>
        </w:tc>
        <w:tc>
          <w:tcPr>
            <w:tcW w:w="0" w:type="dxa"/>
            <w:vAlign w:val="bottom"/>
          </w:tcPr>
          <w:p>
            <w:pPr>
              <w:spacing w:after="0"/>
              <w:rPr>
                <w:sz w:val="1"/>
                <w:szCs w:val="1"/>
                <w:color w:val="auto"/>
              </w:rPr>
            </w:pPr>
          </w:p>
        </w:tc>
      </w:tr>
      <w:tr>
        <w:trPr>
          <w:trHeight w:val="223"/>
        </w:trPr>
        <w:tc>
          <w:tcPr>
            <w:tcW w:w="7780" w:type="dxa"/>
            <w:vAlign w:val="bottom"/>
          </w:tcPr>
          <w:p>
            <w:pPr>
              <w:ind w:left="280"/>
              <w:spacing w:after="0"/>
              <w:rPr>
                <w:sz w:val="20"/>
                <w:szCs w:val="20"/>
                <w:color w:val="auto"/>
              </w:rPr>
            </w:pPr>
            <w:r>
              <w:rPr>
                <w:rFonts w:ascii="Arial" w:cs="Arial" w:eastAsia="Arial" w:hAnsi="Arial"/>
                <w:sz w:val="16"/>
                <w:szCs w:val="16"/>
                <w:color w:val="auto"/>
              </w:rPr>
              <w:t>Treasury stock, 806,018 shares at cost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(24,547)</w:t>
            </w:r>
          </w:p>
        </w:tc>
        <w:tc>
          <w:tcPr>
            <w:tcW w:w="0" w:type="dxa"/>
            <w:vAlign w:val="bottom"/>
          </w:tcPr>
          <w:p>
            <w:pPr>
              <w:spacing w:after="0"/>
              <w:rPr>
                <w:sz w:val="1"/>
                <w:szCs w:val="1"/>
                <w:color w:val="auto"/>
              </w:rPr>
            </w:pP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303,571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299,153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467,411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53" w:right="339" w:bottom="110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553" w:right="339" w:bottom="1108"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135,588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368,676</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111,873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330,926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310,255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23,715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58,421</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50,240</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Insurance proceeds</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5,640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5,089</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11,603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244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49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5,089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2,543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7"/>
        </w:trPr>
        <w:tc>
          <w:tcPr>
            <w:tcW w:w="49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6,024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6,041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22"/>
                <w:szCs w:val="22"/>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289,422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299,153</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(3,013)</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12,403</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59,524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289,184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(22,160)</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301,673</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7,421</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0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(3,015)</w:t>
            </w: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12,420</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60,492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293,590</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300,131</w:t>
            </w:r>
          </w:p>
        </w:tc>
        <w:tc>
          <w:tcPr>
            <w:tcW w:w="0" w:type="dxa"/>
            <w:vAlign w:val="bottom"/>
          </w:tcPr>
          <w:p>
            <w:pPr>
              <w:spacing w:after="0"/>
              <w:rPr>
                <w:sz w:val="1"/>
                <w:szCs w:val="1"/>
                <w:color w:val="auto"/>
              </w:rPr>
            </w:pPr>
          </w:p>
        </w:tc>
      </w:tr>
      <w:tr>
        <w:trPr>
          <w:trHeight w:val="66"/>
        </w:trPr>
        <w:tc>
          <w:tcPr>
            <w:tcW w:w="17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3,481</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3,481</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294,052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303,571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360" w:top="55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180"/>
          </w:cols>
          <w:pgMar w:left="1360" w:top="553" w:right="1359" w:bottom="1440" w:gutter="0" w:footer="0" w:header="0"/>
          <w:type w:val="continuous"/>
        </w:sectPr>
      </w:pPr>
    </w:p>
    <w:bookmarkStart w:id="6" w:name="page7"/>
    <w:bookmarkEnd w:id="6"/>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180" w:type="dxa"/>
            <w:vAlign w:val="bottom"/>
          </w:tcPr>
          <w:p>
            <w:pPr>
              <w:spacing w:after="0"/>
              <w:rPr>
                <w:sz w:val="22"/>
                <w:szCs w:val="22"/>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September 30,</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291,530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301,644</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Balance, December 31,</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12,322</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5"/>
              </w:rPr>
              <w:t>123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57,258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285,843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(24,999)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(25,867)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292,358</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Stock-based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Shares withheld in lieu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Issuance of restricted</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stock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9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Balance, March 31,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12,353</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57,511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283,805</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292,294</w:t>
            </w:r>
          </w:p>
        </w:tc>
        <w:tc>
          <w:tcPr>
            <w:tcW w:w="0" w:type="dxa"/>
            <w:vAlign w:val="bottom"/>
          </w:tcPr>
          <w:p>
            <w:pPr>
              <w:spacing w:after="0"/>
              <w:rPr>
                <w:sz w:val="1"/>
                <w:szCs w:val="1"/>
                <w:color w:val="auto"/>
              </w:rPr>
            </w:pPr>
          </w:p>
        </w:tc>
      </w:tr>
      <w:tr>
        <w:trPr>
          <w:trHeight w:val="60"/>
        </w:trPr>
        <w:tc>
          <w:tcPr>
            <w:tcW w:w="1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5,089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5,089</w:t>
            </w:r>
          </w:p>
        </w:tc>
        <w:tc>
          <w:tcPr>
            <w:tcW w:w="0" w:type="dxa"/>
            <w:vAlign w:val="bottom"/>
          </w:tcPr>
          <w:p>
            <w:pPr>
              <w:spacing w:after="0"/>
              <w:rPr>
                <w:sz w:val="1"/>
                <w:szCs w:val="1"/>
                <w:color w:val="auto"/>
              </w:rPr>
            </w:pPr>
          </w:p>
        </w:tc>
      </w:tr>
      <w:tr>
        <w:trPr>
          <w:trHeight w:val="80"/>
        </w:trPr>
        <w:tc>
          <w:tcPr>
            <w:tcW w:w="1700" w:type="dxa"/>
            <w:vAlign w:val="bottom"/>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Foreign currency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w w:val="98"/>
              </w:rPr>
              <w:t>Shares withheld in lieu of</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w w:val="97"/>
              </w:rPr>
              <w:t>employee tax withholding</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73"/>
        </w:trPr>
        <w:tc>
          <w:tcPr>
            <w:tcW w:w="1700" w:type="dxa"/>
            <w:vAlign w:val="bottom"/>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Balance, June 30,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12,359</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124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57,838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285,891</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295,659</w:t>
            </w: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180"/>
          </w:cols>
          <w:pgMar w:left="1360" w:top="553" w:right="1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Nine months ended June 30,</w:t>
            </w:r>
          </w:p>
        </w:tc>
        <w:tc>
          <w:tcPr>
            <w:tcW w:w="1260" w:type="dxa"/>
            <w:vAlign w:val="bottom"/>
            <w:tcBorders>
              <w:bottom w:val="single" w:sz="8" w:color="auto"/>
            </w:tcBorders>
          </w:tcPr>
          <w:p>
            <w:pPr>
              <w:spacing w:after="0"/>
              <w:rPr>
                <w:sz w:val="16"/>
                <w:szCs w:val="16"/>
                <w:color w:val="auto"/>
              </w:rPr>
            </w:pPr>
          </w:p>
        </w:tc>
      </w:tr>
      <w:tr>
        <w:trPr>
          <w:trHeight w:val="263"/>
        </w:trPr>
        <w:tc>
          <w:tcPr>
            <w:tcW w:w="68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13,677</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3,352</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9,408</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Bad debt expense</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(16,350)</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Contract assets and liabilities, net</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42,954</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6,439</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1,566</w:t>
            </w:r>
          </w:p>
        </w:tc>
      </w:tr>
      <w:tr>
        <w:trPr>
          <w:trHeight w:val="27"/>
        </w:trPr>
        <w:tc>
          <w:tcPr>
            <w:tcW w:w="6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33,935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Maturities of short-term investments</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13,088</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 net</w:t>
            </w:r>
          </w:p>
        </w:tc>
        <w:tc>
          <w:tcPr>
            <w:tcW w:w="1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r>
      <w:tr>
        <w:trPr>
          <w:trHeight w:val="237"/>
        </w:trPr>
        <w:tc>
          <w:tcPr>
            <w:tcW w:w="686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4,009</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1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(8,991)</w:t>
            </w:r>
          </w:p>
        </w:tc>
      </w:tr>
      <w:tr>
        <w:trPr>
          <w:trHeight w:val="27"/>
        </w:trPr>
        <w:tc>
          <w:tcPr>
            <w:tcW w:w="6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37,878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27,402</w:t>
            </w:r>
          </w:p>
        </w:tc>
      </w:tr>
      <w:tr>
        <w:trPr>
          <w:trHeight w:val="27"/>
        </w:trPr>
        <w:tc>
          <w:tcPr>
            <w:tcW w:w="6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118,639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61,725</w:t>
            </w:r>
          </w:p>
        </w:tc>
      </w:tr>
      <w:tr>
        <w:trPr>
          <w:trHeight w:val="27"/>
        </w:trPr>
        <w:tc>
          <w:tcPr>
            <w:tcW w:w="6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156,026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88,585</w:t>
            </w: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Overview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light rail traction power and other heavy industrial markets.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Oil and Gas Commodity Market Volatility on Powell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spread of COVID-19 has created significant uncertainty and economic disruption across the world during the second half of Fiscal 2020. This pandemic has negatively impacted energy demand, which in turn has resulted in considerable volatility across the oil and gas commodity markets. As a result, some of our industrial customers are deferring or suspending their planned capital expenditures. Certain of our customers have asked that we delay our manufacturing on their projects as their operations have been negatively impacted by this pandemic and the reduced oil and gas demand. We continue to work with and review the contracts with our key suppliers who have been impacted by this pandemic to ensure that we are able to meet our customer commitments.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an operations standpoint, although our facilities are located in areas that have been or continue to be subject to stay-at-home orders, we have not closed any of our facilities for an extended amount of time and have continued to operate as an "essential business" under these orders across all of our locations. We continue to take the necessary steps to ensure the safety of our employees, customers and vendors. These steps include, among others, promoting increased social distancing practices and enhanced cleaning efforts in our offices and facilities. We are also using technology across our operations to further enhance social distancing and improve safety. These increased safety precautions may have an adverse impact on our efficiency and productivity going forward.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circumstances noted above, we anticipate that a decrease in commercial activity will negatively impact our business, results of operations and cash flows going forward. We have and may need to continue to adjust our workforce and labor costs to correspond to the reduced customer demand. We will take prudent measures to maintain our strong liquidity and cash position, which may include reducing our capital expenditures and research and development costs, as well as reducing or eliminating future dividend payments. However,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governmental orders; any closures of our offices and facilities or those of our suppliers as a result of the pandemic, and how quickly and to what extent normal economic and operating conditions can resume. Therefore, the magnitude of the impact on our business, results of operations and cash flows is not currently known.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2019, which was filed with the Securities and Exchange Commission (SEC) on December 5,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2020 and Fiscal 2019 used throughout this report shall mean our fiscal years ended September 30, 2020 and 2019,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accounting principles generally accepted in the United States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October 1, 2019, we adopted the new lease accounting standard and recorded operating lease assets and operating lease liabilities of approximately $7.0 million and determined that no adjustment to retained earnings was necessary. Financial results for reporting periods after October 1, 2019 are reported under the new standard; however financial results for prior periods were not adjusted and will continue to be presented in accordance with the previous standard. Upon adoption, we elected a package of practical expedients which, among other things, allowed for the historical classification of our existing leases to carryforward. Additionally, we elected to separate non-lease components for our real estate and IT infrastructure asset classes. All other asset classes account for both lease and non-lease components in the operating lease asset and operating lease liability calculations. See Note I for further discussion of leases.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Financial Accounting Standards Board (FASB) issued a new topic on measurement of credit losses. The topic introduces an impairment model known as the current expected credit loss (CECL) model that is based on an expected loss methodology rather than an incurred loss methodology for financial instruments. Under the new topic, an entity recognizes as an allowance its estimate of expected credit losses with the intention of improving financial reporting by requiring timelier recognition of such losses. Enhanced disclosure of information regarding how a company developed its allowance, including changes in the factors that influenced management's estimate of expected credit losses and the reasons for those changes, will be required upon adoption. The new topic is effective for fiscal years beginning after December 15, 2019, including interim periods within those fiscal years. This would be our fiscal year ending September 30, 2021. We are still evaluating the impact this new topic will have on our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73"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ectPr>
          <w:pgSz w:w="11900" w:h="16838" w:orient="portrait"/>
          <w:cols w:equalWidth="0" w:num="1">
            <w:col w:w="11240"/>
          </w:cols>
          <w:pgMar w:left="320" w:top="773" w:right="339" w:bottom="1440" w:gutter="0" w:footer="0" w:header="0"/>
        </w:sectPr>
      </w:pPr>
    </w:p>
    <w:p>
      <w:pPr>
        <w:spacing w:after="0" w:line="175"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31115</wp:posOffset>
            </wp:positionV>
            <wp:extent cx="2074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4" w:lineRule="exact"/>
        <w:rPr>
          <w:sz w:val="20"/>
          <w:szCs w:val="20"/>
          <w:color w:val="auto"/>
        </w:rPr>
      </w:pPr>
    </w:p>
    <w:p>
      <w:pPr>
        <w:ind w:left="5280"/>
        <w:spacing w:after="0"/>
        <w:tabs>
          <w:tab w:leader="none" w:pos="69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88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14" w:lineRule="exact"/>
        <w:rPr>
          <w:sz w:val="20"/>
          <w:szCs w:val="20"/>
          <w:color w:val="auto"/>
        </w:rPr>
      </w:pPr>
    </w:p>
    <w:p>
      <w:pPr>
        <w:spacing w:after="0"/>
        <w:tabs>
          <w:tab w:leader="none" w:pos="160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86" w:lineRule="exact"/>
        <w:rPr>
          <w:sz w:val="20"/>
          <w:szCs w:val="20"/>
          <w:color w:val="auto"/>
        </w:rPr>
      </w:pPr>
    </w:p>
    <w:p>
      <w:pPr>
        <w:sectPr>
          <w:pgSz w:w="11900" w:h="16838" w:orient="portrait"/>
          <w:cols w:equalWidth="0" w:num="2">
            <w:col w:w="7980" w:space="720"/>
            <w:col w:w="2540"/>
          </w:cols>
          <w:pgMar w:left="320" w:top="773" w:right="3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5,089</w:t>
            </w: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13,677</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3,352</w:t>
            </w: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11,579</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11,567</w:t>
            </w:r>
          </w:p>
        </w:tc>
      </w:tr>
      <w:tr>
        <w:trPr>
          <w:trHeight w:val="27"/>
        </w:trPr>
        <w:tc>
          <w:tcPr>
            <w:tcW w:w="4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97"/>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w:t>
            </w:r>
          </w:p>
        </w:tc>
        <w:tc>
          <w:tcPr>
            <w:tcW w:w="5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11,698</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11,603</w:t>
            </w:r>
          </w:p>
        </w:tc>
        <w:tc>
          <w:tcPr>
            <w:tcW w:w="2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11,686</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11,589</w:t>
            </w: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per share:</w:t>
            </w: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3"/>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r>
      <w:tr>
        <w:trPr>
          <w:trHeight w:val="251"/>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0"/>
        </w:trPr>
        <w:tc>
          <w:tcPr>
            <w:tcW w:w="4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49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980" w:type="dxa"/>
            <w:vAlign w:val="bottom"/>
            <w:tcBorders>
              <w:bottom w:val="single" w:sz="8" w:color="CFF0FC"/>
            </w:tcBorders>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157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w:t>
            </w: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9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9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205</w:t>
            </w:r>
          </w:p>
        </w:tc>
      </w:tr>
      <w:tr>
        <w:trPr>
          <w:trHeight w:val="20"/>
        </w:trPr>
        <w:tc>
          <w:tcPr>
            <w:tcW w:w="4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9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83"/>
              </w:rPr>
              <w:t>30,481</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28,102</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1,182</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92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9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83"/>
              </w:rPr>
              <w:t>31,663</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Accrued Product Warranty</w:t>
            </w: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5"/>
          </w:tcPr>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60" w:type="dxa"/>
            <w:vAlign w:val="bottom"/>
          </w:tcPr>
          <w:p>
            <w:pPr>
              <w:spacing w:after="0"/>
              <w:rPr>
                <w:sz w:val="24"/>
                <w:szCs w:val="24"/>
                <w:color w:val="auto"/>
              </w:rPr>
            </w:pPr>
          </w:p>
        </w:tc>
        <w:tc>
          <w:tcPr>
            <w:tcW w:w="3000" w:type="dxa"/>
            <w:vAlign w:val="bottom"/>
            <w:tcBorders>
              <w:bottom w:val="single" w:sz="8" w:color="auto"/>
            </w:tcBorders>
            <w:gridSpan w:val="6"/>
          </w:tcPr>
          <w:p>
            <w:pPr>
              <w:jc w:val="right"/>
              <w:ind w:right="475"/>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w w:val="95"/>
              </w:rPr>
              <w:t>Nine months ended June 30,</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FF0FC"/>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3,276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600" w:type="dxa"/>
            <w:vAlign w:val="bottom"/>
            <w:tcBorders>
              <w:bottom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Increase in warranty expense</w:t>
            </w:r>
          </w:p>
        </w:tc>
        <w:tc>
          <w:tcPr>
            <w:tcW w:w="9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9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9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3,011</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revenues are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w:t>
      </w:r>
    </w:p>
    <w:p>
      <w:pPr>
        <w:sectPr>
          <w:pgSz w:w="11900" w:h="16838" w:orient="portrait"/>
          <w:cols w:equalWidth="0" w:num="1">
            <w:col w:w="11240"/>
          </w:cols>
          <w:pgMar w:left="320" w:top="55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553" w:right="339" w:bottom="1440" w:gutter="0" w:footer="0" w:header="0"/>
          <w:type w:val="continuous"/>
        </w:sectPr>
      </w:pPr>
    </w:p>
    <w:bookmarkStart w:id="12" w:name="page13"/>
    <w:bookmarkEnd w:id="12"/>
    <w:p>
      <w:pPr>
        <w:jc w:val="both"/>
        <w:spacing w:after="0" w:line="311" w:lineRule="auto"/>
        <w:rPr>
          <w:sz w:val="20"/>
          <w:szCs w:val="20"/>
          <w:color w:val="auto"/>
        </w:rPr>
      </w:pPr>
      <w:r>
        <w:rPr>
          <w:rFonts w:ascii="Arial" w:cs="Arial" w:eastAsia="Arial" w:hAnsi="Arial"/>
          <w:sz w:val="16"/>
          <w:szCs w:val="16"/>
          <w:color w:val="auto"/>
        </w:rPr>
        <w:t>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95% of total revenues for the three and nine months ended June 30, 2020 and 93% of total revenues for the three and nine months ended June 30, 2019.</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of total revenues for the three and nine months ended June 30, 2020 and 7% of total revenues for the three and nine months ended June 30, 2019.</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June 30, 2020, we had backlog of $532.2 million, of which approximately $342.4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June 30, 2020 and 2019, our operating results were positively impacted by $10.8 million and $4.3 million, respectively, as a result of changes in contract estimates related to projects in progress at the beginning of the respective period. These changes in estimates spread across the entire portfolio with no significant changes in a single contract and resulted primarily from favorable project execution and negotiations of variable consideration, discussed below, as well as other changes in facts and circumstances during these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1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timing of revenue recognition, billings and cash collections affects accounts receivable, costs and estimated earnings in excess of billings on uncompleted contracts (contract assets) and billings in excess of costs and estimated earnings on uncompleted contracts (contract liabilities) in our Condensed Consolidated Balance Sheet.</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29"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June 30, 2020 and September 30, 2019 are summarized below (in thousands):</w:t>
      </w: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September 30, 2019</w:t>
            </w: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51,723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55,374</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(97,969)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(71,464)</w:t>
            </w:r>
          </w:p>
        </w:tc>
      </w:tr>
      <w:tr>
        <w:trPr>
          <w:trHeight w:val="27"/>
        </w:trPr>
        <w:tc>
          <w:tcPr>
            <w:tcW w:w="7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net contract liability at June 30, 2020 from September 30, 2019 was primarily due to our progress towards completion on our projects and the timing of contract billing milestones and new orders. This increase was primarily driven by the timing of contract billing milestones related to our recent contract award for a large industrial project in the United States. To determine the amount of revenue recognized during the period from contract liabilities, we first allocate revenue to the individual contract liability balance outstanding at the beginning of the period until the revenue exceeds that balance. During the three and nine months ended June 30, 2020, we recognized revenue of approximately $34.6 million and $67.1 million related to contract liabilities outstanding at September 30, 2019.</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June 30, 2020 and September 30, 2019, accounts receivable included retention amounts of $6.7 million and $5.6 million, respectively. Of the retained amount at June 30, 2020, $5.6 million is expected to be collected in the next twelve months and is recorded in accounts receivable. The remaining $1.1 million is recorded in other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three and nine months ended June 30, 2020 and 2019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99,745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318,009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292,049</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20,206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46,831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45,015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and Africa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Central and South America</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18"/>
                <w:szCs w:val="18"/>
                <w:color w:val="auto"/>
              </w:rPr>
              <w:t>Total revenues by geographic destination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118,062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135,588</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403,781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368,676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62,356</w:t>
            </w:r>
          </w:p>
        </w:tc>
        <w:tc>
          <w:tcPr>
            <w:tcW w:w="2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157,798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167,954</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Petrochemical</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107,057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63,387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26,425</w:t>
            </w:r>
          </w:p>
        </w:tc>
        <w:tc>
          <w:tcPr>
            <w:tcW w:w="2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66,066</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Traction power</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7,423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31,417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18,457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18,298</w:t>
            </w:r>
          </w:p>
        </w:tc>
        <w:tc>
          <w:tcPr>
            <w:tcW w:w="220" w:type="dxa"/>
            <w:vAlign w:val="bottom"/>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43,515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52,812</w:t>
            </w:r>
          </w:p>
        </w:tc>
        <w:tc>
          <w:tcPr>
            <w:tcW w:w="0" w:type="dxa"/>
            <w:vAlign w:val="bottom"/>
          </w:tcPr>
          <w:p>
            <w:pPr>
              <w:spacing w:after="0"/>
              <w:rPr>
                <w:sz w:val="1"/>
                <w:szCs w:val="1"/>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18"/>
                <w:szCs w:val="18"/>
                <w:color w:val="auto"/>
              </w:rPr>
              <w:t>Total revenues by market sector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118,062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135,588</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403,781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368,676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E. Long-Term Debt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6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27, 2019, we entered into an Amended and Restated Credit Agreement with Bank of America, N.A. (the " "U.S. Revolver"), which replaced our prior credit agreement. The U.S. Revolver is a $75.0 million revolving credit facility that is available for both borrowings and letters of credit and expires September 2024. As of June 30, 2020, there were no amounts borrowed under this facility and letters of credit outstanding were $33.1 million. There was $41.9 million available for the issuance of letters of credit and borrowings under the U.S. Revolver as of June 30, 2020.</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maintain certain financial covenants, the most significant of which are a consolidated leverage ratio less than 3.0 to 1.0 and a consolidated interest coverage ratio of greater than 3.0 to 1.0. Additionally, we must maintain a consolidated cash balance of $30 million at all times. The U.S. Revolver also contains a "material adverse effect" clause which is a material change in our operations, business, properties, liabilities or condition (financial or otherwise) or a material impairment of our ability to perform our obligations under our credit agreements. As of June 30, 2020, we were in compliance with all of the financial covenants of the U.S. Revolver.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allows the Company to elect that any borrowing under the facility bear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leverage ratio.</w:t>
      </w:r>
    </w:p>
    <w:p>
      <w:pPr>
        <w:sectPr>
          <w:pgSz w:w="11900" w:h="16838" w:orient="portrait"/>
          <w:cols w:equalWidth="0" w:num="1">
            <w:col w:w="11240"/>
          </w:cols>
          <w:pgMar w:left="320" w:top="77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773" w:right="339" w:bottom="1440" w:gutter="0" w:footer="0" w:header="0"/>
          <w:type w:val="continuous"/>
        </w:sectPr>
      </w:pPr>
    </w:p>
    <w:bookmarkStart w:id="15" w:name="page16"/>
    <w:bookmarkEnd w:id="15"/>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June 30, 2020. While the Bonds mature in 2021, the reimbursement agreement requires annual redemptions of $0.4 million that commenced on October 25, 2002. A sinking fund is used for the annual principal payment. The Bonds bear interest at a floating rate determined weekly by the Bonds’ remarketing agent, which was the underwriter for the Bonds and is an affiliate of the bank. This interest rate was 0.36% as of June 30,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$33.1 million as of June 30, 2020. We also had surety bonds totaling $162.0 million that were outstanding, with additional bonding capacity of $588.0 million available, at June 30, 2020.</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$8.6 million facility agreement (Facility Agreement) between Powell (UK) Limited and a large international bank that provides Powell (UK) Limited the ability to enter into bank guarantees as well as forward exchange contracts and currency options. At June 30, 2020, we had outstanding guarantees totaling $7.9 million and amounts available under this Facility Agreement were $0.7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June 30, 2020, we were in compliance with all of the financial covenants of the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Annual Report on Form 10-K for the fiscal year ended September 30, 2019 for a full description of our existing stock-based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and is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June 30, 2020, there were 154,034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nine months ended June 30, 2020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8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8"/>
        </w:trPr>
        <w:tc>
          <w:tcPr>
            <w:tcW w:w="8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Fair Value</w:t>
            </w:r>
          </w:p>
        </w:tc>
      </w:tr>
      <w:tr>
        <w:trPr>
          <w:trHeight w:val="192"/>
        </w:trPr>
        <w:tc>
          <w:tcPr>
            <w:tcW w:w="836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2019</w:t>
            </w:r>
          </w:p>
        </w:tc>
        <w:tc>
          <w:tcPr>
            <w:tcW w:w="134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131,850</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33.76</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38.53</w:t>
            </w:r>
          </w:p>
        </w:tc>
      </w:tr>
      <w:tr>
        <w:trPr>
          <w:trHeight w:val="27"/>
        </w:trPr>
        <w:tc>
          <w:tcPr>
            <w:tcW w:w="8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(47,566)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35.63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33.16</w:t>
            </w:r>
          </w:p>
        </w:tc>
      </w:tr>
      <w:tr>
        <w:trPr>
          <w:trHeight w:val="27"/>
        </w:trPr>
        <w:tc>
          <w:tcPr>
            <w:tcW w:w="83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57"/>
        </w:trPr>
        <w:tc>
          <w:tcPr>
            <w:tcW w:w="8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June 30, 2020</w:t>
            </w:r>
          </w:p>
        </w:tc>
        <w:tc>
          <w:tcPr>
            <w:tcW w:w="13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154,034</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35.37</w:t>
            </w:r>
          </w:p>
        </w:tc>
      </w:tr>
      <w:tr>
        <w:trPr>
          <w:trHeight w:val="20"/>
        </w:trPr>
        <w:tc>
          <w:tcPr>
            <w:tcW w:w="8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June 30, 2020 and 2019, we recorded compensation expense of $1.9 million and $1.8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2020, 16,800 shares of restricted stock were issued to our non-employee directors under the 2014 Director Plan at a price of $36.25 per share. During the nine months ended June 30, 2020 and 2019, we recorded compensation expense of $0.5 million and $0.4 million, respectively, related to restricted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Measurements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June 30, 2020 (in thousands):</w:t>
      </w:r>
    </w:p>
    <w:p>
      <w:pPr>
        <w:spacing w:after="0" w:line="200" w:lineRule="exact"/>
        <w:rPr>
          <w:sz w:val="20"/>
          <w:szCs w:val="20"/>
          <w:color w:val="auto"/>
        </w:rPr>
      </w:pPr>
    </w:p>
    <w:p>
      <w:pPr>
        <w:spacing w:after="0" w:line="218"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Fair Value Measurements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Significant Other</w:t>
            </w:r>
          </w:p>
        </w:tc>
        <w:tc>
          <w:tcPr>
            <w:tcW w:w="16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7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6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156,026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156,026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2019 (in thousands):</w:t>
      </w:r>
    </w:p>
    <w:p>
      <w:pPr>
        <w:spacing w:after="0" w:line="175"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Fair Value Measurements at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Significant Other</w:t>
            </w: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7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118,639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118,639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and nine months ended June 30, 2020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8"/>
              </w:rPr>
              <w:t>Three months ended June</w:t>
            </w:r>
          </w:p>
        </w:tc>
        <w:tc>
          <w:tcPr>
            <w:tcW w:w="224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Nine months ended June 30,</w:t>
            </w:r>
          </w:p>
        </w:tc>
      </w:tr>
      <w:tr>
        <w:trPr>
          <w:trHeight w:val="234"/>
        </w:trPr>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Lease Cost</w:t>
            </w:r>
          </w:p>
        </w:tc>
        <w:tc>
          <w:tcPr>
            <w:tcW w:w="140" w:type="dxa"/>
            <w:vAlign w:val="bottom"/>
          </w:tcPr>
          <w:p>
            <w:pPr>
              <w:spacing w:after="0"/>
              <w:rPr>
                <w:sz w:val="20"/>
                <w:szCs w:val="20"/>
                <w:color w:val="auto"/>
              </w:rPr>
            </w:pPr>
          </w:p>
        </w:tc>
        <w:tc>
          <w:tcPr>
            <w:tcW w:w="2120" w:type="dxa"/>
            <w:vAlign w:val="bottom"/>
          </w:tcPr>
          <w:p>
            <w:pPr>
              <w:jc w:val="right"/>
              <w:ind w:right="730"/>
              <w:spacing w:after="0"/>
              <w:rPr>
                <w:sz w:val="20"/>
                <w:szCs w:val="20"/>
                <w:color w:val="auto"/>
              </w:rPr>
            </w:pPr>
            <w:r>
              <w:rPr>
                <w:rFonts w:ascii="Arial" w:cs="Arial" w:eastAsia="Arial" w:hAnsi="Arial"/>
                <w:sz w:val="18"/>
                <w:szCs w:val="18"/>
                <w:b w:val="1"/>
                <w:bCs w:val="1"/>
                <w:color w:val="auto"/>
              </w:rPr>
              <w:t>30, 2020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7"/>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r>
      <w:tr>
        <w:trPr>
          <w:trHeight w:val="243"/>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Less: sublease income</w:t>
            </w:r>
          </w:p>
        </w:tc>
        <w:tc>
          <w:tcPr>
            <w:tcW w:w="1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70"/>
        </w:trPr>
        <w:tc>
          <w:tcPr>
            <w:tcW w:w="66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2,147</w:t>
            </w: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Variable lease cost represents common area maintenance charges related to our Canadian office space leases.</w:t>
      </w:r>
    </w:p>
    <w:p>
      <w:pPr>
        <w:spacing w:after="0" w:line="1"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Short-term lease cost includes leases and rentals with initial terms of one year or less.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Our operating lease assets have been reduced by a lease accrual of $0.6 million related to certain unused facility leases in Canada. The following table provides a summary of the operating lease assets and operating lease liabilities included in our Condensed Consolidated Balance Sheets as of June 30, 2020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20"/>
                <w:szCs w:val="20"/>
                <w:color w:val="auto"/>
              </w:rPr>
            </w:pPr>
          </w:p>
        </w:tc>
        <w:tc>
          <w:tcPr>
            <w:tcW w:w="196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2020</w:t>
            </w:r>
          </w:p>
        </w:tc>
        <w:tc>
          <w:tcPr>
            <w:tcW w:w="0" w:type="dxa"/>
            <w:vAlign w:val="bottom"/>
          </w:tcPr>
          <w:p>
            <w:pPr>
              <w:spacing w:after="0"/>
              <w:rPr>
                <w:sz w:val="1"/>
                <w:szCs w:val="1"/>
                <w:color w:val="auto"/>
              </w:rPr>
            </w:pPr>
          </w:p>
        </w:tc>
      </w:tr>
      <w:tr>
        <w:trPr>
          <w:trHeight w:val="27"/>
        </w:trPr>
        <w:tc>
          <w:tcPr>
            <w:tcW w:w="8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0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Operating lease assets,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311"/>
        </w:trPr>
        <w:tc>
          <w:tcPr>
            <w:tcW w:w="8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
        </w:trPr>
        <w:tc>
          <w:tcPr>
            <w:tcW w:w="8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the maturities of our operating lease liabilities as of June 30, 2020 (in thousands):</w:t>
            </w: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Operating Leases</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Less: present value discount (imputed interest)</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9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discount rate as of June 30, 2020 was 4.22%. The weighted average remaining lease term was 2.7 years at June 30, 2020.</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55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47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5,886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4,315</w:t>
            </w:r>
          </w:p>
        </w:tc>
      </w:tr>
      <w:tr>
        <w:trPr>
          <w:trHeight w:val="270"/>
        </w:trPr>
        <w:tc>
          <w:tcPr>
            <w:tcW w:w="4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963</w:t>
            </w:r>
          </w:p>
        </w:tc>
      </w:tr>
      <w:tr>
        <w:trPr>
          <w:trHeight w:val="230"/>
        </w:trPr>
        <w:tc>
          <w:tcPr>
            <w:tcW w:w="4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5,089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13,677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3,352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income tax (benefit) provision reflects an effective tax rate on pre-tax income of negative 19% for the third quarter of Fiscal 2020 compared to 14% in the third quarter of Fiscal 2019. The effective tax rate for the quarter ended June 30, 2020 was favorably impacted by the tax benefits related to the Research and Development Tax Credit (R&amp;D Tax Credit) and the projected utilization of net operating loss carryforwards in Canada that were fully reserved with a valuation allowance. In addition, as a result of the expiration of certain U.S. federal statutes of limitations and the effective settlement of an Internal Revenue Service (IRS) audit, $1.7 million of reserves for unrecognized tax benefits related to these matters was released. These benefits were partially offset by losses recognized in various foreign jurisdictions that were reserved with a valuation allowance. For the third quarter of Fiscal 2019, the effective tax rate was favorably impacted by the relative amounts of income recognized in various foreign jurisdictions that were reserved with a valuation allowance.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tax rate of 13% for the nine months ended June 30, 2020 was favorably impacted by the current year estimated R&amp;D Tax Credit as well as the projected utilization of net operating loss carryforwards in Canada that were fully reserved with a valuation allowance. Likewise, the discrete items recorded in the third quarter of Fiscal 2020 in the amount of $1.7 million associated with the release of reserves for unrecognized tax benefits as a result of the expiration of statutes of limitations and the IRS audit settlement favorably impacted the effective tax rate. The effective tax rate was negatively impacted by the discrete item recorded in the second quarter of Fiscal 2020 for the valuation allowance against our UK deferred tax assets in the amount of $0.5 million as well as by the losses recognized in various foreign jurisdictions that were reserved with a valuation allowance. For the nine months ended June 30, 2019, the effective tax rate of 22% approximated the U.S. federal statutory rate as the immaterial losses incurred by various foreign jurisdictions reserved with a valuation allowance had a minimal impact on the effective tax rate. There were no material discrete items recognized in the first nine months of Fiscal 2019.</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our assessment of deferred income taxes, in the second quarter of Fiscal 2020, we recorded a valuation allowance of $0.5 million against our UK net deferred tax assets. In assessing the realizability of net deferred tax assets, we determined it was more-likely-than-not that the net deferred tax assets may not be realized based upon recent UK tax losses and anticipated results in the near term. Estimates may change as new events occur, estimates of future taxable income are reduced or increased, additional information becomes available, or operating environments change, which may result in a full or partial reversal of the valuation allowance.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expiration of certain federal statutes of limitations and the settlement of the IRS audit discussed above, management believes that, within the next twelve months, it is reasonably possible that the unrecognized tax benefits will remain materially unchanged. We are unable to make reasonably reliable estimates regarding the timing of future cash outflows, if any, associated with the remaining unrecognized tax benefits for the open periods of Fiscal 2018 - 2020.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Separation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reductions in oil and gas demand and volatility of commodity prices, we implemented workforce reductions at most of our locations. As a result, we recorded $1.4 million of separation costs in restructuring and other, net on the Condensed Consolidated Statement of Operations during the third quarter of Fiscal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4, 2020, our Board of Directors declared a quarterly cash dividend on our common stock in the amount of $0.26 per share. The dividend is payable on September 16, 2020 to shareholders of record at the close of business on August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553"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our Business and Industry</w:t>
      </w:r>
    </w:p>
    <w:p>
      <w:pPr>
        <w:spacing w:after="0" w:line="117" w:lineRule="exact"/>
        <w:rPr>
          <w:sz w:val="20"/>
          <w:szCs w:val="20"/>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the cyclical nature of the end markets that we serve. This has had, and may continue to have, an adverse effect on our future operating results.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requires skilled and unskilled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w:t>
      </w:r>
      <w:r>
        <w:rPr>
          <w:rFonts w:ascii="Arial" w:cs="Arial" w:eastAsia="Arial" w:hAnsi="Arial"/>
          <w:sz w:val="18"/>
          <w:szCs w:val="18"/>
          <w:color w:val="auto"/>
        </w:rPr>
        <w:t xml:space="preserve"> </w:t>
      </w:r>
      <w:r>
        <w:rPr>
          <w:rFonts w:ascii="Arial" w:cs="Arial" w:eastAsia="Arial" w:hAnsi="Arial"/>
          <w:sz w:val="18"/>
          <w:szCs w:val="18"/>
          <w:color w:val="252525"/>
        </w:rPr>
        <w:t>relationships with customers and subject us to criminal and civil enforcement actions.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00" w:hanging="322"/>
        <w:spacing w:after="0" w:line="277" w:lineRule="auto"/>
        <w:tabs>
          <w:tab w:leader="none" w:pos="600" w:val="left"/>
        </w:tabs>
        <w:numPr>
          <w:ilvl w:val="0"/>
          <w:numId w:val="4"/>
        </w:numPr>
        <w:rPr>
          <w:rFonts w:ascii="Arial" w:cs="Arial" w:eastAsia="Arial" w:hAnsi="Arial"/>
          <w:sz w:val="18"/>
          <w:szCs w:val="18"/>
          <w:color w:val="252525"/>
        </w:rPr>
      </w:pPr>
      <w:r>
        <w:rPr>
          <w:rFonts w:ascii="Arial" w:cs="Arial" w:eastAsia="Arial" w:hAnsi="Arial"/>
          <w:sz w:val="18"/>
          <w:szCs w:val="18"/>
          <w:color w:val="auto"/>
        </w:rPr>
        <w:t>Catastrophic events, including natural disasters, health epidemics (including the COVID-19 pandemic), acts of war and terrorism, among others, could disrupt our business. (See Part II - Other Information Item 1A. Risk Factors below.)</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our Financial Condition and Markets</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recognized over time from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53" w:right="339" w:bottom="1440" w:gutter="0" w:footer="0" w:header="0"/>
        </w:sectPr>
      </w:pPr>
    </w:p>
    <w:bookmarkStart w:id="22" w:name="page23"/>
    <w:bookmarkEnd w:id="22"/>
    <w:p>
      <w:pPr>
        <w:ind w:left="60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extend credit to customers in conjunction with our performance under fixed price contracts which subjects us to potential credit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right="2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our Common Stock</w:t>
      </w:r>
    </w:p>
    <w:p>
      <w:pPr>
        <w:spacing w:after="0" w:line="117" w:lineRule="exact"/>
        <w:rPr>
          <w:sz w:val="20"/>
          <w:szCs w:val="20"/>
          <w:color w:val="auto"/>
        </w:rPr>
      </w:pPr>
    </w:p>
    <w:p>
      <w:pPr>
        <w:ind w:left="600"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can be no assurance that we will declare or pay future dividends on our common stock.</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Factors Related to Legal and Regulatory Matters</w:t>
      </w:r>
    </w:p>
    <w:p>
      <w:pPr>
        <w:spacing w:after="0" w:line="117"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developments arising from recent U.S. Government proposals concerning tariffs and other economic proposals could adversely impact our business.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2019.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2019, which was filed with the Securities and Exchange Commission (SEC) on December 5, 2019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highly correlated to the level of capital expenditures of our end user customers as well as prevailing global economic conditions.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late Fiscal 2018, the combination of a growing global economy and abundant sources of favorably priced natural gas feedstock drove an increase in capital investment opportunities, specifically across the oil, gas and petrochemical sectors. We have seen opportunities for natural gas related projects targeting global demand for cleaner burning fuels. Additionally, projects within the domestic petrochemical sector have benefited from the low feedstock prices of natural gas. Specific to natural gas, the business was awarded a substantial contract in the second quarter of Fiscal 2020 that will support the integrated electrical distribution requirements for a large domestic industrial complex. This specific project will take over three years to design, manufacture, integrate, test and 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spread of COVID-19 has created significant uncertainty and economic disruption across the world during the second half of Fiscal 2020. This pandemic has negatively impacted energy demand, which in turn has resulted in considerable volatility across the oil and gas commodity markets. The demand for our products and services as well as our operations have been negatively impacted by COVID-19, reductions in oil and gas demand and volatility in commodity prices noted above.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an operations standpoint, although our facilities are located in areas that have in the past been subject to stay-at-home orders, we have not closed any of our facilities for an extended period of time and have operated as an "essential business" under local government orders. However, as a result of the uncertainty our customers are experiencing, certain of our customers have asked that we delay our manufacturing on their projects as their operations have been negatively impacted by this pandemic and the reduced oil and gas demand. We have experienced supply disruptions and anticipate that these supply disruptions may continue. We continue to monitor and work with our suppliers who have been impacted by this pandemic to ensure we are able to meet our customer commitments. We also have reviewed and will continue to review contracts with our suppliers, making adjustments accordingly. We continue to take the necessary steps to ensure the safety of our employees, customers and vendors. These steps include, among others, promoting increased social distancing practices and enhanced cleaning efforts in our offices and facilities. We are utilizing and exploring the use of technology across our operations to further enhance social distancing and improve safety. These safety precautions have and may continue to have an adverse impact on our costs, efficiency and productivity going forward.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In response to the lower demand across select end markets, we have and will continue to take various actions to reduce costs. During the third quarter of Fiscal 2020, we reduced our global workforce by approximately 12% resulting in severance costs of $1.4 million. Additionally, we instituted a temporary furlough program for our salaried workforce in North America which is expected to reduce salaried compensation by $1.3 million in the second half of Fiscal 2020. Additionally, we have also reduced our capital and discretionary spending in response to current business conditions.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2020 Compared to the Quarter Ended June 30, 2019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by 13%, or $17.5 million, to $118.1 million in the third quarter of Fiscal 2020, due to a decrease in orders resulting from a decline in demand across our industrial end markets, as well as project delays and cancellations of potential projects associated with the global decline in demand across the oil and gas markets resulting from COVID-19. Domestic revenues decreased by 12%, or $12.4 million, to $91.3 million in the third quarter of Fiscal 2020. International revenues decreased by 16%, or $5.1 million, to $26.8 million in the third quarter of Fiscal 2020 as a result of lower commercial activity across our international operations. Our international revenues include both revenues generated from our international facilities as well as revenues from export projects generated at our domestic facilities.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our oil and gas end markets decreased by 26%, or $16.5 million, to $45.9 million in the third quarter of Fiscal 2020 while petrochemical revenue increased by 39%, or $8.2 million, to $29.3 million in the third quarter of Fiscal 2020. The decrease in demand across the oil and gas end markets has negatively impacted our orders rate and revenue. The increase in petrochemical revenues continues to be driven primarily by execution of previously booked orders from the petrochemical end markets and lower natural gas prices. Revenue from utility markets decreased by 37%, or $9.7 million, to $16.7 million and traction market revenue increased by 23%, or $1.7 million, to $9.1 million in the third quarter of Fiscal 2020, as the mix of our projects shifts across our global operating facilities. Revenue from all other markets combined decreased by $1.2 million to $17.1 million in the third quarter of Fiscal 2020.</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decreased by 10%, or $2.4 million, to $21.3 million, for the third quarter of Fiscal 2020 as a result of lower revenues. Gross profit as a percentage of revenues increased to 18% in the third quarter of Fiscal 2020, compared to 17% in the third quarter of Fiscal 2019 due to stronger margins in backlog as well as cost efficiencies, while absorbing the operational challenges resulting from COVID-19.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by 9%, or $1.6 million, to $15.5 million in the third quarter of Fiscal 2020, primarily due to decreased personnel costs. Additionally, travel related costs have temporarily declined as a result of COVID-19. Selling, general and administrative expenses, as a percentage of revenues, was 13% during the third quarter of Fiscal 2020 and Fiscal 2019, primarily due to our continued focus on our cost structure.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COVID-19 pandemic, reductions in oil and gas demand and volatility of commodity prices, we implemented workforce reductions across the business. As a result, we recorded $1.4 million of separation costs during the third quarter of Fiscal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Benefit/Provision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recorded an income tax benefit of $0.6 million in the third quarter of Fiscal 2020, compared to an income tax provision of $0.8 million in the third quarter of Fiscal 2019. The effective tax rate for the third quarter of Fiscal 2020 was negative 19%, compared to an effective tax rate of 14% in the third quarter of Fiscal 2019. For the three months ended June 30, 2020, the effective tax rate was favorably impacted by the tax benefits related to the Research and Development Tax Credit (R&amp;D Tax Credit) and the projected utilization of net operating loss carryforwards in Canada that were fully reserved with a valuation allowance. In addition, as a result of the expiration of certain U.S. federal statutes of limitations and the effective settlement of an Internal Revenue Service (IRS) audit, $1.7 million of reserves for unrecognized tax benefits related to these matters was released. These benefits were partially offset by losses recognized in various foreign jurisdictions that were reserved with a valuation allowance.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73"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For the third quarter of Fiscal 2019, the effective tax rate was favorably impacted by the relative amounts of income recognized in various foreign jurisdictions that were reserved with a valuation allowance.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Fiscal 2020, net income of $3.5 million, or $0.30 per diluted share, decreased from net income of $5.1 million, or $0.44 per diluted share, in the third quarter of Fiscal 2019, primarily due to a decline in revenues and gross profit resulting from lower orders caused by adverse market conditions as well as $1.4 million of separation costs. This was partially offset by the favorable impact from the reversal of the reserves for unrecognized tax benefits as a discrete item in the third quarter of Fiscal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order backlog at June 30, 2020 was $532.2 million, a decrease of 6% from $566.4 million at March 31, 2020 and a 31% increase over the $407.0 million backlog at June 30, 2019. The increase in backlog at June 30, 2020 is due in large part to the substantial contract awarded in the second quarter of Fiscal 2020 that will support the integrated electrical distribution requirements for a large domestic industrial complex. New orders decreased by 44% in the third quarter of Fiscal 2020 to $81.4 million, compared to $144.8 million in the third quarter of Fiscal 2019, primarily due to decreased demand from our customers in our core oil and gas markets.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2020 Compared to the Nine Months Ended June 30, 2019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increased by 10%, or $35.1 million, to $403.8 million in the nine months ended June 30, 2020. This increase is attributable to the first half of Fiscal 2020 revenues and is the result of the solid backlog at the beginning of Fiscal 2020 driven by the improved market conditions in our petrochemical and oil and gas markets beginning in late Fiscal 2018. Domestic revenues increased by 9%, or $27.4 million, to $318.2 million in the nine months ended June 30, 2020. International revenues increased by 10%, or $7.7 million, to $85.6 million in the nine months ended June 30, 2020, primarily driven by increased activity in our international operations and end markets. Our international revenues include both revenues generated from our international facilities as well as revenues from export projects generated at our domestic facilities.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our oil and gas markets decreased by 6%, or $10.2 million, to $157.8 million in the nine months ended June 30, 2020 while petrochemical revenue increased by 69%, or $43.7 million, to $107.1 million in the nine months ended June 30, 2020 driven by the previous strength across the core oil and gas and petrochemical end markets when these projects were awarded in Fiscal 2018 and 2019. Revenue from utility markets decreased by 3%, or $2.1 million, to $64.0 million and traction market revenue increased by 70%, or $13.0 million, to $31.4 million in the nine months ended June 30, 2020, primarily driven by our mix of projects. Revenue from all other markets combined decreased by $9.3 million to $43.5 million in the nine months ended June 30, 2020.</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by 25%, or $14.4 million, to $72.9 million, for the nine months ended June 30, 2020. Gross profit as a percentage of revenues increased to 18% in the nine months ended June 30, 2020, compared to 16% in the nine months ended June 30, 2019 due to strong margins in backlog as well as cost efficiencies and increased volume in our domestic and international manufacturing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2%, or $1.1 million, to $51.4 million in the nine months ended June 30, 2020, primarily due to increased variable incentive compensation associated with increased project volume and profitability. Selling, general and administrative expenses, as a percentage of revenues, decreased to 13% during the nine months ended June 30, 2020, compared to 14% during the nine months ended June 30, 2019, primarily due to the increase in revenues and our continued focus on our cost structure.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COVID-19 pandemic, reductions in oil and gas demand and volatility of commodity prices, we implemented workforce reductions across the business. As a result, we recorded $1.4 million of separation costs during the third quarter of Fiscal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provision of $2.1 million in the nine months ended June 30, 2020, compared to an income tax provision of $1.0 million in the nine months ended June 30, 2019. The effective tax rate for the nine months ended June 30, 2020 was 13%, compared to an effective tax rate of 22% for the nine months ended June 30, 2019. For the nine months ended June 30, 2020, the effective tax rate was favorably impacted by the current year estimated R&amp;D Tax Credit as well as the projected utilization of net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color w:val="auto"/>
        </w:rPr>
        <w:t>operating loss carryforwards in Canada that were fully reserved with a valuation allowance. Likewise, the discrete items recorded in the third quarter of Fiscal 2020 in the amount of $1.7 million associated with the release of reserves for unrecognized tax benefits as a result of the expiration of statutes of limitations and the IRS audit settlement favorably impacted the effective tax rate. The effective tax rate was negatively impacted by the discrete item recorded in the second quarter of Fiscal 2020 for the valuation allowance against our UK deferred tax assets in the amount of $0.5 million as well as by the losses recognized in various foreign jurisdictions that were reserved with a valuation allowance. For the nine months ended June 30, 2019, the effective tax rate of 22% approximated the U.S. federal statutory rate as the immaterial losses incurred by various foreign jurisdictions reserved with a valuation allowance had a minimal impact on the effective tax rate. The effective tax rate for the nine months ended June 30, 2019 approximated the U.S. federal statutory rate as the impact from foreign jurisdictions with losses reserved with a valuation allowance were insignificant.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nine months ended June 30, 2020, net income of $13.7 million, or $1.17 per diluted share, improved from net income of $3.4 million, or $0.29 per diluted share, in the nine months ended June 30, 2019 primarily from increased revenues and gross profit in the first half of Fiscal 2020 and from the favorable impact from the reversal of the reserves for unrecognized tax benefits as a discrete item which was partially offset by the separation costs in the third quarter of Fiscal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order backlog at June 30, 2020 was $532.2 million, a 27% increase from the $419.0 million at September 30, 2019. New orders increased by 1% during the nine months ended June 30, 2020 to $519.5 million, compared to $513.9 million in the nine months ended June 30, 2019. Backlog and orders benefited from a substantial contract awarded in the second quarter of Fiscal 2020 that will support the integrated electrical distribution requirements for a large domestic industrial complex.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significant portion of our revenues have historically been from the oil, gas and petrochemical markets. Oil and gas commodity price levels have been unstable over the last several years, and our customers delayed some of their major capital investment projects. Beginning in late Fiscal 2018, our customers' decisions to invest in projects in our key oil and gas and petrochemical markets were influenced somewhat by the stabilization of commodity prices and the increased global demand for cleaner burning fuels during that period of time. We believe that change in market sentiment during that period of time had a favorable impact on our orders and backlog entering Fiscal 2020, although we anticipate that recent declines in oil prices will negatively impact our business going forward, as discussed in more detail below. Specific to natural gas, the business was awarded a substantial contract in the second quarter of Fiscal 2020 that will support the integrated electrical distribution requirements for a large domestic industrial complex. This specific project will take over three years to design, manufacture, integrate, test and ship.</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The increased orders in Fiscal 2018 and 2019 have led to improvement in revenues and operating results for the first half of Fiscal 2020. We continue to monitor the factors that drive our markets and will continue to strive to maintain our leadership and competitive advantage in the markets we serve while aligning our cost structure and workforce with these changing market conditions.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spread of COVID-19 has created and continues to create significant uncertainty and economic disruption across the world during the second half of Fiscal 2020. This pandemic has negatively impacted energy demand, which in turn has resulted in considerable volatility across the oil and gas commodity markets. Certain of our customers have asked that we delay our manufacturing on their projects as their operations have been negatively impacted by this pandemic, the reduced oil and gas demand and the commodity price volatility.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90" w:lineRule="auto"/>
        <w:rPr>
          <w:sz w:val="20"/>
          <w:szCs w:val="20"/>
          <w:color w:val="auto"/>
        </w:rPr>
      </w:pPr>
      <w:r>
        <w:rPr>
          <w:rFonts w:ascii="Arial" w:cs="Arial" w:eastAsia="Arial" w:hAnsi="Arial"/>
          <w:sz w:val="16"/>
          <w:szCs w:val="16"/>
          <w:color w:val="auto"/>
        </w:rPr>
        <w:t>As a result of these circumstances, we anticipate that a decrease in commercial activity will negatively impact our business, results of operations and cash flows going forward. We have and may need to continue to adjust our workforce and labor costs to correspond to the reduced customer demand. We will take prudent measures to maintain our strong liquidity and cash position, which may include reducing our capital expenditures and research and development costs, as well as reducing or eliminating future dividend payments. However,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governmental orders; any closures of our offices and facilities or those of our suppliers as a result of the pandemic, and how quickly and to what extent normal economic and operating conditions can resume. Therefore, the magnitude of the impact on our business, results of operations and cash flows is not currently known.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current assets exceeded current liabilities by 2.1 times and our debt to total capitalization was 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cash equivalents and short-term investments increased to $163.4 million at June 30, 2020, compared to $124.7 million at September 30, 2019. This increase in cash was primarily driven by the timing of contract billing milestones related to our recent contract award for a large domestic industrial project. We believe that our strong working capital position, available borrowings under our credit facility (U.S. Revolver) and available cash should be sufficient to finance future operating activities, capital improvements, research and development initiatives and debt repayments for the foreseeable future.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U.S. Revolver is a $75.0 million revolving credit facility, which is available for both borrowings and letters of credit. As of June 30, 2020, there were no amounts borrowed under this facility, and letters of credit outstanding were $33.1 million. As of June 30, 2020, $41.9 million was available for the issuance of letters of credit and borrowing under the U.S. Revolver. Total long-term debt, including current maturities, totaled $0.8 million at June 30, 2020 related to outstanding industrial development revenue bonds. For further information regarding our debt, see Note E of Notes to Condensed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$23.7 million of our cash and cash equivalents at June 30, 2020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activities provided net cash of $53.4 million during the nine months ended June 30, 2020 and $33.9 million during the same period in Fiscal 2019. Cash flow from operations is primarily influenced by project volume, the timing of milestone payments from our customers and the payment terms with our suppliers. This increase in operating cash flow was primarily due to the timing of contract billing milestones related to our recent contract award for a large domestic industrial project.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Investing activities used $5.5 million during the nine months ended June 30, 2020 compared to $4.0 million provided during the same period in Fiscal 2019. The decrease in cash provided by investing activities in the first nine months of Fiscal 2020 was primarily due to short-term investment activity.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$10.1 million during the nine months ended June 30, 2020 and $10.5 million during the same period in Fiscal 2019, which primarily consisted of approximately $9.0 million of dividends paid in each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7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October 1, 2019, we adopted the new lease accounting standard which resulted in changes to our lease policy. See Note I of Notes to Condensed Consolidated Financial Statements for information on the new lease accounting guidance and related disclosures. There have been no other material changes to our critical accounting policies as disclosed in our Annual Report on Form 10-K for the year ended September 30, 2019.</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traction power. Occasionally, our customer may be an engineering, procurement and construction firm (EPC)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nine months ended June 30, 2020, our realized foreign exchange loss was less than $0.1 million and is included in selling, general and administrative expenses in the Condensed Consolidated Statements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$26.5 million as of June 30, 2020, an increase of $2.0 million compared to September 30, 2019. This increase in comprehensive loss was primarily a result of fluctuations in the currency exchange rates for the Canadian Dollar and British Pound Sterling as we remeasured the foreign operations of those divisions.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discussed below, there have been no material changes from the risk factors previously disclosed in the Company's Annual Report on Form 10-K for the fiscal year ended September 30, 2019 (the "Annual Report"), filed on December 5, 2019. Our business is subject to a variety of risks and uncertainties, including, but not limited to, the risks and uncertainties described in Part I, Item 1A, “Risk Factors” in the Annual Report. We previously disclosed in our Annual Report a risk factor with the heading, “</w:t>
      </w:r>
      <w:r>
        <w:rPr>
          <w:rFonts w:ascii="Arial" w:cs="Arial" w:eastAsia="Arial" w:hAnsi="Arial"/>
          <w:sz w:val="18"/>
          <w:szCs w:val="18"/>
          <w:i w:val="1"/>
          <w:iCs w:val="1"/>
          <w:color w:val="auto"/>
        </w:rPr>
        <w:t>Catastrophic events could disrupt our business.”</w:t>
      </w:r>
      <w:r>
        <w:rPr>
          <w:rFonts w:ascii="Arial" w:cs="Arial" w:eastAsia="Arial" w:hAnsi="Arial"/>
          <w:sz w:val="18"/>
          <w:szCs w:val="18"/>
          <w:color w:val="auto"/>
        </w:rPr>
        <w:t xml:space="preserve"> The following supplements and updates this risk factor previously disclosed in our Annual Report.</w:t>
      </w:r>
    </w:p>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Catastrophic events, including natural disasters, health epidemics (including the COVID-19 pandemic), acts of war and terrorism, among others, could disrupt our business.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occurrence of catastrophic events, </w:t>
      </w:r>
      <w:r>
        <w:rPr>
          <w:rFonts w:ascii="Arial" w:cs="Arial" w:eastAsia="Arial" w:hAnsi="Arial"/>
          <w:sz w:val="17"/>
          <w:szCs w:val="17"/>
          <w:color w:val="252525"/>
        </w:rPr>
        <w:t>ranging from natural disasters to health epidemics (including the COVID-19 pandemic), to acts of war and</w:t>
      </w:r>
      <w:r>
        <w:rPr>
          <w:rFonts w:ascii="Arial" w:cs="Arial" w:eastAsia="Arial" w:hAnsi="Arial"/>
          <w:sz w:val="17"/>
          <w:szCs w:val="17"/>
          <w:color w:val="auto"/>
        </w:rPr>
        <w:t xml:space="preserve"> </w:t>
      </w:r>
      <w:r>
        <w:rPr>
          <w:rFonts w:ascii="Arial" w:cs="Arial" w:eastAsia="Arial" w:hAnsi="Arial"/>
          <w:sz w:val="17"/>
          <w:szCs w:val="17"/>
          <w:color w:val="252525"/>
        </w:rPr>
        <w:t>terrorism, among others, could disrupt or delay our ability to operate our business and complete projects for our customers and could potentially expose us to third-party liability claims.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that could impact our project execution. These situations or other disruptions are outside of our control and may adversely impact our business and results of operations.</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52525"/>
        </w:rPr>
        <w:t xml:space="preserve">The spread of COVID-19 </w:t>
      </w:r>
      <w:r>
        <w:rPr>
          <w:rFonts w:ascii="Arial" w:cs="Arial" w:eastAsia="Arial" w:hAnsi="Arial"/>
          <w:sz w:val="17"/>
          <w:szCs w:val="17"/>
          <w:color w:val="000000"/>
        </w:rPr>
        <w:t>has created and continues to create significant uncertainty and economic disruption across the world during the second half of</w:t>
      </w:r>
      <w:r>
        <w:rPr>
          <w:rFonts w:ascii="Arial" w:cs="Arial" w:eastAsia="Arial" w:hAnsi="Arial"/>
          <w:sz w:val="17"/>
          <w:szCs w:val="17"/>
          <w:color w:val="252525"/>
        </w:rPr>
        <w:t xml:space="preserve"> </w:t>
      </w:r>
      <w:r>
        <w:rPr>
          <w:rFonts w:ascii="Arial" w:cs="Arial" w:eastAsia="Arial" w:hAnsi="Arial"/>
          <w:sz w:val="17"/>
          <w:szCs w:val="17"/>
          <w:color w:val="000000"/>
        </w:rPr>
        <w:t>Fiscal 2020. It is difficult to predict the economic impact that the COVID-19 pandemic may have on our business, results of operations and cash flows going forward. For example, certain of our customers have asked that we delay our manufacturing on their projects as their operations have been negatively impacted by this pandemic, the reduced oil and gas demand and commodity price volatility. These delays may have a negative effect on the timing of revenue recognition and cash flow. We have experienced supply disruptions and anticipate these supply disruptions may continue. Any delays in the supply of material or labor, could negatively impact our production schedule and delay the completion of certain projects.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orders; any closures of our offices and facilities or those of our suppliers as a result of the pandemic, and how quickly and to what extent normal economic and operating conditions can resume. Any of these factors, as well as other related business impacts resulting from COVID-19, could contribute to the risks and uncertainties described in our Annual Report. As a result, the magnitude of the impact on our business, results of operations and cash flows is not currently known.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920"/>
        <w:spacing w:after="0"/>
        <w:tabs>
          <w:tab w:leader="none" w:pos="1360" w:val="left"/>
          <w:tab w:leader="none" w:pos="1700" w:val="left"/>
        </w:tabs>
        <w:rPr>
          <w:rFonts w:ascii="Arial" w:cs="Arial" w:eastAsia="Arial" w:hAnsi="Arial"/>
          <w:sz w:val="17"/>
          <w:szCs w:val="17"/>
          <w:u w:val="single" w:color="auto"/>
          <w:color w:val="0000FF"/>
        </w:rPr>
      </w:pPr>
      <w:r>
        <w:rPr>
          <w:rFonts w:ascii="Arial" w:cs="Arial" w:eastAsia="Arial" w:hAnsi="Arial"/>
          <w:sz w:val="18"/>
          <w:szCs w:val="18"/>
          <w:color w:val="auto"/>
        </w:rPr>
        <w:t>3.1</w:t>
        <w:tab/>
        <w:t>—</w:t>
      </w:r>
      <w:r>
        <w:rPr>
          <w:sz w:val="20"/>
          <w:szCs w:val="20"/>
          <w:color w:val="auto"/>
        </w:rPr>
        <w:tab/>
      </w:r>
      <w:hyperlink r:id="rId22">
        <w:r>
          <w:rPr>
            <w:rFonts w:ascii="Arial" w:cs="Arial" w:eastAsia="Arial" w:hAnsi="Arial"/>
            <w:sz w:val="17"/>
            <w:szCs w:val="17"/>
            <w:u w:val="single" w:color="auto"/>
            <w:color w:val="0000FF"/>
          </w:rPr>
          <w:t>Certificate of Incorporation of Powell Industries, Inc. filed with the Secretary of State of the State of Delaware on February 11,</w:t>
        </w:r>
      </w:hyperlink>
    </w:p>
    <w:p>
      <w:pPr>
        <w:spacing w:after="0" w:line="37" w:lineRule="exact"/>
        <w:rPr>
          <w:sz w:val="20"/>
          <w:szCs w:val="20"/>
          <w:color w:val="auto"/>
        </w:rPr>
      </w:pPr>
    </w:p>
    <w:p>
      <w:pPr>
        <w:ind w:left="172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2004 (filed as Exhibit 3.1 to our Form 8-A/A filed November 1, 2004, and incorporated herein by reference)</w:t>
        </w:r>
        <w:r>
          <w:rPr>
            <w:rFonts w:ascii="Arial" w:cs="Arial" w:eastAsia="Arial" w:hAnsi="Arial"/>
            <w:sz w:val="18"/>
            <w:szCs w:val="18"/>
            <w:u w:val="single" w:color="auto"/>
            <w:color w:val="000000"/>
          </w:rPr>
          <w:t>.</w:t>
        </w:r>
      </w:hyperlink>
    </w:p>
    <w:p>
      <w:pPr>
        <w:spacing w:after="0" w:line="265" w:lineRule="exact"/>
        <w:rPr>
          <w:sz w:val="20"/>
          <w:szCs w:val="20"/>
          <w:color w:val="auto"/>
        </w:rPr>
      </w:pPr>
    </w:p>
    <w:p>
      <w:pPr>
        <w:ind w:left="1380" w:hanging="804"/>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23">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FF"/>
          </w:rPr>
          <w:t>incorporated herein by reference).</w:t>
        </w:r>
      </w:hyperlink>
    </w:p>
    <w:p>
      <w:pPr>
        <w:spacing w:after="0" w:line="224" w:lineRule="exact"/>
        <w:rPr>
          <w:sz w:val="20"/>
          <w:szCs w:val="20"/>
          <w:color w:val="auto"/>
        </w:rPr>
      </w:pPr>
    </w:p>
    <w:p>
      <w:pPr>
        <w:ind w:left="740"/>
        <w:spacing w:after="0"/>
        <w:tabs>
          <w:tab w:leader="none" w:pos="1360" w:val="left"/>
          <w:tab w:leader="none" w:pos="170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34">
        <w:r>
          <w:rPr>
            <w:rFonts w:ascii="Arial" w:cs="Arial" w:eastAsia="Arial" w:hAnsi="Arial"/>
            <w:sz w:val="16"/>
            <w:szCs w:val="16"/>
            <w:u w:val="single" w:color="auto"/>
            <w:color w:val="0000FF"/>
          </w:rPr>
          <w:t>Certification of Chief Executive Officer pursuant to Rule 13a-14(a)/15d-14(a).</w:t>
        </w:r>
      </w:hyperlink>
    </w:p>
    <w:p>
      <w:pPr>
        <w:spacing w:after="0" w:line="279" w:lineRule="exact"/>
        <w:rPr>
          <w:sz w:val="20"/>
          <w:szCs w:val="20"/>
          <w:color w:val="auto"/>
        </w:rPr>
      </w:pPr>
    </w:p>
    <w:p>
      <w:pPr>
        <w:ind w:left="740"/>
        <w:spacing w:after="0"/>
        <w:tabs>
          <w:tab w:leader="none" w:pos="1360" w:val="left"/>
          <w:tab w:leader="none" w:pos="170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35">
        <w:r>
          <w:rPr>
            <w:rFonts w:ascii="Arial" w:cs="Arial" w:eastAsia="Arial" w:hAnsi="Arial"/>
            <w:sz w:val="16"/>
            <w:szCs w:val="16"/>
            <w:u w:val="single" w:color="auto"/>
            <w:color w:val="0000FF"/>
          </w:rPr>
          <w:t>Certification of Chief Financial Officer pursuant to Rule 13a-14(a)/15d-14(a)</w:t>
        </w:r>
        <w:r>
          <w:rPr>
            <w:rFonts w:ascii="Arial" w:cs="Arial" w:eastAsia="Arial" w:hAnsi="Arial"/>
            <w:sz w:val="16"/>
            <w:szCs w:val="16"/>
            <w:color w:val="0000FF"/>
          </w:rPr>
          <w:t>.</w:t>
        </w:r>
      </w:hyperlink>
    </w:p>
    <w:p>
      <w:pPr>
        <w:spacing w:after="0" w:line="279" w:lineRule="exact"/>
        <w:rPr>
          <w:sz w:val="20"/>
          <w:szCs w:val="20"/>
          <w:color w:val="auto"/>
        </w:rPr>
      </w:pPr>
    </w:p>
    <w:p>
      <w:pPr>
        <w:ind w:left="1380" w:right="20" w:hanging="1074"/>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36">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36">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1380" w:hanging="1074"/>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37">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37">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440"/>
        <w:spacing w:after="0"/>
        <w:tabs>
          <w:tab w:leader="none" w:pos="1360" w:val="left"/>
          <w:tab w:leader="none" w:pos="170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Inline XBRL Instance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Inline XBRL Taxonomy Extension Schema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Inline XBRL Taxonomy Extension Calculation Linkbase Document</w:t>
      </w:r>
    </w:p>
    <w:p>
      <w:pPr>
        <w:spacing w:after="0" w:line="279" w:lineRule="exact"/>
        <w:rPr>
          <w:sz w:val="20"/>
          <w:szCs w:val="20"/>
          <w:color w:val="auto"/>
        </w:rPr>
      </w:pPr>
    </w:p>
    <w:p>
      <w:pPr>
        <w:ind w:left="400"/>
        <w:spacing w:after="0"/>
        <w:tabs>
          <w:tab w:leader="none" w:pos="1360" w:val="left"/>
          <w:tab w:leader="none" w:pos="170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Inline XBRL Taxonomy Extension Definition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Inline XBRL Taxonomy Extension Label Linkbase Document</w:t>
      </w:r>
    </w:p>
    <w:p>
      <w:pPr>
        <w:spacing w:after="0" w:line="279" w:lineRule="exact"/>
        <w:rPr>
          <w:sz w:val="20"/>
          <w:szCs w:val="20"/>
          <w:color w:val="auto"/>
        </w:rPr>
      </w:pPr>
    </w:p>
    <w:p>
      <w:pPr>
        <w:ind w:left="400"/>
        <w:spacing w:after="0"/>
        <w:tabs>
          <w:tab w:leader="none" w:pos="1360" w:val="left"/>
          <w:tab w:leader="none" w:pos="170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Inline XBRL Taxonomy Extension Presentation Linkbase Document</w:t>
      </w:r>
    </w:p>
    <w:p>
      <w:pPr>
        <w:spacing w:after="0" w:line="306" w:lineRule="exact"/>
        <w:rPr>
          <w:sz w:val="20"/>
          <w:szCs w:val="20"/>
          <w:color w:val="auto"/>
        </w:rPr>
      </w:pPr>
    </w:p>
    <w:p>
      <w:pPr>
        <w:ind w:left="780"/>
        <w:spacing w:after="0"/>
        <w:tabs>
          <w:tab w:leader="none" w:pos="1360" w:val="left"/>
          <w:tab w:leader="none" w:pos="1700" w:val="left"/>
        </w:tabs>
        <w:rPr>
          <w:sz w:val="20"/>
          <w:szCs w:val="20"/>
          <w:color w:val="auto"/>
        </w:rPr>
      </w:pPr>
      <w:r>
        <w:rPr>
          <w:rFonts w:ascii="Arial" w:cs="Arial" w:eastAsia="Arial" w:hAnsi="Arial"/>
          <w:sz w:val="18"/>
          <w:szCs w:val="18"/>
          <w:color w:val="auto"/>
        </w:rPr>
        <w:t>*104</w:t>
        <w:tab/>
        <w:t>—</w:t>
      </w:r>
      <w:r>
        <w:rPr>
          <w:sz w:val="20"/>
          <w:szCs w:val="20"/>
          <w:color w:val="auto"/>
        </w:rPr>
        <w:tab/>
      </w:r>
      <w:r>
        <w:rPr>
          <w:rFonts w:ascii="Arial" w:cs="Arial" w:eastAsia="Arial" w:hAnsi="Arial"/>
          <w:sz w:val="16"/>
          <w:szCs w:val="16"/>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071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553"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780" w:type="dxa"/>
            <w:vAlign w:val="bottom"/>
            <w:gridSpan w:val="2"/>
          </w:tcPr>
          <w:p>
            <w:pPr>
              <w:ind w:left="1860"/>
              <w:spacing w:after="0"/>
              <w:rPr>
                <w:sz w:val="20"/>
                <w:szCs w:val="20"/>
                <w:color w:val="auto"/>
              </w:rPr>
            </w:pPr>
            <w:r>
              <w:rPr>
                <w:rFonts w:ascii="Arial" w:cs="Arial" w:eastAsia="Arial" w:hAnsi="Arial"/>
                <w:sz w:val="18"/>
                <w:szCs w:val="18"/>
                <w:color w:val="auto"/>
              </w:rPr>
              <w:t>POWELL INDUSTRIES, INC.</w:t>
            </w:r>
          </w:p>
        </w:tc>
      </w:tr>
      <w:tr>
        <w:trPr>
          <w:trHeight w:val="270"/>
        </w:trPr>
        <w:tc>
          <w:tcPr>
            <w:tcW w:w="3420" w:type="dxa"/>
            <w:vAlign w:val="bottom"/>
          </w:tcPr>
          <w:p>
            <w:pPr>
              <w:spacing w:after="0"/>
              <w:rPr>
                <w:sz w:val="23"/>
                <w:szCs w:val="23"/>
                <w:color w:val="auto"/>
              </w:rPr>
            </w:pPr>
          </w:p>
        </w:tc>
        <w:tc>
          <w:tcPr>
            <w:tcW w:w="7780" w:type="dxa"/>
            <w:vAlign w:val="bottom"/>
            <w:gridSpan w:val="2"/>
          </w:tcPr>
          <w:p>
            <w:pPr>
              <w:ind w:left="1860"/>
              <w:spacing w:after="0"/>
              <w:rPr>
                <w:sz w:val="20"/>
                <w:szCs w:val="20"/>
                <w:color w:val="auto"/>
              </w:rPr>
            </w:pPr>
            <w:r>
              <w:rPr>
                <w:rFonts w:ascii="Arial" w:cs="Arial" w:eastAsia="Arial" w:hAnsi="Arial"/>
                <w:sz w:val="18"/>
                <w:szCs w:val="18"/>
                <w:color w:val="auto"/>
              </w:rPr>
              <w:t>(Registrant)</w:t>
            </w:r>
          </w:p>
        </w:tc>
      </w:tr>
      <w:tr>
        <w:trPr>
          <w:trHeight w:val="540"/>
        </w:trPr>
        <w:tc>
          <w:tcPr>
            <w:tcW w:w="3420" w:type="dxa"/>
            <w:vAlign w:val="bottom"/>
          </w:tcPr>
          <w:p>
            <w:pPr>
              <w:spacing w:after="0"/>
              <w:rPr>
                <w:sz w:val="20"/>
                <w:szCs w:val="20"/>
                <w:color w:val="auto"/>
              </w:rPr>
            </w:pPr>
            <w:r>
              <w:rPr>
                <w:rFonts w:ascii="Arial" w:cs="Arial" w:eastAsia="Arial" w:hAnsi="Arial"/>
                <w:sz w:val="18"/>
                <w:szCs w:val="18"/>
                <w:color w:val="auto"/>
              </w:rPr>
              <w:t>Date: August 5, 2020</w:t>
            </w: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/s/ Brett A. Cope</w:t>
            </w:r>
          </w:p>
        </w:tc>
      </w:tr>
      <w:tr>
        <w:trPr>
          <w:trHeight w:val="27"/>
        </w:trPr>
        <w:tc>
          <w:tcPr>
            <w:tcW w:w="3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Brett A. Cope</w:t>
            </w:r>
          </w:p>
        </w:tc>
      </w:tr>
      <w:tr>
        <w:trPr>
          <w:trHeight w:val="270"/>
        </w:trPr>
        <w:tc>
          <w:tcPr>
            <w:tcW w:w="34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420" w:type="dxa"/>
            <w:vAlign w:val="bottom"/>
          </w:tcPr>
          <w:p>
            <w:pPr>
              <w:spacing w:after="0"/>
              <w:rPr>
                <w:sz w:val="20"/>
                <w:szCs w:val="20"/>
                <w:color w:val="auto"/>
              </w:rPr>
            </w:pPr>
            <w:r>
              <w:rPr>
                <w:rFonts w:ascii="Arial" w:cs="Arial" w:eastAsia="Arial" w:hAnsi="Arial"/>
                <w:sz w:val="18"/>
                <w:szCs w:val="18"/>
                <w:color w:val="auto"/>
              </w:rPr>
              <w:t>Date: August 5, 2020</w:t>
            </w: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/s/ Michael W. Metcalf</w:t>
            </w:r>
          </w:p>
        </w:tc>
      </w:tr>
      <w:tr>
        <w:trPr>
          <w:trHeight w:val="27"/>
        </w:trPr>
        <w:tc>
          <w:tcPr>
            <w:tcW w:w="3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Michael W. Metcalf</w:t>
            </w:r>
          </w:p>
        </w:tc>
      </w:tr>
      <w:tr>
        <w:trPr>
          <w:trHeight w:val="270"/>
        </w:trPr>
        <w:tc>
          <w:tcPr>
            <w:tcW w:w="34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70"/>
        </w:trPr>
        <w:tc>
          <w:tcPr>
            <w:tcW w:w="34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34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3420" w:type="dxa"/>
            <w:vAlign w:val="bottom"/>
          </w:tcPr>
          <w:p>
            <w:pPr>
              <w:spacing w:after="0"/>
              <w:rPr>
                <w:sz w:val="24"/>
                <w:szCs w:val="24"/>
                <w:color w:val="auto"/>
              </w:rPr>
            </w:pPr>
          </w:p>
        </w:tc>
        <w:tc>
          <w:tcPr>
            <w:tcW w:w="2620" w:type="dxa"/>
            <w:vAlign w:val="bottom"/>
          </w:tcPr>
          <w:p>
            <w:pPr>
              <w:ind w:left="2080"/>
              <w:spacing w:after="0"/>
              <w:rPr>
                <w:sz w:val="20"/>
                <w:szCs w:val="20"/>
                <w:color w:val="auto"/>
              </w:rPr>
            </w:pPr>
            <w:r>
              <w:rPr>
                <w:rFonts w:ascii="Arial" w:cs="Arial" w:eastAsia="Arial" w:hAnsi="Arial"/>
                <w:sz w:val="18"/>
                <w:szCs w:val="18"/>
                <w:color w:val="auto"/>
              </w:rPr>
              <w:t>33</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300" w:right="4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300" w:right="180" w:hanging="320"/>
        <w:spacing w:after="0" w:line="27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120" w:hanging="320"/>
        <w:spacing w:after="0" w:line="27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2020</w:t>
      </w:r>
    </w:p>
    <w:p>
      <w:pPr>
        <w:sectPr>
          <w:pgSz w:w="11900" w:h="16838" w:orient="portrait"/>
          <w:cols w:equalWidth="0" w:num="1">
            <w:col w:w="11240"/>
          </w:cols>
          <w:pgMar w:left="320" w:top="55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300" w:right="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300" w:right="18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12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2020</w:t>
      </w:r>
    </w:p>
    <w:p>
      <w:pPr>
        <w:sectPr>
          <w:pgSz w:w="11900" w:h="16838" w:orient="portrait"/>
          <w:cols w:equalWidth="0" w:num="1">
            <w:col w:w="11240"/>
          </w:cols>
          <w:pgMar w:left="320" w:top="55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2020,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2020</w:t>
      </w:r>
    </w:p>
    <w:p>
      <w:pPr>
        <w:sectPr>
          <w:pgSz w:w="11900" w:h="16838" w:orient="portrait"/>
          <w:cols w:equalWidth="0" w:num="1">
            <w:col w:w="11240"/>
          </w:cols>
          <w:pgMar w:left="320" w:top="55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June 30, 2020,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60"/>
        <w:spacing w:after="0"/>
        <w:rPr>
          <w:sz w:val="20"/>
          <w:szCs w:val="20"/>
          <w:color w:val="auto"/>
        </w:rPr>
      </w:pPr>
      <w:r>
        <w:rPr>
          <w:rFonts w:ascii="Arial" w:cs="Arial" w:eastAsia="Arial" w:hAnsi="Arial"/>
          <w:sz w:val="16"/>
          <w:szCs w:val="16"/>
          <w:u w:val="single" w:color="auto"/>
          <w:color w:val="auto"/>
        </w:rPr>
        <w:t>/s/ Michael W. Metcalf</w:t>
      </w:r>
    </w:p>
    <w:p>
      <w:pPr>
        <w:spacing w:after="0" w:line="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Michael W. Metcalf</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2020</w:t>
      </w:r>
    </w:p>
    <w:sectPr>
      <w:pgSz w:w="11900" w:h="16838" w:orient="portrait"/>
      <w:cols w:equalWidth="0" w:num="1">
        <w:col w:w="11240"/>
      </w:cols>
      <w:pgMar w:left="320" w:top="5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2" Type="http://schemas.openxmlformats.org/officeDocument/2006/relationships/hyperlink" Target="http://www.sec.gov/Archives/edgar/data/80420/000008042004000044/exhibit3_1.htm" TargetMode="External"/><Relationship Id="rId23" Type="http://schemas.openxmlformats.org/officeDocument/2006/relationships/hyperlink" Target="http://www.sec.gov/Archives/edgar/data/80420/000119312512421889/d4243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2020-08-05T13:19:29Z</dcterms:created>
  <dcterms:modified xsi:type="dcterms:W3CDTF">2020-08-05T13:19:29Z</dcterms:modified>
</cp:coreProperties>
</file>