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319405</wp:posOffset>
            </wp:positionH>
            <wp:positionV relativeFrom="page">
              <wp:posOffset>852170</wp:posOffset>
            </wp:positionV>
            <wp:extent cx="69094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page">
              <wp:posOffset>319405</wp:posOffset>
            </wp:positionH>
            <wp:positionV relativeFrom="page">
              <wp:posOffset>877570</wp:posOffset>
            </wp:positionV>
            <wp:extent cx="69094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78740</wp:posOffset>
            </wp:positionV>
            <wp:extent cx="2091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22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100965</wp:posOffset>
            </wp:positionV>
            <wp:extent cx="20916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720" w:right="20" w:hanging="694"/>
        <w:spacing w:after="0" w:line="235"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720" w:right="20" w:hanging="694"/>
        <w:spacing w:after="0" w:line="235"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For the transition period from to</w:t>
      </w:r>
    </w:p>
    <w:p>
      <w:pPr>
        <w:spacing w:after="0" w:line="171"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94615</wp:posOffset>
            </wp:positionV>
            <wp:extent cx="20916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Powell Industries,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21590</wp:posOffset>
            </wp:positionV>
            <wp:extent cx="2091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80" w:lineRule="exact"/>
        <w:rPr>
          <w:sz w:val="24"/>
          <w:szCs w:val="24"/>
          <w:color w:val="auto"/>
        </w:rPr>
      </w:pPr>
    </w:p>
    <w:tbl>
      <w:tblPr>
        <w:tblLayout w:type="fixed"/>
        <w:tblInd w:w="1540" w:type="dxa"/>
        <w:tblCellMar>
          <w:top w:w="0" w:type="dxa"/>
          <w:left w:w="0" w:type="dxa"/>
          <w:bottom w:w="0" w:type="dxa"/>
          <w:right w:w="0" w:type="dxa"/>
        </w:tblCellMar>
      </w:tblPr>
      <w:tr>
        <w:trPr>
          <w:trHeight w:val="234"/>
        </w:trPr>
        <w:tc>
          <w:tcPr>
            <w:tcW w:w="6240" w:type="dxa"/>
            <w:vAlign w:val="bottom"/>
            <w:gridSpan w:val="3"/>
          </w:tcPr>
          <w:p>
            <w:pPr>
              <w:jc w:val="center"/>
              <w:ind w:right="3840"/>
              <w:spacing w:after="0"/>
              <w:rPr>
                <w:sz w:val="20"/>
                <w:szCs w:val="20"/>
                <w:color w:val="auto"/>
              </w:rPr>
            </w:pPr>
            <w:r>
              <w:rPr>
                <w:rFonts w:ascii="Arial" w:cs="Arial" w:eastAsia="Arial" w:hAnsi="Arial"/>
                <w:sz w:val="18"/>
                <w:szCs w:val="18"/>
                <w:b w:val="1"/>
                <w:bCs w:val="1"/>
                <w:color w:val="auto"/>
                <w:w w:val="91"/>
              </w:rPr>
              <w:t>Delaware</w:t>
            </w:r>
          </w:p>
        </w:tc>
        <w:tc>
          <w:tcPr>
            <w:tcW w:w="1300" w:type="dxa"/>
            <w:vAlign w:val="bottom"/>
          </w:tcPr>
          <w:p>
            <w:pPr>
              <w:jc w:val="center"/>
              <w:ind w:left="81"/>
              <w:spacing w:after="0"/>
              <w:rPr>
                <w:sz w:val="20"/>
                <w:szCs w:val="20"/>
                <w:color w:val="auto"/>
              </w:rPr>
            </w:pPr>
            <w:r>
              <w:rPr>
                <w:rFonts w:ascii="Arial" w:cs="Arial" w:eastAsia="Arial" w:hAnsi="Arial"/>
                <w:sz w:val="18"/>
                <w:szCs w:val="18"/>
                <w:b w:val="1"/>
                <w:bCs w:val="1"/>
                <w:color w:val="auto"/>
                <w:w w:val="89"/>
              </w:rPr>
              <w:t>88-0106100</w:t>
            </w:r>
          </w:p>
        </w:tc>
      </w:tr>
      <w:tr>
        <w:trPr>
          <w:trHeight w:val="193"/>
        </w:trPr>
        <w:tc>
          <w:tcPr>
            <w:tcW w:w="6240" w:type="dxa"/>
            <w:vAlign w:val="bottom"/>
            <w:gridSpan w:val="3"/>
          </w:tcPr>
          <w:p>
            <w:pPr>
              <w:jc w:val="center"/>
              <w:ind w:right="3840"/>
              <w:spacing w:after="0"/>
              <w:rPr>
                <w:sz w:val="20"/>
                <w:szCs w:val="20"/>
                <w:color w:val="auto"/>
              </w:rPr>
            </w:pPr>
            <w:r>
              <w:rPr>
                <w:rFonts w:ascii="Arial" w:cs="Arial" w:eastAsia="Arial" w:hAnsi="Arial"/>
                <w:sz w:val="14"/>
                <w:szCs w:val="14"/>
                <w:b w:val="1"/>
                <w:bCs w:val="1"/>
                <w:color w:val="auto"/>
                <w:w w:val="93"/>
              </w:rPr>
              <w:t>(State or other jurisdiction of</w:t>
            </w:r>
          </w:p>
        </w:tc>
        <w:tc>
          <w:tcPr>
            <w:tcW w:w="1300" w:type="dxa"/>
            <w:vAlign w:val="bottom"/>
          </w:tcPr>
          <w:p>
            <w:pPr>
              <w:jc w:val="center"/>
              <w:ind w:left="10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240" w:type="dxa"/>
            <w:vAlign w:val="bottom"/>
            <w:gridSpan w:val="3"/>
          </w:tcPr>
          <w:p>
            <w:pPr>
              <w:jc w:val="center"/>
              <w:ind w:right="3840"/>
              <w:spacing w:after="0"/>
              <w:rPr>
                <w:sz w:val="20"/>
                <w:szCs w:val="20"/>
                <w:color w:val="auto"/>
              </w:rPr>
            </w:pPr>
            <w:r>
              <w:rPr>
                <w:rFonts w:ascii="Arial" w:cs="Arial" w:eastAsia="Arial" w:hAnsi="Arial"/>
                <w:sz w:val="14"/>
                <w:szCs w:val="14"/>
                <w:b w:val="1"/>
                <w:bCs w:val="1"/>
                <w:color w:val="auto"/>
                <w:w w:val="94"/>
              </w:rPr>
              <w:t>incorporation or organization)</w:t>
            </w:r>
          </w:p>
        </w:tc>
        <w:tc>
          <w:tcPr>
            <w:tcW w:w="130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Identification No.)</w:t>
            </w:r>
          </w:p>
        </w:tc>
      </w:tr>
      <w:tr>
        <w:trPr>
          <w:trHeight w:val="250"/>
        </w:trPr>
        <w:tc>
          <w:tcPr>
            <w:tcW w:w="6240" w:type="dxa"/>
            <w:vAlign w:val="bottom"/>
            <w:gridSpan w:val="3"/>
          </w:tcPr>
          <w:p>
            <w:pPr>
              <w:jc w:val="center"/>
              <w:ind w:right="3860"/>
              <w:spacing w:after="0"/>
              <w:rPr>
                <w:sz w:val="20"/>
                <w:szCs w:val="20"/>
                <w:color w:val="auto"/>
              </w:rPr>
            </w:pPr>
            <w:r>
              <w:rPr>
                <w:rFonts w:ascii="Arial" w:cs="Arial" w:eastAsia="Arial" w:hAnsi="Arial"/>
                <w:sz w:val="18"/>
                <w:szCs w:val="18"/>
                <w:b w:val="1"/>
                <w:bCs w:val="1"/>
                <w:color w:val="auto"/>
                <w:w w:val="90"/>
              </w:rPr>
              <w:t>8550 Mosley Road</w:t>
            </w:r>
          </w:p>
        </w:tc>
        <w:tc>
          <w:tcPr>
            <w:tcW w:w="1300" w:type="dxa"/>
            <w:vAlign w:val="bottom"/>
          </w:tcPr>
          <w:p>
            <w:pPr>
              <w:spacing w:after="0"/>
              <w:rPr>
                <w:sz w:val="21"/>
                <w:szCs w:val="21"/>
                <w:color w:val="auto"/>
              </w:rPr>
            </w:pPr>
          </w:p>
        </w:tc>
      </w:tr>
      <w:tr>
        <w:trPr>
          <w:trHeight w:val="230"/>
        </w:trPr>
        <w:tc>
          <w:tcPr>
            <w:tcW w:w="6240" w:type="dxa"/>
            <w:vAlign w:val="bottom"/>
            <w:gridSpan w:val="3"/>
          </w:tcPr>
          <w:p>
            <w:pPr>
              <w:jc w:val="center"/>
              <w:ind w:right="3860"/>
              <w:spacing w:after="0"/>
              <w:rPr>
                <w:sz w:val="20"/>
                <w:szCs w:val="20"/>
                <w:color w:val="auto"/>
              </w:rPr>
            </w:pPr>
            <w:r>
              <w:rPr>
                <w:rFonts w:ascii="Arial" w:cs="Arial" w:eastAsia="Arial" w:hAnsi="Arial"/>
                <w:sz w:val="18"/>
                <w:szCs w:val="18"/>
                <w:b w:val="1"/>
                <w:bCs w:val="1"/>
                <w:color w:val="auto"/>
                <w:w w:val="90"/>
              </w:rPr>
              <w:t>Houston</w:t>
            </w:r>
          </w:p>
        </w:tc>
        <w:tc>
          <w:tcPr>
            <w:tcW w:w="1300" w:type="dxa"/>
            <w:vAlign w:val="bottom"/>
          </w:tcPr>
          <w:p>
            <w:pPr>
              <w:spacing w:after="0"/>
              <w:rPr>
                <w:sz w:val="19"/>
                <w:szCs w:val="19"/>
                <w:color w:val="auto"/>
              </w:rPr>
            </w:pPr>
          </w:p>
        </w:tc>
      </w:tr>
      <w:tr>
        <w:trPr>
          <w:trHeight w:val="234"/>
        </w:trPr>
        <w:tc>
          <w:tcPr>
            <w:tcW w:w="6240" w:type="dxa"/>
            <w:vAlign w:val="bottom"/>
            <w:gridSpan w:val="3"/>
          </w:tcPr>
          <w:p>
            <w:pPr>
              <w:jc w:val="center"/>
              <w:ind w:right="3840"/>
              <w:spacing w:after="0"/>
              <w:rPr>
                <w:sz w:val="20"/>
                <w:szCs w:val="20"/>
                <w:color w:val="auto"/>
              </w:rPr>
            </w:pPr>
            <w:r>
              <w:rPr>
                <w:rFonts w:ascii="Arial" w:cs="Arial" w:eastAsia="Arial" w:hAnsi="Arial"/>
                <w:sz w:val="18"/>
                <w:szCs w:val="18"/>
                <w:b w:val="1"/>
                <w:bCs w:val="1"/>
                <w:color w:val="auto"/>
                <w:w w:val="86"/>
              </w:rPr>
              <w:t>Texas</w:t>
            </w:r>
          </w:p>
        </w:tc>
        <w:tc>
          <w:tcPr>
            <w:tcW w:w="1300" w:type="dxa"/>
            <w:vAlign w:val="bottom"/>
          </w:tcPr>
          <w:p>
            <w:pPr>
              <w:jc w:val="center"/>
              <w:ind w:left="81"/>
              <w:spacing w:after="0"/>
              <w:rPr>
                <w:sz w:val="20"/>
                <w:szCs w:val="20"/>
                <w:color w:val="auto"/>
              </w:rPr>
            </w:pPr>
            <w:r>
              <w:rPr>
                <w:rFonts w:ascii="Arial" w:cs="Arial" w:eastAsia="Arial" w:hAnsi="Arial"/>
                <w:sz w:val="18"/>
                <w:szCs w:val="18"/>
                <w:b w:val="1"/>
                <w:bCs w:val="1"/>
                <w:color w:val="auto"/>
                <w:w w:val="89"/>
              </w:rPr>
              <w:t>77075-1180</w:t>
            </w:r>
          </w:p>
        </w:tc>
      </w:tr>
      <w:tr>
        <w:trPr>
          <w:trHeight w:val="190"/>
        </w:trPr>
        <w:tc>
          <w:tcPr>
            <w:tcW w:w="6240" w:type="dxa"/>
            <w:vAlign w:val="bottom"/>
            <w:gridSpan w:val="3"/>
          </w:tcPr>
          <w:p>
            <w:pPr>
              <w:jc w:val="center"/>
              <w:ind w:right="38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00" w:type="dxa"/>
            <w:vAlign w:val="bottom"/>
          </w:tcPr>
          <w:p>
            <w:pPr>
              <w:jc w:val="center"/>
              <w:ind w:left="81"/>
              <w:spacing w:after="0"/>
              <w:rPr>
                <w:sz w:val="20"/>
                <w:szCs w:val="20"/>
                <w:color w:val="auto"/>
              </w:rPr>
            </w:pPr>
            <w:r>
              <w:rPr>
                <w:rFonts w:ascii="Arial" w:cs="Arial" w:eastAsia="Arial" w:hAnsi="Arial"/>
                <w:sz w:val="14"/>
                <w:szCs w:val="14"/>
                <w:b w:val="1"/>
                <w:bCs w:val="1"/>
                <w:color w:val="auto"/>
                <w:w w:val="95"/>
              </w:rPr>
              <w:t>(Zip Code)</w:t>
            </w:r>
          </w:p>
        </w:tc>
      </w:tr>
      <w:tr>
        <w:trPr>
          <w:trHeight w:val="372"/>
        </w:trPr>
        <w:tc>
          <w:tcPr>
            <w:tcW w:w="6240" w:type="dxa"/>
            <w:vAlign w:val="bottom"/>
            <w:gridSpan w:val="3"/>
          </w:tcPr>
          <w:p>
            <w:pPr>
              <w:jc w:val="center"/>
              <w:ind w:left="1836"/>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300" w:type="dxa"/>
            <w:vAlign w:val="bottom"/>
          </w:tcPr>
          <w:p>
            <w:pPr>
              <w:spacing w:after="0"/>
              <w:rPr>
                <w:sz w:val="24"/>
                <w:szCs w:val="24"/>
                <w:color w:val="auto"/>
              </w:rPr>
            </w:pPr>
          </w:p>
        </w:tc>
      </w:tr>
      <w:tr>
        <w:trPr>
          <w:trHeight w:val="234"/>
        </w:trPr>
        <w:tc>
          <w:tcPr>
            <w:tcW w:w="5740" w:type="dxa"/>
            <w:vAlign w:val="bottom"/>
            <w:gridSpan w:val="2"/>
          </w:tcPr>
          <w:p>
            <w:pPr>
              <w:jc w:val="right"/>
              <w:ind w:right="1100"/>
              <w:spacing w:after="0"/>
              <w:rPr>
                <w:sz w:val="20"/>
                <w:szCs w:val="20"/>
                <w:color w:val="auto"/>
              </w:rPr>
            </w:pPr>
            <w:r>
              <w:rPr>
                <w:rFonts w:ascii="Arial" w:cs="Arial" w:eastAsia="Arial" w:hAnsi="Arial"/>
                <w:sz w:val="18"/>
                <w:szCs w:val="18"/>
                <w:b w:val="1"/>
                <w:bCs w:val="1"/>
                <w:color w:val="auto"/>
              </w:rPr>
              <w:t>(713) 944-6900</w:t>
            </w:r>
          </w:p>
        </w:tc>
        <w:tc>
          <w:tcPr>
            <w:tcW w:w="5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2420" w:type="dxa"/>
            <w:vAlign w:val="bottom"/>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bl>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4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2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w:t>
            </w:r>
          </w:p>
        </w:tc>
        <w:tc>
          <w:tcPr>
            <w:tcW w:w="340" w:type="dxa"/>
            <w:vAlign w:val="bottom"/>
          </w:tcPr>
          <w:p>
            <w:pPr>
              <w:spacing w:after="0"/>
              <w:rPr>
                <w:sz w:val="24"/>
                <w:szCs w:val="24"/>
                <w:color w:val="auto"/>
              </w:rPr>
            </w:pP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0" w:type="dxa"/>
            <w:vAlign w:val="bottom"/>
          </w:tcPr>
          <w:p>
            <w:pPr>
              <w:spacing w:after="0"/>
              <w:rPr>
                <w:sz w:val="19"/>
                <w:szCs w:val="19"/>
                <w:color w:val="auto"/>
              </w:rPr>
            </w:pPr>
          </w:p>
        </w:tc>
        <w:tc>
          <w:tcPr>
            <w:tcW w:w="446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3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8"/>
              </w:rPr>
              <w:t>POWL</w:t>
            </w:r>
          </w:p>
        </w:tc>
        <w:tc>
          <w:tcPr>
            <w:tcW w:w="34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5"/>
              </w:rPr>
              <w:t>NASDAQ Global Market</w:t>
            </w:r>
          </w:p>
        </w:tc>
      </w:tr>
    </w:tbl>
    <w:p>
      <w:pPr>
        <w:spacing w:after="0" w:line="160" w:lineRule="exact"/>
        <w:rPr>
          <w:sz w:val="24"/>
          <w:szCs w:val="24"/>
          <w:color w:val="auto"/>
        </w:rPr>
      </w:pPr>
    </w:p>
    <w:p>
      <w:pPr>
        <w:jc w:val="both"/>
        <w:ind w:firstLine="486"/>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2" w:lineRule="exact"/>
        <w:rPr>
          <w:sz w:val="24"/>
          <w:szCs w:val="24"/>
          <w:color w:val="auto"/>
        </w:rPr>
      </w:pPr>
    </w:p>
    <w:p>
      <w:pPr>
        <w:jc w:val="both"/>
        <w:ind w:firstLine="486"/>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22" w:lineRule="exact"/>
        <w:rPr>
          <w:sz w:val="24"/>
          <w:szCs w:val="24"/>
          <w:color w:val="auto"/>
        </w:rPr>
      </w:pPr>
    </w:p>
    <w:p>
      <w:pPr>
        <w:jc w:val="both"/>
        <w:ind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80" w:type="dxa"/>
        <w:tblCellMar>
          <w:top w:w="0" w:type="dxa"/>
          <w:left w:w="0" w:type="dxa"/>
          <w:bottom w:w="0" w:type="dxa"/>
          <w:right w:w="0" w:type="dxa"/>
        </w:tblCellMar>
      </w:tblPr>
      <w:tr>
        <w:trPr>
          <w:trHeight w:val="207"/>
        </w:trPr>
        <w:tc>
          <w:tcPr>
            <w:tcW w:w="57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440" w:type="dxa"/>
            <w:vAlign w:val="bottom"/>
            <w:vMerge w:val="restart"/>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20" w:type="dxa"/>
            <w:vAlign w:val="bottom"/>
            <w:vMerge w:val="restart"/>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8"/>
        </w:trPr>
        <w:tc>
          <w:tcPr>
            <w:tcW w:w="576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440" w:type="dxa"/>
            <w:vAlign w:val="bottom"/>
            <w:vMerge w:val="continue"/>
          </w:tcPr>
          <w:p>
            <w:pPr>
              <w:spacing w:after="0"/>
              <w:rPr>
                <w:sz w:val="22"/>
                <w:szCs w:val="22"/>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14" w:lineRule="exact"/>
        <w:rPr>
          <w:sz w:val="24"/>
          <w:szCs w:val="24"/>
          <w:color w:val="auto"/>
        </w:rPr>
      </w:pPr>
    </w:p>
    <w:p>
      <w:pPr>
        <w:ind w:firstLine="486"/>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5" w:lineRule="exact"/>
        <w:rPr>
          <w:sz w:val="24"/>
          <w:szCs w:val="24"/>
          <w:color w:val="auto"/>
        </w:rPr>
      </w:pPr>
    </w:p>
    <w:p>
      <w:pPr>
        <w:ind w:left="500" w:right="1240"/>
        <w:spacing w:after="0" w:line="32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At July 31, 2023, there were 11,860,583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116205</wp:posOffset>
            </wp:positionH>
            <wp:positionV relativeFrom="paragraph">
              <wp:posOffset>69215</wp:posOffset>
            </wp:positionV>
            <wp:extent cx="6909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116205</wp:posOffset>
            </wp:positionH>
            <wp:positionV relativeFrom="paragraph">
              <wp:posOffset>103505</wp:posOffset>
            </wp:positionV>
            <wp:extent cx="69094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ectPr>
          <w:pgSz w:w="11900" w:h="16838" w:orient="portrait"/>
          <w:cols w:equalWidth="0" w:num="1">
            <w:col w:w="11240"/>
          </w:cols>
          <w:pgMar w:left="320" w:top="1440" w:right="339" w:bottom="879" w:gutter="0" w:footer="0" w:header="0"/>
        </w:sectPr>
      </w:pP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879"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72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Page</w:t>
            </w:r>
          </w:p>
        </w:tc>
      </w:tr>
      <w:tr>
        <w:trPr>
          <w:trHeight w:val="189"/>
        </w:trPr>
        <w:tc>
          <w:tcPr>
            <w:tcW w:w="2440" w:type="dxa"/>
            <w:vAlign w:val="bottom"/>
            <w:gridSpan w:val="10"/>
          </w:tcPr>
          <w:p>
            <w:pPr>
              <w:spacing w:after="0" w:line="189" w:lineRule="exact"/>
              <w:rPr>
                <w:sz w:val="20"/>
                <w:szCs w:val="20"/>
                <w:color w:val="auto"/>
              </w:rPr>
            </w:pPr>
            <w:r>
              <w:rPr>
                <w:rFonts w:ascii="Arial" w:cs="Arial" w:eastAsia="Arial" w:hAnsi="Arial"/>
                <w:sz w:val="18"/>
                <w:szCs w:val="18"/>
                <w:b w:val="1"/>
                <w:bCs w:val="1"/>
                <w:color w:val="0000FF"/>
                <w:w w:val="94"/>
              </w:rPr>
              <w:t>Part I — Financial Information</w:t>
            </w:r>
          </w:p>
        </w:tc>
        <w:tc>
          <w:tcPr>
            <w:tcW w:w="8040" w:type="dxa"/>
            <w:vAlign w:val="bottom"/>
            <w:gridSpan w:val="11"/>
          </w:tcPr>
          <w:p>
            <w:pPr>
              <w:spacing w:after="0"/>
              <w:rPr>
                <w:sz w:val="16"/>
                <w:szCs w:val="16"/>
                <w:color w:val="auto"/>
              </w:rPr>
            </w:pPr>
          </w:p>
        </w:tc>
        <w:tc>
          <w:tcPr>
            <w:tcW w:w="70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3</w:t>
            </w:r>
          </w:p>
        </w:tc>
        <w:tc>
          <w:tcPr>
            <w:tcW w:w="20" w:type="dxa"/>
            <w:vAlign w:val="bottom"/>
          </w:tcPr>
          <w:p>
            <w:pPr>
              <w:spacing w:after="0"/>
              <w:rPr>
                <w:sz w:val="16"/>
                <w:szCs w:val="16"/>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10360" w:type="dxa"/>
            <w:vAlign w:val="bottom"/>
            <w:gridSpan w:val="20"/>
          </w:tcPr>
          <w:p>
            <w:pPr>
              <w:spacing w:after="0"/>
              <w:rPr>
                <w:sz w:val="20"/>
                <w:szCs w:val="20"/>
                <w:color w:val="auto"/>
              </w:rPr>
            </w:pPr>
            <w:r>
              <w:rPr>
                <w:rFonts w:ascii="Arial" w:cs="Arial" w:eastAsia="Arial" w:hAnsi="Arial"/>
                <w:sz w:val="18"/>
                <w:szCs w:val="18"/>
                <w:color w:val="0000FF"/>
              </w:rPr>
              <w:t>Item 1. Condensed Consolidated Financial Statements</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gridSpan w:val="11"/>
          </w:tcPr>
          <w:p>
            <w:pPr>
              <w:ind w:left="20"/>
              <w:spacing w:after="0"/>
              <w:rPr>
                <w:sz w:val="20"/>
                <w:szCs w:val="20"/>
                <w:color w:val="auto"/>
              </w:rPr>
            </w:pPr>
            <w:r>
              <w:rPr>
                <w:rFonts w:ascii="Arial" w:cs="Arial" w:eastAsia="Arial" w:hAnsi="Arial"/>
                <w:sz w:val="18"/>
                <w:szCs w:val="18"/>
                <w:color w:val="0000FF"/>
                <w:w w:val="88"/>
              </w:rPr>
              <w:t>Condensed Consolidated Balance Sheets (Unaudited)</w:t>
            </w:r>
          </w:p>
        </w:tc>
        <w:tc>
          <w:tcPr>
            <w:tcW w:w="6300" w:type="dxa"/>
            <w:vAlign w:val="bottom"/>
            <w:gridSpan w:val="8"/>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3</w:t>
            </w:r>
          </w:p>
        </w:tc>
        <w:tc>
          <w:tcPr>
            <w:tcW w:w="2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60" w:type="dxa"/>
            <w:vAlign w:val="bottom"/>
            <w:gridSpan w:val="19"/>
          </w:tcPr>
          <w:p>
            <w:pPr>
              <w:ind w:left="20"/>
              <w:spacing w:after="0"/>
              <w:rPr>
                <w:sz w:val="20"/>
                <w:szCs w:val="20"/>
                <w:color w:val="auto"/>
              </w:rPr>
            </w:pPr>
            <w:r>
              <w:rPr>
                <w:rFonts w:ascii="Arial" w:cs="Arial" w:eastAsia="Arial" w:hAnsi="Arial"/>
                <w:sz w:val="18"/>
                <w:szCs w:val="18"/>
                <w:color w:val="0000FF"/>
              </w:rPr>
              <w:t>Condensed Consolidated Statements of Operations (Unaudited)</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4</w:t>
            </w:r>
          </w:p>
        </w:tc>
        <w:tc>
          <w:tcPr>
            <w:tcW w:w="2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20" w:type="dxa"/>
            <w:vAlign w:val="bottom"/>
            <w:gridSpan w:val="17"/>
          </w:tcPr>
          <w:p>
            <w:pPr>
              <w:ind w:left="20"/>
              <w:spacing w:after="0"/>
              <w:rPr>
                <w:sz w:val="20"/>
                <w:szCs w:val="20"/>
                <w:color w:val="auto"/>
              </w:rPr>
            </w:pPr>
            <w:r>
              <w:rPr>
                <w:rFonts w:ascii="Arial" w:cs="Arial" w:eastAsia="Arial" w:hAnsi="Arial"/>
                <w:sz w:val="18"/>
                <w:szCs w:val="18"/>
                <w:color w:val="0000FF"/>
                <w:w w:val="89"/>
              </w:rPr>
              <w:t>Condensed Consolidated Statements of Comprehensive Income (Loss) (Unaudited)</w:t>
            </w:r>
          </w:p>
        </w:tc>
        <w:tc>
          <w:tcPr>
            <w:tcW w:w="4140" w:type="dxa"/>
            <w:vAlign w:val="bottom"/>
            <w:gridSpan w:val="2"/>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5</w:t>
            </w:r>
          </w:p>
        </w:tc>
        <w:tc>
          <w:tcPr>
            <w:tcW w:w="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20" w:type="dxa"/>
            <w:vAlign w:val="bottom"/>
            <w:gridSpan w:val="17"/>
          </w:tcPr>
          <w:p>
            <w:pPr>
              <w:ind w:left="20"/>
              <w:spacing w:after="0"/>
              <w:rPr>
                <w:sz w:val="20"/>
                <w:szCs w:val="20"/>
                <w:color w:val="auto"/>
              </w:rPr>
            </w:pPr>
            <w:r>
              <w:rPr>
                <w:rFonts w:ascii="Arial" w:cs="Arial" w:eastAsia="Arial" w:hAnsi="Arial"/>
                <w:sz w:val="18"/>
                <w:szCs w:val="18"/>
                <w:color w:val="0000FF"/>
              </w:rPr>
              <w:t>Condensed Consolidated Statements of Stockholders' Equity (Unaudited)</w:t>
            </w:r>
          </w:p>
        </w:tc>
        <w:tc>
          <w:tcPr>
            <w:tcW w:w="4140" w:type="dxa"/>
            <w:vAlign w:val="bottom"/>
            <w:gridSpan w:val="2"/>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6</w:t>
            </w:r>
          </w:p>
        </w:tc>
        <w:tc>
          <w:tcPr>
            <w:tcW w:w="2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40" w:type="dxa"/>
            <w:vAlign w:val="bottom"/>
            <w:gridSpan w:val="13"/>
          </w:tcPr>
          <w:p>
            <w:pPr>
              <w:ind w:left="20"/>
              <w:spacing w:after="0"/>
              <w:rPr>
                <w:sz w:val="20"/>
                <w:szCs w:val="20"/>
                <w:color w:val="auto"/>
              </w:rPr>
            </w:pPr>
            <w:r>
              <w:rPr>
                <w:rFonts w:ascii="Arial" w:cs="Arial" w:eastAsia="Arial" w:hAnsi="Arial"/>
                <w:sz w:val="18"/>
                <w:szCs w:val="18"/>
                <w:color w:val="0000FF"/>
                <w:w w:val="89"/>
              </w:rPr>
              <w:t>Condensed Consolidated Statements of Cash Flows (Unaudited)</w:t>
            </w:r>
          </w:p>
        </w:tc>
        <w:tc>
          <w:tcPr>
            <w:tcW w:w="640" w:type="dxa"/>
            <w:vAlign w:val="bottom"/>
            <w:gridSpan w:val="3"/>
          </w:tcPr>
          <w:p>
            <w:pPr>
              <w:spacing w:after="0"/>
              <w:rPr>
                <w:sz w:val="18"/>
                <w:szCs w:val="18"/>
                <w:color w:val="auto"/>
              </w:rPr>
            </w:pPr>
          </w:p>
        </w:tc>
        <w:tc>
          <w:tcPr>
            <w:tcW w:w="4880" w:type="dxa"/>
            <w:vAlign w:val="bottom"/>
            <w:gridSpan w:val="3"/>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20" w:type="dxa"/>
            <w:vAlign w:val="bottom"/>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5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920" w:type="dxa"/>
            <w:vAlign w:val="bottom"/>
            <w:gridSpan w:val="15"/>
          </w:tcPr>
          <w:p>
            <w:pPr>
              <w:ind w:left="20"/>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5240" w:type="dxa"/>
            <w:vAlign w:val="bottom"/>
            <w:gridSpan w:val="4"/>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9</w:t>
            </w:r>
          </w:p>
        </w:tc>
        <w:tc>
          <w:tcPr>
            <w:tcW w:w="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360" w:type="dxa"/>
            <w:vAlign w:val="bottom"/>
            <w:gridSpan w:val="20"/>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21</w:t>
            </w:r>
          </w:p>
        </w:tc>
        <w:tc>
          <w:tcPr>
            <w:tcW w:w="20" w:type="dxa"/>
            <w:vAlign w:val="bottom"/>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7000" w:type="dxa"/>
            <w:vAlign w:val="bottom"/>
            <w:tcBorders>
              <w:top w:val="single" w:sz="8" w:color="0000FF"/>
            </w:tcBorders>
            <w:gridSpan w:val="19"/>
          </w:tcPr>
          <w:p>
            <w:pPr>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3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26</w:t>
            </w:r>
          </w:p>
        </w:tc>
        <w:tc>
          <w:tcPr>
            <w:tcW w:w="20" w:type="dxa"/>
            <w:vAlign w:val="bottom"/>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4"/>
              </w:rPr>
              <w:t>Item 4.</w:t>
            </w:r>
          </w:p>
        </w:tc>
        <w:tc>
          <w:tcPr>
            <w:tcW w:w="1800" w:type="dxa"/>
            <w:vAlign w:val="bottom"/>
            <w:tcBorders>
              <w:top w:val="single" w:sz="8" w:color="0000FF"/>
              <w:bottom w:val="single" w:sz="8" w:color="0000FF"/>
            </w:tcBorders>
            <w:gridSpan w:val="8"/>
          </w:tcPr>
          <w:p>
            <w:pPr>
              <w:ind w:left="20"/>
              <w:spacing w:after="0"/>
              <w:rPr>
                <w:sz w:val="20"/>
                <w:szCs w:val="20"/>
                <w:color w:val="auto"/>
              </w:rPr>
            </w:pPr>
            <w:r>
              <w:rPr>
                <w:rFonts w:ascii="Arial" w:cs="Arial" w:eastAsia="Arial" w:hAnsi="Arial"/>
                <w:sz w:val="18"/>
                <w:szCs w:val="18"/>
                <w:color w:val="0000FF"/>
                <w:w w:val="88"/>
              </w:rPr>
              <w:t>Controls and Procedures</w:t>
            </w:r>
          </w:p>
        </w:tc>
        <w:tc>
          <w:tcPr>
            <w:tcW w:w="2560" w:type="dxa"/>
            <w:vAlign w:val="bottom"/>
            <w:tcBorders>
              <w:top w:val="single" w:sz="8" w:color="0000FF"/>
            </w:tcBorders>
            <w:gridSpan w:val="5"/>
          </w:tcPr>
          <w:p>
            <w:pPr>
              <w:spacing w:after="0"/>
              <w:rPr>
                <w:sz w:val="19"/>
                <w:szCs w:val="19"/>
                <w:color w:val="auto"/>
              </w:rPr>
            </w:pPr>
          </w:p>
        </w:tc>
        <w:tc>
          <w:tcPr>
            <w:tcW w:w="5460" w:type="dxa"/>
            <w:vAlign w:val="bottom"/>
            <w:gridSpan w:val="5"/>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26</w:t>
            </w:r>
          </w:p>
        </w:tc>
        <w:tc>
          <w:tcPr>
            <w:tcW w:w="20" w:type="dxa"/>
            <w:vAlign w:val="bottom"/>
          </w:tcPr>
          <w:p>
            <w:pPr>
              <w:spacing w:after="0"/>
              <w:rPr>
                <w:sz w:val="19"/>
                <w:szCs w:val="19"/>
                <w:color w:val="auto"/>
              </w:rPr>
            </w:pPr>
          </w:p>
        </w:tc>
      </w:tr>
      <w:tr>
        <w:trPr>
          <w:trHeight w:val="372"/>
        </w:trPr>
        <w:tc>
          <w:tcPr>
            <w:tcW w:w="10480" w:type="dxa"/>
            <w:vAlign w:val="bottom"/>
            <w:gridSpan w:val="21"/>
          </w:tcPr>
          <w:p>
            <w:pPr>
              <w:spacing w:after="0"/>
              <w:rPr>
                <w:sz w:val="20"/>
                <w:szCs w:val="20"/>
                <w:color w:val="auto"/>
              </w:rPr>
            </w:pPr>
            <w:r>
              <w:rPr>
                <w:rFonts w:ascii="Arial" w:cs="Arial" w:eastAsia="Arial" w:hAnsi="Arial"/>
                <w:sz w:val="18"/>
                <w:szCs w:val="18"/>
                <w:b w:val="1"/>
                <w:bCs w:val="1"/>
                <w:color w:val="0000FF"/>
              </w:rPr>
              <w:t>Part II — Other Information</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28</w:t>
            </w:r>
          </w:p>
        </w:tc>
        <w:tc>
          <w:tcPr>
            <w:tcW w:w="20" w:type="dxa"/>
            <w:vAlign w:val="bottom"/>
          </w:tcPr>
          <w:p>
            <w:pPr>
              <w:spacing w:after="0"/>
              <w:rPr>
                <w:sz w:val="24"/>
                <w:szCs w:val="24"/>
                <w:color w:val="auto"/>
              </w:rPr>
            </w:pPr>
          </w:p>
        </w:tc>
      </w:tr>
      <w:tr>
        <w:trPr>
          <w:trHeight w:val="209"/>
        </w:trPr>
        <w:tc>
          <w:tcPr>
            <w:tcW w:w="120" w:type="dxa"/>
            <w:vAlign w:val="bottom"/>
            <w:tcBorders>
              <w:top w:val="single" w:sz="8" w:color="0000FF"/>
            </w:tcBorders>
          </w:tcPr>
          <w:p>
            <w:pPr>
              <w:spacing w:after="0"/>
              <w:rPr>
                <w:sz w:val="18"/>
                <w:szCs w:val="18"/>
                <w:color w:val="auto"/>
              </w:rPr>
            </w:pPr>
          </w:p>
        </w:tc>
        <w:tc>
          <w:tcPr>
            <w:tcW w:w="5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4"/>
              </w:rPr>
              <w:t>Item 1.</w:t>
            </w:r>
          </w:p>
        </w:tc>
        <w:tc>
          <w:tcPr>
            <w:tcW w:w="1360" w:type="dxa"/>
            <w:vAlign w:val="bottom"/>
            <w:tcBorders>
              <w:top w:val="single" w:sz="8" w:color="0000FF"/>
              <w:bottom w:val="single" w:sz="8" w:color="0000FF"/>
            </w:tcBorders>
            <w:gridSpan w:val="5"/>
          </w:tcPr>
          <w:p>
            <w:pPr>
              <w:ind w:left="20"/>
              <w:spacing w:after="0"/>
              <w:rPr>
                <w:sz w:val="20"/>
                <w:szCs w:val="20"/>
                <w:color w:val="auto"/>
              </w:rPr>
            </w:pPr>
            <w:r>
              <w:rPr>
                <w:rFonts w:ascii="Arial" w:cs="Arial" w:eastAsia="Arial" w:hAnsi="Arial"/>
                <w:sz w:val="18"/>
                <w:szCs w:val="18"/>
                <w:color w:val="0000FF"/>
                <w:w w:val="88"/>
              </w:rPr>
              <w:t>Legal Proceedings</w:t>
            </w:r>
          </w:p>
        </w:tc>
        <w:tc>
          <w:tcPr>
            <w:tcW w:w="220" w:type="dxa"/>
            <w:vAlign w:val="bottom"/>
            <w:tcBorders>
              <w:top w:val="single" w:sz="8" w:color="0000FF"/>
            </w:tcBorders>
          </w:tcPr>
          <w:p>
            <w:pPr>
              <w:spacing w:after="0"/>
              <w:rPr>
                <w:sz w:val="18"/>
                <w:szCs w:val="18"/>
                <w:color w:val="auto"/>
              </w:rPr>
            </w:pPr>
          </w:p>
        </w:tc>
        <w:tc>
          <w:tcPr>
            <w:tcW w:w="8240" w:type="dxa"/>
            <w:vAlign w:val="bottom"/>
            <w:gridSpan w:val="12"/>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28</w:t>
            </w:r>
          </w:p>
        </w:tc>
        <w:tc>
          <w:tcPr>
            <w:tcW w:w="20" w:type="dxa"/>
            <w:vAlign w:val="bottom"/>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16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Item 1A. Risk Factors</w:t>
            </w:r>
          </w:p>
        </w:tc>
        <w:tc>
          <w:tcPr>
            <w:tcW w:w="8760" w:type="dxa"/>
            <w:vAlign w:val="bottom"/>
            <w:gridSpan w:val="15"/>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28</w:t>
            </w:r>
          </w:p>
        </w:tc>
        <w:tc>
          <w:tcPr>
            <w:tcW w:w="20" w:type="dxa"/>
            <w:vAlign w:val="bottom"/>
          </w:tcPr>
          <w:p>
            <w:pPr>
              <w:spacing w:after="0"/>
              <w:rPr>
                <w:sz w:val="19"/>
                <w:szCs w:val="19"/>
                <w:color w:val="auto"/>
              </w:rPr>
            </w:pPr>
          </w:p>
        </w:tc>
      </w:tr>
      <w:tr>
        <w:trPr>
          <w:trHeight w:val="210"/>
        </w:trPr>
        <w:tc>
          <w:tcPr>
            <w:tcW w:w="120" w:type="dxa"/>
            <w:vAlign w:val="bottom"/>
          </w:tcPr>
          <w:p>
            <w:pPr>
              <w:spacing w:after="0"/>
              <w:rPr>
                <w:sz w:val="18"/>
                <w:szCs w:val="18"/>
                <w:color w:val="auto"/>
              </w:rPr>
            </w:pPr>
          </w:p>
        </w:tc>
        <w:tc>
          <w:tcPr>
            <w:tcW w:w="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4"/>
              </w:rPr>
              <w:t>Item 5.</w:t>
            </w:r>
          </w:p>
        </w:tc>
        <w:tc>
          <w:tcPr>
            <w:tcW w:w="134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color w:val="0000FF"/>
                <w:w w:val="92"/>
              </w:rPr>
              <w:t>Other Information</w:t>
            </w:r>
          </w:p>
        </w:tc>
        <w:tc>
          <w:tcPr>
            <w:tcW w:w="8480" w:type="dxa"/>
            <w:vAlign w:val="bottom"/>
            <w:gridSpan w:val="14"/>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28</w:t>
            </w:r>
          </w:p>
        </w:tc>
        <w:tc>
          <w:tcPr>
            <w:tcW w:w="20" w:type="dxa"/>
            <w:vAlign w:val="bottom"/>
          </w:tcPr>
          <w:p>
            <w:pPr>
              <w:spacing w:after="0"/>
              <w:rPr>
                <w:sz w:val="18"/>
                <w:szCs w:val="18"/>
                <w:color w:val="auto"/>
              </w:rPr>
            </w:pPr>
          </w:p>
        </w:tc>
      </w:tr>
      <w:tr>
        <w:trPr>
          <w:trHeight w:val="209"/>
        </w:trPr>
        <w:tc>
          <w:tcPr>
            <w:tcW w:w="12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Arial" w:cs="Arial" w:eastAsia="Arial" w:hAnsi="Arial"/>
                <w:sz w:val="18"/>
                <w:szCs w:val="18"/>
                <w:color w:val="0000FF"/>
                <w:w w:val="94"/>
              </w:rPr>
              <w:t>Item 6.</w:t>
            </w:r>
          </w:p>
        </w:tc>
        <w:tc>
          <w:tcPr>
            <w:tcW w:w="9820" w:type="dxa"/>
            <w:vAlign w:val="bottom"/>
            <w:gridSpan w:val="18"/>
          </w:tcPr>
          <w:p>
            <w:pPr>
              <w:ind w:left="20"/>
              <w:spacing w:after="0"/>
              <w:rPr>
                <w:sz w:val="20"/>
                <w:szCs w:val="20"/>
                <w:color w:val="auto"/>
              </w:rPr>
            </w:pPr>
            <w:r>
              <w:rPr>
                <w:rFonts w:ascii="Arial" w:cs="Arial" w:eastAsia="Arial" w:hAnsi="Arial"/>
                <w:sz w:val="18"/>
                <w:szCs w:val="18"/>
                <w:color w:val="0000FF"/>
              </w:rPr>
              <w:t>Exhibits</w:t>
            </w:r>
          </w:p>
        </w:tc>
        <w:tc>
          <w:tcPr>
            <w:tcW w:w="700" w:type="dxa"/>
            <w:vAlign w:val="bottom"/>
            <w:gridSpan w:val="3"/>
          </w:tcPr>
          <w:p>
            <w:pPr>
              <w:jc w:val="right"/>
              <w:spacing w:after="0"/>
              <w:rPr>
                <w:sz w:val="20"/>
                <w:szCs w:val="20"/>
                <w:color w:val="auto"/>
              </w:rPr>
            </w:pPr>
            <w:r>
              <w:rPr>
                <w:rFonts w:ascii="Arial" w:cs="Arial" w:eastAsia="Arial" w:hAnsi="Arial"/>
                <w:sz w:val="18"/>
                <w:szCs w:val="18"/>
                <w:color w:val="0000FF"/>
              </w:rPr>
              <w:t>29</w:t>
            </w:r>
          </w:p>
        </w:tc>
        <w:tc>
          <w:tcPr>
            <w:tcW w:w="20" w:type="dxa"/>
            <w:vAlign w:val="bottom"/>
          </w:tcPr>
          <w:p>
            <w:pPr>
              <w:spacing w:after="0"/>
              <w:rPr>
                <w:sz w:val="18"/>
                <w:szCs w:val="18"/>
                <w:color w:val="auto"/>
              </w:rPr>
            </w:pPr>
          </w:p>
        </w:tc>
      </w:tr>
      <w:tr>
        <w:trPr>
          <w:trHeight w:val="223"/>
        </w:trPr>
        <w:tc>
          <w:tcPr>
            <w:tcW w:w="120" w:type="dxa"/>
            <w:vAlign w:val="bottom"/>
          </w:tcPr>
          <w:p>
            <w:pPr>
              <w:spacing w:after="0"/>
              <w:rPr>
                <w:sz w:val="19"/>
                <w:szCs w:val="19"/>
                <w:color w:val="auto"/>
              </w:rPr>
            </w:pPr>
          </w:p>
        </w:tc>
        <w:tc>
          <w:tcPr>
            <w:tcW w:w="11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Signatures</w:t>
            </w:r>
          </w:p>
        </w:tc>
        <w:tc>
          <w:tcPr>
            <w:tcW w:w="9200" w:type="dxa"/>
            <w:vAlign w:val="bottom"/>
            <w:gridSpan w:val="16"/>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30</w:t>
            </w:r>
          </w:p>
        </w:tc>
        <w:tc>
          <w:tcPr>
            <w:tcW w:w="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93"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Condensed Consolidated Financial Statements</w:t>
      </w:r>
    </w:p>
    <w:p>
      <w:pPr>
        <w:spacing w:after="0" w:line="234"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w w:val="96"/>
              </w:rPr>
              <w:t>September 30, 2022</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5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183,355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101,954</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26,414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14,554</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less allowance for credit losses of $293 and $344</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106,111</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Contract assets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56,148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88,351</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50,415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4,679</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3,814</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547,252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369,983</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96,876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98,628</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 net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1,003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9,161</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12,688</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12,426</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Assets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671,098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493,380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6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62,849</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63,423</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liabilities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79,857</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Accrued compensation and benefits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24,261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24,785</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product warranty</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2,345</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Current operating lease liabilities</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1,777</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 payable</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1,720</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16,341</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12,466</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334,996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186,373</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Deferred compensation</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9,447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7,749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09"/>
        </w:trPr>
        <w:tc>
          <w:tcPr>
            <w:tcW w:w="7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347,028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196,174</w:t>
            </w:r>
          </w:p>
        </w:tc>
        <w:tc>
          <w:tcPr>
            <w:tcW w:w="0" w:type="dxa"/>
            <w:vAlign w:val="bottom"/>
          </w:tcPr>
          <w:p>
            <w:pPr>
              <w:spacing w:after="0"/>
              <w:rPr>
                <w:sz w:val="1"/>
                <w:szCs w:val="1"/>
                <w:color w:val="auto"/>
              </w:rPr>
            </w:pPr>
          </w:p>
        </w:tc>
      </w:tr>
      <w:tr>
        <w:trPr>
          <w:trHeight w:val="210"/>
        </w:trPr>
        <w:tc>
          <w:tcPr>
            <w:tcW w:w="7640" w:type="dxa"/>
            <w:vAlign w:val="bottom"/>
          </w:tcPr>
          <w:p>
            <w:pPr>
              <w:ind w:left="20"/>
              <w:spacing w:after="0"/>
              <w:rPr>
                <w:sz w:val="20"/>
                <w:szCs w:val="20"/>
                <w:color w:val="auto"/>
              </w:rPr>
            </w:pPr>
            <w:r>
              <w:rPr>
                <w:rFonts w:ascii="Arial" w:cs="Arial" w:eastAsia="Arial" w:hAnsi="Arial"/>
                <w:sz w:val="16"/>
                <w:szCs w:val="16"/>
                <w:color w:val="auto"/>
              </w:rPr>
              <w:t>Commitments and Contingencies (Note F)</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Preferred stock, par value $0.01; 5,000,000 shares authorized; none issued</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764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7"/>
              </w:rPr>
              <w:t>Common stock, par value $0.01; 30,000,000 shares authorized; 12,666,601 and 12,588,011 shares issued,</w:t>
            </w:r>
          </w:p>
        </w:tc>
        <w:tc>
          <w:tcPr>
            <w:tcW w:w="2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2"/>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26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70,913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67,439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283,638</w:t>
            </w:r>
          </w:p>
        </w:tc>
        <w:tc>
          <w:tcPr>
            <w:tcW w:w="0" w:type="dxa"/>
            <w:vAlign w:val="bottom"/>
          </w:tcPr>
          <w:p>
            <w:pPr>
              <w:spacing w:after="0"/>
              <w:rPr>
                <w:sz w:val="1"/>
                <w:szCs w:val="1"/>
                <w:color w:val="auto"/>
              </w:rPr>
            </w:pPr>
          </w:p>
        </w:tc>
      </w:tr>
      <w:tr>
        <w:trPr>
          <w:trHeight w:val="213"/>
        </w:trPr>
        <w:tc>
          <w:tcPr>
            <w:tcW w:w="7640" w:type="dxa"/>
            <w:vAlign w:val="bottom"/>
          </w:tcPr>
          <w:p>
            <w:pPr>
              <w:ind w:left="220"/>
              <w:spacing w:after="0"/>
              <w:rPr>
                <w:sz w:val="20"/>
                <w:szCs w:val="20"/>
                <w:color w:val="auto"/>
              </w:rPr>
            </w:pPr>
            <w:r>
              <w:rPr>
                <w:rFonts w:ascii="Arial" w:cs="Arial" w:eastAsia="Arial" w:hAnsi="Arial"/>
                <w:sz w:val="16"/>
                <w:szCs w:val="16"/>
                <w:color w:val="auto"/>
              </w:rPr>
              <w:t>Treasury stock, 806,018 shares at cost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(24,999)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(24,999)</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(24,010)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(28,998)</w:t>
            </w:r>
          </w:p>
        </w:tc>
        <w:tc>
          <w:tcPr>
            <w:tcW w:w="0" w:type="dxa"/>
            <w:vAlign w:val="bottom"/>
          </w:tcPr>
          <w:p>
            <w:pPr>
              <w:spacing w:after="0"/>
              <w:rPr>
                <w:sz w:val="1"/>
                <w:szCs w:val="1"/>
                <w:color w:val="auto"/>
              </w:rPr>
            </w:pPr>
          </w:p>
        </w:tc>
      </w:tr>
      <w:tr>
        <w:trPr>
          <w:trHeight w:val="206"/>
        </w:trPr>
        <w:tc>
          <w:tcPr>
            <w:tcW w:w="76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324,070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297,206</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671,098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493,380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Nine months ended June 30,</w:t>
            </w:r>
          </w:p>
        </w:tc>
      </w:tr>
      <w:tr>
        <w:trPr>
          <w:trHeight w:val="203"/>
        </w:trPr>
        <w:tc>
          <w:tcPr>
            <w:tcW w:w="5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26"/>
        </w:trPr>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192,365</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135,483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490,667</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369,907</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149,695</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116,424</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395,096</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318,329</w:t>
            </w:r>
          </w:p>
        </w:tc>
      </w:tr>
      <w:tr>
        <w:trPr>
          <w:trHeight w:val="237"/>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42,670</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19,059</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95,571</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51,578</w:t>
            </w:r>
          </w:p>
        </w:tc>
      </w:tr>
      <w:tr>
        <w:trPr>
          <w:trHeight w:val="243"/>
        </w:trPr>
        <w:tc>
          <w:tcPr>
            <w:tcW w:w="5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19,691</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16,404</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58,384</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49,374</w:t>
            </w:r>
          </w:p>
        </w:tc>
      </w:tr>
      <w:tr>
        <w:trPr>
          <w:trHeight w:val="22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5,342</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21,552</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(3,138)</w:t>
            </w:r>
          </w:p>
        </w:tc>
      </w:tr>
      <w:tr>
        <w:trPr>
          <w:trHeight w:val="257"/>
        </w:trPr>
        <w:tc>
          <w:tcPr>
            <w:tcW w:w="5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Interest income,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w:t>
            </w: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23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23,645</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36,232</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(6,143)</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8,142</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(5,772)</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18,454</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28,090</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536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1.55</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0.77</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2.37</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55"/>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11,889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11,810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11,876</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11,792</w:t>
            </w:r>
          </w:p>
        </w:tc>
      </w:tr>
      <w:tr>
        <w:trPr>
          <w:trHeight w:val="243"/>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11,901</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w:t>
            </w:r>
          </w:p>
        </w:tc>
        <w:tc>
          <w:tcPr>
            <w:tcW w:w="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11,877</w:t>
            </w: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Dividends per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0.79</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0.78</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ind w:left="340" w:right="2440"/>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Comprehensive Income (Loss) (Unaudited) (In thousands)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Nine months ended June 30,</w:t>
            </w:r>
          </w:p>
        </w:tc>
      </w:tr>
      <w:tr>
        <w:trPr>
          <w:trHeight w:val="203"/>
        </w:trPr>
        <w:tc>
          <w:tcPr>
            <w:tcW w:w="5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3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5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34"/>
              <w:spacing w:after="0"/>
              <w:rPr>
                <w:sz w:val="20"/>
                <w:szCs w:val="20"/>
                <w:color w:val="auto"/>
              </w:rPr>
            </w:pPr>
            <w:r>
              <w:rPr>
                <w:rFonts w:ascii="Arial" w:cs="Arial" w:eastAsia="Arial" w:hAnsi="Arial"/>
                <w:sz w:val="14"/>
                <w:szCs w:val="14"/>
                <w:b w:val="1"/>
                <w:bCs w:val="1"/>
                <w:color w:val="auto"/>
              </w:rPr>
              <w:t>2022</w:t>
            </w:r>
          </w:p>
        </w:tc>
      </w:tr>
      <w:tr>
        <w:trPr>
          <w:trHeight w:val="26"/>
        </w:trPr>
        <w:tc>
          <w:tcPr>
            <w:tcW w:w="5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18,454</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28,090</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4,998</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4,694</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(2,501)</w:t>
            </w:r>
          </w:p>
        </w:tc>
      </w:tr>
      <w:tr>
        <w:trPr>
          <w:trHeight w:val="24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cash flow commodity hedge</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20,508</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5,604</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33,077</w:t>
            </w:r>
          </w:p>
        </w:tc>
        <w:tc>
          <w:tcPr>
            <w:tcW w:w="1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r>
      <w:tr>
        <w:trPr>
          <w:trHeight w:val="21"/>
        </w:trPr>
        <w:tc>
          <w:tcPr>
            <w:tcW w:w="5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Stockholders’ Equity (Unaudited)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900" w:type="dxa"/>
            <w:vAlign w:val="bottom"/>
          </w:tcPr>
          <w:p>
            <w:pPr>
              <w:spacing w:after="0"/>
              <w:rPr>
                <w:sz w:val="24"/>
                <w:szCs w:val="24"/>
                <w:color w:val="auto"/>
              </w:rPr>
            </w:pPr>
          </w:p>
        </w:tc>
        <w:tc>
          <w:tcPr>
            <w:tcW w:w="150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5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4"/>
                <w:szCs w:val="2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900" w:type="dxa"/>
            <w:vAlign w:val="bottom"/>
          </w:tcPr>
          <w:p>
            <w:pPr>
              <w:spacing w:after="0"/>
              <w:rPr>
                <w:sz w:val="21"/>
                <w:szCs w:val="21"/>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21"/>
                <w:szCs w:val="21"/>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Income/(Loss)</w:t>
            </w:r>
          </w:p>
        </w:tc>
        <w:tc>
          <w:tcPr>
            <w:tcW w:w="1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50"/>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2022</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12,588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67,439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283,638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(806)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w w:val="99"/>
              </w:rPr>
              <w:t>(24,999)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(28,998)</w:t>
            </w:r>
          </w:p>
        </w:tc>
        <w:tc>
          <w:tcPr>
            <w:tcW w:w="3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297,206</w:t>
            </w:r>
          </w:p>
        </w:tc>
        <w:tc>
          <w:tcPr>
            <w:tcW w:w="0" w:type="dxa"/>
            <w:vAlign w:val="bottom"/>
          </w:tcPr>
          <w:p>
            <w:pPr>
              <w:spacing w:after="0"/>
              <w:rPr>
                <w:sz w:val="1"/>
                <w:szCs w:val="1"/>
                <w:color w:val="auto"/>
              </w:rPr>
            </w:pPr>
          </w:p>
        </w:tc>
      </w:tr>
      <w:tr>
        <w:trPr>
          <w:trHeight w:val="190"/>
        </w:trPr>
        <w:tc>
          <w:tcPr>
            <w:tcW w:w="19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1,162</w:t>
            </w:r>
          </w:p>
        </w:tc>
        <w:tc>
          <w:tcPr>
            <w:tcW w:w="120" w:type="dxa"/>
            <w:vAlign w:val="bottom"/>
          </w:tcPr>
          <w:p>
            <w:pPr>
              <w:spacing w:after="0"/>
              <w:rPr>
                <w:sz w:val="16"/>
                <w:szCs w:val="16"/>
                <w:color w:val="auto"/>
              </w:rPr>
            </w:pP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translation</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adjustments</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2,178</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2,178</w:t>
            </w:r>
          </w:p>
        </w:tc>
        <w:tc>
          <w:tcPr>
            <w:tcW w:w="0" w:type="dxa"/>
            <w:vAlign w:val="bottom"/>
          </w:tcPr>
          <w:p>
            <w:pPr>
              <w:spacing w:after="0"/>
              <w:rPr>
                <w:sz w:val="1"/>
                <w:szCs w:val="1"/>
                <w:color w:val="auto"/>
              </w:rPr>
            </w:pPr>
          </w:p>
        </w:tc>
      </w:tr>
      <w:tr>
        <w:trPr>
          <w:trHeight w:val="191"/>
        </w:trPr>
        <w:tc>
          <w:tcPr>
            <w:tcW w:w="19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1,307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 withheld in lieu of</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employee tax withholding</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190"/>
        </w:trPr>
        <w:tc>
          <w:tcPr>
            <w:tcW w:w="1900" w:type="dxa"/>
            <w:vAlign w:val="bottom"/>
          </w:tcPr>
          <w:p>
            <w:pPr>
              <w:ind w:left="140"/>
              <w:spacing w:after="0"/>
              <w:rPr>
                <w:sz w:val="20"/>
                <w:szCs w:val="20"/>
                <w:color w:val="auto"/>
              </w:rPr>
            </w:pPr>
            <w:r>
              <w:rPr>
                <w:rFonts w:ascii="Arial" w:cs="Arial" w:eastAsia="Arial" w:hAnsi="Arial"/>
                <w:sz w:val="14"/>
                <w:szCs w:val="14"/>
                <w:color w:val="auto"/>
              </w:rPr>
              <w:t>Dividends</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(3,307)</w:t>
            </w:r>
          </w:p>
        </w:tc>
        <w:tc>
          <w:tcPr>
            <w:tcW w:w="120" w:type="dxa"/>
            <w:vAlign w:val="bottom"/>
          </w:tcPr>
          <w:p>
            <w:pPr>
              <w:spacing w:after="0"/>
              <w:rPr>
                <w:sz w:val="16"/>
                <w:szCs w:val="16"/>
                <w:color w:val="auto"/>
              </w:rPr>
            </w:pP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(3,176)</w:t>
            </w: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Gain on cash flow</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commodity hedge</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218</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90"/>
        </w:trPr>
        <w:tc>
          <w:tcPr>
            <w:tcW w:w="1900" w:type="dxa"/>
            <w:vAlign w:val="bottom"/>
          </w:tcPr>
          <w:p>
            <w:pPr>
              <w:ind w:left="20"/>
              <w:spacing w:after="0"/>
              <w:rPr>
                <w:sz w:val="20"/>
                <w:szCs w:val="20"/>
                <w:color w:val="auto"/>
              </w:rPr>
            </w:pPr>
            <w:r>
              <w:rPr>
                <w:rFonts w:ascii="Arial" w:cs="Arial" w:eastAsia="Arial" w:hAnsi="Arial"/>
                <w:sz w:val="14"/>
                <w:szCs w:val="14"/>
                <w:color w:val="auto"/>
              </w:rPr>
              <w:t>Balance, December 31, 2022</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12,641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126</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68,454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281,493</w:t>
            </w:r>
          </w:p>
        </w:tc>
        <w:tc>
          <w:tcPr>
            <w:tcW w:w="120" w:type="dxa"/>
            <w:vAlign w:val="bottom"/>
          </w:tcPr>
          <w:p>
            <w:pPr>
              <w:spacing w:after="0"/>
              <w:rPr>
                <w:sz w:val="16"/>
                <w:szCs w:val="16"/>
                <w:color w:val="auto"/>
              </w:rPr>
            </w:pPr>
          </w:p>
        </w:tc>
        <w:tc>
          <w:tcPr>
            <w:tcW w:w="640" w:type="dxa"/>
            <w:vAlign w:val="bottom"/>
          </w:tcPr>
          <w:p>
            <w:pPr>
              <w:ind w:left="280"/>
              <w:spacing w:after="0"/>
              <w:rPr>
                <w:sz w:val="20"/>
                <w:szCs w:val="20"/>
                <w:color w:val="auto"/>
              </w:rPr>
            </w:pPr>
            <w:r>
              <w:rPr>
                <w:rFonts w:ascii="Arial" w:cs="Arial" w:eastAsia="Arial" w:hAnsi="Arial"/>
                <w:sz w:val="14"/>
                <w:szCs w:val="14"/>
                <w:color w:val="auto"/>
              </w:rPr>
              <w:t>(806)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ind w:left="160"/>
              <w:spacing w:after="0"/>
              <w:rPr>
                <w:sz w:val="20"/>
                <w:szCs w:val="20"/>
                <w:color w:val="auto"/>
              </w:rPr>
            </w:pPr>
            <w:r>
              <w:rPr>
                <w:rFonts w:ascii="Arial" w:cs="Arial" w:eastAsia="Arial" w:hAnsi="Arial"/>
                <w:sz w:val="14"/>
                <w:szCs w:val="14"/>
                <w:color w:val="auto"/>
                <w:w w:val="99"/>
              </w:rPr>
              <w:t>(24,999)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(26,602)</w:t>
            </w:r>
          </w:p>
        </w:tc>
        <w:tc>
          <w:tcPr>
            <w:tcW w:w="3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298,472</w:t>
            </w: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8,473</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8,473</w:t>
            </w:r>
          </w:p>
        </w:tc>
        <w:tc>
          <w:tcPr>
            <w:tcW w:w="0" w:type="dxa"/>
            <w:vAlign w:val="bottom"/>
          </w:tcPr>
          <w:p>
            <w:pPr>
              <w:spacing w:after="0"/>
              <w:rPr>
                <w:sz w:val="1"/>
                <w:szCs w:val="1"/>
                <w:color w:val="auto"/>
              </w:rPr>
            </w:pPr>
          </w:p>
        </w:tc>
      </w:tr>
      <w:tr>
        <w:trPr>
          <w:trHeight w:val="170"/>
        </w:trPr>
        <w:tc>
          <w:tcPr>
            <w:tcW w:w="1900" w:type="dxa"/>
            <w:vAlign w:val="bottom"/>
          </w:tcPr>
          <w:p>
            <w:pPr>
              <w:ind w:left="140"/>
              <w:spacing w:after="0"/>
              <w:rPr>
                <w:sz w:val="20"/>
                <w:szCs w:val="20"/>
                <w:color w:val="auto"/>
              </w:rPr>
            </w:pPr>
            <w:r>
              <w:rPr>
                <w:rFonts w:ascii="Arial" w:cs="Arial" w:eastAsia="Arial" w:hAnsi="Arial"/>
                <w:sz w:val="14"/>
                <w:szCs w:val="14"/>
                <w:color w:val="auto"/>
              </w:rPr>
              <w:t>Foreign currency translation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140"/>
              <w:spacing w:after="0"/>
              <w:rPr>
                <w:sz w:val="20"/>
                <w:szCs w:val="20"/>
                <w:color w:val="auto"/>
              </w:rPr>
            </w:pPr>
            <w:r>
              <w:rPr>
                <w:rFonts w:ascii="Arial" w:cs="Arial" w:eastAsia="Arial" w:hAnsi="Arial"/>
                <w:sz w:val="14"/>
                <w:szCs w:val="14"/>
                <w:color w:val="auto"/>
              </w:rPr>
              <w:t>adjustments</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427</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427</w:t>
            </w: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1,650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1,650</w:t>
            </w:r>
          </w:p>
        </w:tc>
        <w:tc>
          <w:tcPr>
            <w:tcW w:w="0" w:type="dxa"/>
            <w:vAlign w:val="bottom"/>
          </w:tcPr>
          <w:p>
            <w:pPr>
              <w:spacing w:after="0"/>
              <w:rPr>
                <w:sz w:val="1"/>
                <w:szCs w:val="1"/>
                <w:color w:val="auto"/>
              </w:rPr>
            </w:pPr>
          </w:p>
        </w:tc>
      </w:tr>
      <w:tr>
        <w:trPr>
          <w:trHeight w:val="170"/>
        </w:trPr>
        <w:tc>
          <w:tcPr>
            <w:tcW w:w="1900" w:type="dxa"/>
            <w:vAlign w:val="bottom"/>
          </w:tcPr>
          <w:p>
            <w:pPr>
              <w:ind w:left="140"/>
              <w:spacing w:after="0"/>
              <w:rPr>
                <w:sz w:val="20"/>
                <w:szCs w:val="20"/>
                <w:color w:val="auto"/>
              </w:rPr>
            </w:pPr>
            <w:r>
              <w:rPr>
                <w:rFonts w:ascii="Arial" w:cs="Arial" w:eastAsia="Arial" w:hAnsi="Arial"/>
                <w:sz w:val="14"/>
                <w:szCs w:val="14"/>
                <w:color w:val="auto"/>
              </w:rPr>
              <w:t>Shares withheld in lieu of</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900" w:type="dxa"/>
            <w:vAlign w:val="bottom"/>
          </w:tcPr>
          <w:p>
            <w:pPr>
              <w:ind w:left="140"/>
              <w:spacing w:after="0"/>
              <w:rPr>
                <w:sz w:val="20"/>
                <w:szCs w:val="20"/>
                <w:color w:val="auto"/>
              </w:rPr>
            </w:pPr>
            <w:r>
              <w:rPr>
                <w:rFonts w:ascii="Arial" w:cs="Arial" w:eastAsia="Arial" w:hAnsi="Arial"/>
                <w:sz w:val="14"/>
                <w:szCs w:val="14"/>
                <w:color w:val="auto"/>
              </w:rPr>
              <w:t>employee tax withholding</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5"/>
        </w:trPr>
        <w:tc>
          <w:tcPr>
            <w:tcW w:w="1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(3,189)</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(3,179)</w:t>
            </w:r>
          </w:p>
        </w:tc>
        <w:tc>
          <w:tcPr>
            <w:tcW w:w="0" w:type="dxa"/>
            <w:vAlign w:val="bottom"/>
          </w:tcPr>
          <w:p>
            <w:pPr>
              <w:spacing w:after="0"/>
              <w:rPr>
                <w:sz w:val="1"/>
                <w:szCs w:val="1"/>
                <w:color w:val="auto"/>
              </w:rPr>
            </w:pPr>
          </w:p>
        </w:tc>
      </w:tr>
      <w:tr>
        <w:trPr>
          <w:trHeight w:val="170"/>
        </w:trPr>
        <w:tc>
          <w:tcPr>
            <w:tcW w:w="1900" w:type="dxa"/>
            <w:vAlign w:val="bottom"/>
          </w:tcPr>
          <w:p>
            <w:pPr>
              <w:ind w:left="140"/>
              <w:spacing w:after="0"/>
              <w:rPr>
                <w:sz w:val="20"/>
                <w:szCs w:val="20"/>
                <w:color w:val="auto"/>
              </w:rPr>
            </w:pPr>
            <w:r>
              <w:rPr>
                <w:rFonts w:ascii="Arial" w:cs="Arial" w:eastAsia="Arial" w:hAnsi="Arial"/>
                <w:sz w:val="14"/>
                <w:szCs w:val="14"/>
                <w:color w:val="auto"/>
              </w:rPr>
              <w:t>Gain on cash flow</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00" w:type="dxa"/>
            <w:vAlign w:val="bottom"/>
          </w:tcPr>
          <w:p>
            <w:pPr>
              <w:ind w:left="140"/>
              <w:spacing w:after="0"/>
              <w:rPr>
                <w:sz w:val="20"/>
                <w:szCs w:val="20"/>
                <w:color w:val="auto"/>
              </w:rPr>
            </w:pPr>
            <w:r>
              <w:rPr>
                <w:rFonts w:ascii="Arial" w:cs="Arial" w:eastAsia="Arial" w:hAnsi="Arial"/>
                <w:sz w:val="14"/>
                <w:szCs w:val="14"/>
                <w:color w:val="auto"/>
              </w:rPr>
              <w:t>commodity hedge</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96"/>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2023</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12,667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69,955</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286,777</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(806)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w w:val="99"/>
              </w:rPr>
              <w:t>(24,999)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(26,064)</w:t>
            </w:r>
          </w:p>
        </w:tc>
        <w:tc>
          <w:tcPr>
            <w:tcW w:w="3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305,795</w:t>
            </w:r>
          </w:p>
        </w:tc>
        <w:tc>
          <w:tcPr>
            <w:tcW w:w="0" w:type="dxa"/>
            <w:vAlign w:val="bottom"/>
          </w:tcPr>
          <w:p>
            <w:pPr>
              <w:spacing w:after="0"/>
              <w:rPr>
                <w:sz w:val="1"/>
                <w:szCs w:val="1"/>
                <w:color w:val="auto"/>
              </w:rPr>
            </w:pPr>
          </w:p>
        </w:tc>
      </w:tr>
      <w:tr>
        <w:trPr>
          <w:trHeight w:val="190"/>
        </w:trPr>
        <w:tc>
          <w:tcPr>
            <w:tcW w:w="19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18,454</w:t>
            </w:r>
          </w:p>
        </w:tc>
        <w:tc>
          <w:tcPr>
            <w:tcW w:w="120" w:type="dxa"/>
            <w:vAlign w:val="bottom"/>
          </w:tcPr>
          <w:p>
            <w:pPr>
              <w:spacing w:after="0"/>
              <w:rPr>
                <w:sz w:val="16"/>
                <w:szCs w:val="16"/>
                <w:color w:val="auto"/>
              </w:rPr>
            </w:pP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18,454</w:t>
            </w:r>
          </w:p>
        </w:tc>
        <w:tc>
          <w:tcPr>
            <w:tcW w:w="0" w:type="dxa"/>
            <w:vAlign w:val="bottom"/>
          </w:tcPr>
          <w:p>
            <w:pPr>
              <w:spacing w:after="0"/>
              <w:rPr>
                <w:sz w:val="1"/>
                <w:szCs w:val="1"/>
                <w:color w:val="auto"/>
              </w:rPr>
            </w:pPr>
          </w:p>
        </w:tc>
      </w:tr>
      <w:tr>
        <w:trPr>
          <w:trHeight w:val="25"/>
        </w:trPr>
        <w:tc>
          <w:tcPr>
            <w:tcW w:w="1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1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translation</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adjustments</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2,089</w:t>
            </w:r>
          </w:p>
        </w:tc>
        <w:tc>
          <w:tcPr>
            <w:tcW w:w="1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2,089</w:t>
            </w:r>
          </w:p>
        </w:tc>
        <w:tc>
          <w:tcPr>
            <w:tcW w:w="0" w:type="dxa"/>
            <w:vAlign w:val="bottom"/>
          </w:tcPr>
          <w:p>
            <w:pPr>
              <w:spacing w:after="0"/>
              <w:rPr>
                <w:sz w:val="1"/>
                <w:szCs w:val="1"/>
                <w:color w:val="auto"/>
              </w:rPr>
            </w:pPr>
          </w:p>
        </w:tc>
      </w:tr>
      <w:tr>
        <w:trPr>
          <w:trHeight w:val="190"/>
        </w:trPr>
        <w:tc>
          <w:tcPr>
            <w:tcW w:w="19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958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25"/>
        </w:trPr>
        <w:tc>
          <w:tcPr>
            <w:tcW w:w="1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(3,191)</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(3,191)</w:t>
            </w:r>
          </w:p>
        </w:tc>
        <w:tc>
          <w:tcPr>
            <w:tcW w:w="0" w:type="dxa"/>
            <w:vAlign w:val="bottom"/>
          </w:tcPr>
          <w:p>
            <w:pPr>
              <w:spacing w:after="0"/>
              <w:rPr>
                <w:sz w:val="1"/>
                <w:szCs w:val="1"/>
                <w:color w:val="auto"/>
              </w:rPr>
            </w:pPr>
          </w:p>
        </w:tc>
      </w:tr>
      <w:tr>
        <w:trPr>
          <w:trHeight w:val="211"/>
        </w:trPr>
        <w:tc>
          <w:tcPr>
            <w:tcW w:w="1900" w:type="dxa"/>
            <w:vAlign w:val="bottom"/>
          </w:tcPr>
          <w:p>
            <w:pPr>
              <w:ind w:left="140"/>
              <w:spacing w:after="0"/>
              <w:rPr>
                <w:sz w:val="20"/>
                <w:szCs w:val="20"/>
                <w:color w:val="auto"/>
              </w:rPr>
            </w:pPr>
            <w:r>
              <w:rPr>
                <w:rFonts w:ascii="Arial" w:cs="Arial" w:eastAsia="Arial" w:hAnsi="Arial"/>
                <w:sz w:val="14"/>
                <w:szCs w:val="14"/>
                <w:color w:val="auto"/>
                <w:w w:val="95"/>
              </w:rPr>
              <w:t>Loss on cash flow commodity</w:t>
            </w: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8"/>
        </w:trPr>
        <w:tc>
          <w:tcPr>
            <w:tcW w:w="1900" w:type="dxa"/>
            <w:vAlign w:val="bottom"/>
          </w:tcPr>
          <w:p>
            <w:pPr>
              <w:ind w:left="140"/>
              <w:spacing w:after="0"/>
              <w:rPr>
                <w:sz w:val="20"/>
                <w:szCs w:val="20"/>
                <w:color w:val="auto"/>
              </w:rPr>
            </w:pPr>
            <w:r>
              <w:rPr>
                <w:rFonts w:ascii="Arial" w:cs="Arial" w:eastAsia="Arial" w:hAnsi="Arial"/>
                <w:sz w:val="14"/>
                <w:szCs w:val="14"/>
                <w:color w:val="auto"/>
              </w:rPr>
              <w:t>hedge</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2023</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70,913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302,040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(806)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w w:val="99"/>
              </w:rPr>
              <w:t>(24,999)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324,070</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220"/>
          </w:cols>
          <w:pgMar w:left="1340" w:top="1093" w:right="1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107315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20"/>
          </w:cols>
          <w:pgMar w:left="1340" w:top="1093" w:right="1339" w:bottom="1440" w:gutter="0" w:footer="0" w:header="0"/>
          <w:type w:val="continuous"/>
        </w:sectPr>
      </w:pPr>
    </w:p>
    <w:bookmarkStart w:id="6" w:name="page7"/>
    <w:bookmarkEnd w:id="6"/>
    <w:p>
      <w:pPr>
        <w:spacing w:after="0" w:line="140" w:lineRule="exact"/>
        <w:rPr>
          <w:sz w:val="20"/>
          <w:szCs w:val="20"/>
          <w:color w:val="auto"/>
        </w:rPr>
      </w:pPr>
    </w:p>
    <w:p>
      <w:pPr>
        <w:jc w:val="center"/>
        <w:ind w:left="1360" w:right="1780"/>
        <w:spacing w:after="0" w:line="266" w:lineRule="auto"/>
        <w:rPr>
          <w:sz w:val="20"/>
          <w:szCs w:val="20"/>
          <w:color w:val="auto"/>
        </w:rPr>
      </w:pPr>
      <w:r>
        <w:rPr>
          <w:rFonts w:ascii="Arial" w:cs="Arial" w:eastAsia="Arial" w:hAnsi="Arial"/>
          <w:sz w:val="18"/>
          <w:szCs w:val="18"/>
          <w:b w:val="1"/>
          <w:bCs w:val="1"/>
          <w:color w:val="auto"/>
        </w:rPr>
        <w:t>POWELL INDUSTRIES, INC. AND SUBSIDIARIES Condensed Consolidated Statements of Stockholders’ Equity (Unaudited) (In thousands)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4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3"/>
                <w:szCs w:val="23"/>
                <w:color w:val="auto"/>
              </w:rPr>
            </w:pPr>
          </w:p>
        </w:tc>
        <w:tc>
          <w:tcPr>
            <w:tcW w:w="148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Retained</w:t>
            </w:r>
          </w:p>
        </w:tc>
        <w:tc>
          <w:tcPr>
            <w:tcW w:w="1580" w:type="dxa"/>
            <w:vAlign w:val="bottom"/>
            <w:gridSpan w:val="4"/>
          </w:tcPr>
          <w:p>
            <w:pPr>
              <w:ind w:left="32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23"/>
                <w:szCs w:val="23"/>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1900" w:type="dxa"/>
            <w:vAlign w:val="bottom"/>
          </w:tcPr>
          <w:p>
            <w:pPr>
              <w:spacing w:after="0"/>
              <w:rPr>
                <w:sz w:val="19"/>
                <w:szCs w:val="19"/>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Income/(Loss)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6"/>
        </w:trPr>
        <w:tc>
          <w:tcPr>
            <w:tcW w:w="19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September 30, 2021</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12,498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63,948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282,505</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w w:val="97"/>
              </w:rPr>
              <w:t>(806)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w w:val="99"/>
              </w:rPr>
              <w:t>(24,999)</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(20,356)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301,223</w:t>
            </w:r>
          </w:p>
        </w:tc>
        <w:tc>
          <w:tcPr>
            <w:tcW w:w="0" w:type="dxa"/>
            <w:vAlign w:val="bottom"/>
          </w:tcPr>
          <w:p>
            <w:pPr>
              <w:spacing w:after="0"/>
              <w:rPr>
                <w:sz w:val="1"/>
                <w:szCs w:val="1"/>
                <w:color w:val="auto"/>
              </w:rPr>
            </w:pPr>
          </w:p>
        </w:tc>
      </w:tr>
      <w:tr>
        <w:trPr>
          <w:trHeight w:val="191"/>
        </w:trPr>
        <w:tc>
          <w:tcPr>
            <w:tcW w:w="1900" w:type="dxa"/>
            <w:vAlign w:val="bottom"/>
          </w:tcPr>
          <w:p>
            <w:pPr>
              <w:ind w:left="140"/>
              <w:spacing w:after="0"/>
              <w:rPr>
                <w:sz w:val="20"/>
                <w:szCs w:val="20"/>
                <w:color w:val="auto"/>
              </w:rPr>
            </w:pPr>
            <w:r>
              <w:rPr>
                <w:rFonts w:ascii="Arial" w:cs="Arial" w:eastAsia="Arial" w:hAnsi="Arial"/>
                <w:sz w:val="14"/>
                <w:szCs w:val="14"/>
                <w:color w:val="auto"/>
              </w:rPr>
              <w:t>Net loss</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(2,846)</w:t>
            </w: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(2,846)</w:t>
            </w: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translation</w:t>
            </w: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3"/>
        </w:trPr>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adjustments</w:t>
            </w: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1,007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1,008</w:t>
            </w: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 withheld in lieu of</w:t>
            </w: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0" w:type="dxa"/>
            <w:vAlign w:val="bottom"/>
          </w:tcPr>
          <w:p>
            <w:pPr>
              <w:spacing w:after="0"/>
              <w:rPr>
                <w:sz w:val="1"/>
                <w:szCs w:val="1"/>
                <w:color w:val="auto"/>
              </w:rPr>
            </w:pPr>
          </w:p>
        </w:tc>
      </w:tr>
      <w:tr>
        <w:trPr>
          <w:trHeight w:val="183"/>
        </w:trPr>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employee tax withholding</w:t>
            </w: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00" w:type="dxa"/>
            <w:vAlign w:val="bottom"/>
          </w:tcPr>
          <w:p>
            <w:pPr>
              <w:ind w:left="140"/>
              <w:spacing w:after="0"/>
              <w:rPr>
                <w:sz w:val="20"/>
                <w:szCs w:val="20"/>
                <w:color w:val="auto"/>
              </w:rPr>
            </w:pPr>
            <w:r>
              <w:rPr>
                <w:rFonts w:ascii="Arial" w:cs="Arial" w:eastAsia="Arial" w:hAnsi="Arial"/>
                <w:sz w:val="14"/>
                <w:szCs w:val="14"/>
                <w:color w:val="auto"/>
              </w:rPr>
              <w:t>Dividends</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(3,269)</w:t>
            </w: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(3,200)</w:t>
            </w:r>
          </w:p>
        </w:tc>
        <w:tc>
          <w:tcPr>
            <w:tcW w:w="0" w:type="dxa"/>
            <w:vAlign w:val="bottom"/>
          </w:tcPr>
          <w:p>
            <w:pPr>
              <w:spacing w:after="0"/>
              <w:rPr>
                <w:sz w:val="1"/>
                <w:szCs w:val="1"/>
                <w:color w:val="auto"/>
              </w:rPr>
            </w:pPr>
          </w:p>
        </w:tc>
      </w:tr>
      <w:tr>
        <w:trPr>
          <w:trHeight w:val="26"/>
        </w:trPr>
        <w:tc>
          <w:tcPr>
            <w:tcW w:w="19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2021</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12,570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64,364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276,390</w:t>
            </w:r>
          </w:p>
        </w:tc>
        <w:tc>
          <w:tcPr>
            <w:tcW w:w="1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w w:val="97"/>
              </w:rPr>
              <w:t>(806)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w w:val="99"/>
              </w:rPr>
              <w:t>(24,999)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(20,302)</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295,579</w:t>
            </w:r>
          </w:p>
        </w:tc>
        <w:tc>
          <w:tcPr>
            <w:tcW w:w="0" w:type="dxa"/>
            <w:vAlign w:val="bottom"/>
          </w:tcPr>
          <w:p>
            <w:pPr>
              <w:spacing w:after="0"/>
              <w:rPr>
                <w:sz w:val="1"/>
                <w:szCs w:val="1"/>
                <w:color w:val="auto"/>
              </w:rPr>
            </w:pPr>
          </w:p>
        </w:tc>
      </w:tr>
      <w:tr>
        <w:trPr>
          <w:trHeight w:val="191"/>
        </w:trPr>
        <w:tc>
          <w:tcPr>
            <w:tcW w:w="1900" w:type="dxa"/>
            <w:vAlign w:val="bottom"/>
          </w:tcPr>
          <w:p>
            <w:pPr>
              <w:ind w:left="140"/>
              <w:spacing w:after="0"/>
              <w:rPr>
                <w:sz w:val="20"/>
                <w:szCs w:val="20"/>
                <w:color w:val="auto"/>
              </w:rPr>
            </w:pPr>
            <w:r>
              <w:rPr>
                <w:rFonts w:ascii="Arial" w:cs="Arial" w:eastAsia="Arial" w:hAnsi="Arial"/>
                <w:sz w:val="14"/>
                <w:szCs w:val="14"/>
                <w:color w:val="auto"/>
              </w:rPr>
              <w:t>Net loss</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(1,217)</w:t>
            </w:r>
          </w:p>
        </w:tc>
        <w:tc>
          <w:tcPr>
            <w:tcW w:w="120" w:type="dxa"/>
            <w:vAlign w:val="bottom"/>
          </w:tcPr>
          <w:p>
            <w:pPr>
              <w:spacing w:after="0"/>
              <w:rPr>
                <w:sz w:val="16"/>
                <w:szCs w:val="16"/>
                <w:color w:val="auto"/>
              </w:rPr>
            </w:pP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(1,217)</w:t>
            </w: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9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currency translation</w:t>
            </w: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902</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902</w:t>
            </w:r>
          </w:p>
        </w:tc>
        <w:tc>
          <w:tcPr>
            <w:tcW w:w="0" w:type="dxa"/>
            <w:vAlign w:val="bottom"/>
          </w:tcPr>
          <w:p>
            <w:pPr>
              <w:spacing w:after="0"/>
              <w:rPr>
                <w:sz w:val="1"/>
                <w:szCs w:val="1"/>
                <w:color w:val="auto"/>
              </w:rPr>
            </w:pPr>
          </w:p>
        </w:tc>
      </w:tr>
      <w:tr>
        <w:trPr>
          <w:trHeight w:val="183"/>
        </w:trPr>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adjustments</w:t>
            </w: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vMerge w:val="continue"/>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00" w:type="dxa"/>
            <w:vAlign w:val="bottom"/>
          </w:tcPr>
          <w:p>
            <w:pPr>
              <w:ind w:left="140"/>
              <w:spacing w:after="0"/>
              <w:rPr>
                <w:sz w:val="20"/>
                <w:szCs w:val="20"/>
                <w:color w:val="auto"/>
              </w:rPr>
            </w:pPr>
            <w:r>
              <w:rPr>
                <w:rFonts w:ascii="Arial" w:cs="Arial" w:eastAsia="Arial" w:hAnsi="Arial"/>
                <w:sz w:val="14"/>
                <w:szCs w:val="14"/>
                <w:color w:val="auto"/>
              </w:rPr>
              <w:t>Stock-based compensation</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711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711</w:t>
            </w:r>
          </w:p>
        </w:tc>
        <w:tc>
          <w:tcPr>
            <w:tcW w:w="0" w:type="dxa"/>
            <w:vAlign w:val="bottom"/>
          </w:tcPr>
          <w:p>
            <w:pPr>
              <w:spacing w:after="0"/>
              <w:rPr>
                <w:sz w:val="1"/>
                <w:szCs w:val="1"/>
                <w:color w:val="auto"/>
              </w:rPr>
            </w:pPr>
          </w:p>
        </w:tc>
      </w:tr>
      <w:tr>
        <w:trPr>
          <w:trHeight w:val="26"/>
        </w:trPr>
        <w:tc>
          <w:tcPr>
            <w:tcW w:w="1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(3,105)</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(3,105)</w:t>
            </w:r>
          </w:p>
        </w:tc>
        <w:tc>
          <w:tcPr>
            <w:tcW w:w="0" w:type="dxa"/>
            <w:vAlign w:val="bottom"/>
          </w:tcPr>
          <w:p>
            <w:pPr>
              <w:spacing w:after="0"/>
              <w:rPr>
                <w:sz w:val="1"/>
                <w:szCs w:val="1"/>
                <w:color w:val="auto"/>
              </w:rPr>
            </w:pPr>
          </w:p>
        </w:tc>
      </w:tr>
      <w:tr>
        <w:trPr>
          <w:trHeight w:val="176"/>
        </w:trPr>
        <w:tc>
          <w:tcPr>
            <w:tcW w:w="1900" w:type="dxa"/>
            <w:vAlign w:val="bottom"/>
          </w:tcPr>
          <w:p>
            <w:pPr>
              <w:ind w:left="20"/>
              <w:spacing w:after="0"/>
              <w:rPr>
                <w:sz w:val="20"/>
                <w:szCs w:val="20"/>
                <w:color w:val="auto"/>
              </w:rPr>
            </w:pPr>
            <w:r>
              <w:rPr>
                <w:rFonts w:ascii="Arial" w:cs="Arial" w:eastAsia="Arial" w:hAnsi="Arial"/>
                <w:sz w:val="14"/>
                <w:szCs w:val="14"/>
                <w:color w:val="auto"/>
              </w:rPr>
              <w:t>Balance, March 31, 2022</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12,587</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14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65,075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272,068</w:t>
            </w:r>
          </w:p>
        </w:tc>
        <w:tc>
          <w:tcPr>
            <w:tcW w:w="120" w:type="dxa"/>
            <w:vAlign w:val="bottom"/>
          </w:tcPr>
          <w:p>
            <w:pPr>
              <w:spacing w:after="0"/>
              <w:rPr>
                <w:sz w:val="15"/>
                <w:szCs w:val="15"/>
                <w:color w:val="auto"/>
              </w:rPr>
            </w:pPr>
          </w:p>
        </w:tc>
        <w:tc>
          <w:tcPr>
            <w:tcW w:w="620" w:type="dxa"/>
            <w:vAlign w:val="bottom"/>
            <w:tcBorders>
              <w:top w:val="single" w:sz="8" w:color="auto"/>
            </w:tcBorders>
          </w:tcPr>
          <w:p>
            <w:pPr>
              <w:ind w:left="280"/>
              <w:spacing w:after="0"/>
              <w:rPr>
                <w:sz w:val="20"/>
                <w:szCs w:val="20"/>
                <w:color w:val="auto"/>
              </w:rPr>
            </w:pPr>
            <w:r>
              <w:rPr>
                <w:rFonts w:ascii="Arial" w:cs="Arial" w:eastAsia="Arial" w:hAnsi="Arial"/>
                <w:sz w:val="14"/>
                <w:szCs w:val="14"/>
                <w:color w:val="auto"/>
                <w:w w:val="97"/>
              </w:rPr>
              <w:t>(806)</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ind w:left="160"/>
              <w:spacing w:after="0"/>
              <w:rPr>
                <w:sz w:val="20"/>
                <w:szCs w:val="20"/>
                <w:color w:val="auto"/>
              </w:rPr>
            </w:pPr>
            <w:r>
              <w:rPr>
                <w:rFonts w:ascii="Arial" w:cs="Arial" w:eastAsia="Arial" w:hAnsi="Arial"/>
                <w:sz w:val="14"/>
                <w:szCs w:val="14"/>
                <w:color w:val="auto"/>
                <w:w w:val="99"/>
              </w:rPr>
              <w:t>(24,999)</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(19,400)</w:t>
            </w:r>
          </w:p>
        </w:tc>
        <w:tc>
          <w:tcPr>
            <w:tcW w:w="14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292,870</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9,061</w:t>
            </w: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9,061</w:t>
            </w:r>
          </w:p>
        </w:tc>
        <w:tc>
          <w:tcPr>
            <w:tcW w:w="0" w:type="dxa"/>
            <w:vAlign w:val="bottom"/>
          </w:tcPr>
          <w:p>
            <w:pPr>
              <w:spacing w:after="0"/>
              <w:rPr>
                <w:sz w:val="1"/>
                <w:szCs w:val="1"/>
                <w:color w:val="auto"/>
              </w:rPr>
            </w:pPr>
          </w:p>
        </w:tc>
      </w:tr>
      <w:tr>
        <w:trPr>
          <w:trHeight w:val="175"/>
        </w:trPr>
        <w:tc>
          <w:tcPr>
            <w:tcW w:w="1900" w:type="dxa"/>
            <w:vAlign w:val="bottom"/>
          </w:tcPr>
          <w:p>
            <w:pPr>
              <w:ind w:left="140"/>
              <w:spacing w:after="0"/>
              <w:rPr>
                <w:sz w:val="20"/>
                <w:szCs w:val="20"/>
                <w:color w:val="auto"/>
              </w:rPr>
            </w:pPr>
            <w:r>
              <w:rPr>
                <w:rFonts w:ascii="Arial" w:cs="Arial" w:eastAsia="Arial" w:hAnsi="Arial"/>
                <w:sz w:val="14"/>
                <w:szCs w:val="14"/>
                <w:color w:val="auto"/>
              </w:rPr>
              <w:t>Foreign currency translation</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(3,457)</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(3,457)</w:t>
            </w:r>
          </w:p>
        </w:tc>
        <w:tc>
          <w:tcPr>
            <w:tcW w:w="0" w:type="dxa"/>
            <w:vAlign w:val="bottom"/>
          </w:tcPr>
          <w:p>
            <w:pPr>
              <w:spacing w:after="0"/>
              <w:rPr>
                <w:sz w:val="1"/>
                <w:szCs w:val="1"/>
                <w:color w:val="auto"/>
              </w:rPr>
            </w:pPr>
          </w:p>
        </w:tc>
      </w:tr>
      <w:tr>
        <w:trPr>
          <w:trHeight w:val="182"/>
        </w:trPr>
        <w:tc>
          <w:tcPr>
            <w:tcW w:w="1900" w:type="dxa"/>
            <w:vAlign w:val="bottom"/>
          </w:tcPr>
          <w:p>
            <w:pPr>
              <w:ind w:left="140"/>
              <w:spacing w:after="0"/>
              <w:rPr>
                <w:sz w:val="20"/>
                <w:szCs w:val="20"/>
                <w:color w:val="auto"/>
              </w:rPr>
            </w:pPr>
            <w:r>
              <w:rPr>
                <w:rFonts w:ascii="Arial" w:cs="Arial" w:eastAsia="Arial" w:hAnsi="Arial"/>
                <w:sz w:val="14"/>
                <w:szCs w:val="14"/>
                <w:color w:val="auto"/>
              </w:rPr>
              <w:t>adjustments</w:t>
            </w: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Stock-based compensation</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175"/>
        </w:trPr>
        <w:tc>
          <w:tcPr>
            <w:tcW w:w="1900" w:type="dxa"/>
            <w:vAlign w:val="bottom"/>
          </w:tcPr>
          <w:p>
            <w:pPr>
              <w:ind w:left="140"/>
              <w:spacing w:after="0"/>
              <w:rPr>
                <w:sz w:val="20"/>
                <w:szCs w:val="20"/>
                <w:color w:val="auto"/>
              </w:rPr>
            </w:pPr>
            <w:r>
              <w:rPr>
                <w:rFonts w:ascii="Arial" w:cs="Arial" w:eastAsia="Arial" w:hAnsi="Arial"/>
                <w:sz w:val="14"/>
                <w:szCs w:val="14"/>
                <w:color w:val="auto"/>
              </w:rPr>
              <w:t>Shares withheld in lieu of</w:t>
            </w: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ind w:left="4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ind w:left="4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2"/>
        </w:trPr>
        <w:tc>
          <w:tcPr>
            <w:tcW w:w="1900" w:type="dxa"/>
            <w:vAlign w:val="bottom"/>
          </w:tcPr>
          <w:p>
            <w:pPr>
              <w:ind w:left="140"/>
              <w:spacing w:after="0"/>
              <w:rPr>
                <w:sz w:val="20"/>
                <w:szCs w:val="20"/>
                <w:color w:val="auto"/>
              </w:rPr>
            </w:pPr>
            <w:r>
              <w:rPr>
                <w:rFonts w:ascii="Arial" w:cs="Arial" w:eastAsia="Arial" w:hAnsi="Arial"/>
                <w:sz w:val="14"/>
                <w:szCs w:val="14"/>
                <w:color w:val="auto"/>
              </w:rPr>
              <w:t>employee tax withholding</w:t>
            </w: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9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Dividends</w:t>
            </w: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(3,112)</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(3,111)</w:t>
            </w:r>
          </w:p>
        </w:tc>
        <w:tc>
          <w:tcPr>
            <w:tcW w:w="0" w:type="dxa"/>
            <w:vAlign w:val="bottom"/>
          </w:tcPr>
          <w:p>
            <w:pPr>
              <w:spacing w:after="0"/>
              <w:rPr>
                <w:sz w:val="1"/>
                <w:szCs w:val="1"/>
                <w:color w:val="auto"/>
              </w:rPr>
            </w:pPr>
          </w:p>
        </w:tc>
      </w:tr>
      <w:tr>
        <w:trPr>
          <w:trHeight w:val="183"/>
        </w:trPr>
        <w:tc>
          <w:tcPr>
            <w:tcW w:w="1900" w:type="dxa"/>
            <w:vAlign w:val="bottom"/>
          </w:tcPr>
          <w:p>
            <w:pPr>
              <w:ind w:left="20"/>
              <w:spacing w:after="0"/>
              <w:rPr>
                <w:sz w:val="20"/>
                <w:szCs w:val="20"/>
                <w:color w:val="auto"/>
              </w:rPr>
            </w:pPr>
            <w:r>
              <w:rPr>
                <w:rFonts w:ascii="Arial" w:cs="Arial" w:eastAsia="Arial" w:hAnsi="Arial"/>
                <w:sz w:val="14"/>
                <w:szCs w:val="14"/>
                <w:color w:val="auto"/>
              </w:rPr>
              <w:t>Balance, June 30, 2022</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12,587</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65,661</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278,017</w:t>
            </w:r>
          </w:p>
        </w:tc>
        <w:tc>
          <w:tcPr>
            <w:tcW w:w="120" w:type="dxa"/>
            <w:vAlign w:val="bottom"/>
          </w:tcPr>
          <w:p>
            <w:pPr>
              <w:spacing w:after="0"/>
              <w:rPr>
                <w:sz w:val="15"/>
                <w:szCs w:val="15"/>
                <w:color w:val="auto"/>
              </w:rPr>
            </w:pPr>
          </w:p>
        </w:tc>
        <w:tc>
          <w:tcPr>
            <w:tcW w:w="62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color w:val="auto"/>
                <w:w w:val="97"/>
              </w:rPr>
              <w:t>(806)</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color w:val="auto"/>
                <w:w w:val="99"/>
              </w:rPr>
              <w:t>(24,999)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(22,857)</w:t>
            </w:r>
          </w:p>
        </w:tc>
        <w:tc>
          <w:tcPr>
            <w:tcW w:w="14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295,948</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00"/>
          </w:cols>
          <w:pgMar w:left="1340" w:top="1440" w:right="1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Nine months ended June 30,</w:t>
            </w:r>
          </w:p>
        </w:tc>
        <w:tc>
          <w:tcPr>
            <w:tcW w:w="1240" w:type="dxa"/>
            <w:vAlign w:val="bottom"/>
          </w:tcPr>
          <w:p>
            <w:pPr>
              <w:spacing w:after="0"/>
              <w:rPr>
                <w:sz w:val="16"/>
                <w:szCs w:val="16"/>
                <w:color w:val="auto"/>
              </w:rPr>
            </w:pPr>
          </w:p>
        </w:tc>
      </w:tr>
      <w:tr>
        <w:trPr>
          <w:trHeight w:val="26"/>
        </w:trPr>
        <w:tc>
          <w:tcPr>
            <w:tcW w:w="68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3"/>
        </w:trPr>
        <w:tc>
          <w:tcPr>
            <w:tcW w:w="688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11"/>
              <w:spacing w:after="0"/>
              <w:rPr>
                <w:sz w:val="20"/>
                <w:szCs w:val="20"/>
                <w:color w:val="auto"/>
              </w:rPr>
            </w:pPr>
            <w:r>
              <w:rPr>
                <w:rFonts w:ascii="Arial" w:cs="Arial" w:eastAsia="Arial" w:hAnsi="Arial"/>
                <w:sz w:val="14"/>
                <w:szCs w:val="14"/>
                <w:b w:val="1"/>
                <w:bCs w:val="1"/>
                <w:color w:val="auto"/>
              </w:rPr>
              <w:t>2022</w:t>
            </w:r>
          </w:p>
        </w:tc>
      </w:tr>
      <w:tr>
        <w:trPr>
          <w:trHeight w:val="229"/>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68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240" w:type="dxa"/>
            <w:vAlign w:val="bottom"/>
          </w:tcPr>
          <w:p>
            <w:pPr>
              <w:jc w:val="right"/>
              <w:ind w:right="103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28,090</w:t>
            </w:r>
          </w:p>
        </w:tc>
        <w:tc>
          <w:tcPr>
            <w:tcW w:w="9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4,998</w:t>
            </w:r>
          </w:p>
        </w:tc>
      </w:tr>
      <w:tr>
        <w:trPr>
          <w:trHeight w:val="23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30"/>
        </w:trPr>
        <w:tc>
          <w:tcPr>
            <w:tcW w:w="6880" w:type="dxa"/>
            <w:vAlign w:val="bottom"/>
          </w:tcPr>
          <w:p>
            <w:pPr>
              <w:ind w:left="460"/>
              <w:spacing w:after="0"/>
              <w:rPr>
                <w:sz w:val="20"/>
                <w:szCs w:val="20"/>
                <w:color w:val="auto"/>
              </w:rPr>
            </w:pPr>
            <w:r>
              <w:rPr>
                <w:rFonts w:ascii="Arial" w:cs="Arial" w:eastAsia="Arial" w:hAnsi="Arial"/>
                <w:sz w:val="18"/>
                <w:szCs w:val="18"/>
                <w:color w:val="auto"/>
              </w:rPr>
              <w:t>Depreciation</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7,206</w:t>
            </w:r>
          </w:p>
        </w:tc>
      </w:tr>
      <w:tr>
        <w:trPr>
          <w:trHeight w:val="243"/>
        </w:trPr>
        <w:tc>
          <w:tcPr>
            <w:tcW w:w="6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Gain on sale of division</w:t>
            </w:r>
          </w:p>
        </w:tc>
        <w:tc>
          <w:tcPr>
            <w:tcW w:w="1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r>
      <w:tr>
        <w:trPr>
          <w:trHeight w:val="230"/>
        </w:trPr>
        <w:tc>
          <w:tcPr>
            <w:tcW w:w="6880" w:type="dxa"/>
            <w:vAlign w:val="bottom"/>
          </w:tcPr>
          <w:p>
            <w:pPr>
              <w:ind w:left="460"/>
              <w:spacing w:after="0"/>
              <w:rPr>
                <w:sz w:val="20"/>
                <w:szCs w:val="20"/>
                <w:color w:val="auto"/>
              </w:rPr>
            </w:pPr>
            <w:r>
              <w:rPr>
                <w:rFonts w:ascii="Arial" w:cs="Arial" w:eastAsia="Arial" w:hAnsi="Arial"/>
                <w:sz w:val="18"/>
                <w:szCs w:val="18"/>
                <w:color w:val="auto"/>
              </w:rPr>
              <w:t>Stock-based compensation</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3,914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2,308</w:t>
            </w:r>
          </w:p>
        </w:tc>
      </w:tr>
      <w:tr>
        <w:trPr>
          <w:trHeight w:val="229"/>
        </w:trPr>
        <w:tc>
          <w:tcPr>
            <w:tcW w:w="6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Bad debt expense, net</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37"/>
        </w:trPr>
        <w:tc>
          <w:tcPr>
            <w:tcW w:w="6880" w:type="dxa"/>
            <w:vAlign w:val="bottom"/>
          </w:tcPr>
          <w:p>
            <w:pPr>
              <w:ind w:left="460"/>
              <w:spacing w:after="0"/>
              <w:rPr>
                <w:sz w:val="20"/>
                <w:szCs w:val="20"/>
                <w:color w:val="auto"/>
              </w:rPr>
            </w:pPr>
            <w:r>
              <w:rPr>
                <w:rFonts w:ascii="Arial" w:cs="Arial" w:eastAsia="Arial" w:hAnsi="Arial"/>
                <w:sz w:val="18"/>
                <w:szCs w:val="18"/>
                <w:color w:val="auto"/>
              </w:rPr>
              <w:t>Deferred income taxes</w:t>
            </w:r>
          </w:p>
        </w:tc>
        <w:tc>
          <w:tcPr>
            <w:tcW w:w="1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(5,548)</w:t>
            </w:r>
          </w:p>
        </w:tc>
      </w:tr>
      <w:tr>
        <w:trPr>
          <w:trHeight w:val="23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29"/>
        </w:trPr>
        <w:tc>
          <w:tcPr>
            <w:tcW w:w="6880" w:type="dxa"/>
            <w:vAlign w:val="bottom"/>
          </w:tcPr>
          <w:p>
            <w:pPr>
              <w:ind w:left="460"/>
              <w:spacing w:after="0"/>
              <w:rPr>
                <w:sz w:val="20"/>
                <w:szCs w:val="20"/>
                <w:color w:val="auto"/>
              </w:rPr>
            </w:pPr>
            <w:r>
              <w:rPr>
                <w:rFonts w:ascii="Arial" w:cs="Arial" w:eastAsia="Arial" w:hAnsi="Arial"/>
                <w:sz w:val="18"/>
                <w:szCs w:val="18"/>
                <w:color w:val="auto"/>
              </w:rPr>
              <w:t>Accounts receivable, net</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(96,986)</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(27,011)</w:t>
            </w:r>
          </w:p>
        </w:tc>
      </w:tr>
      <w:tr>
        <w:trPr>
          <w:trHeight w:val="243"/>
        </w:trPr>
        <w:tc>
          <w:tcPr>
            <w:tcW w:w="6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Contract assets and liabilities, net</w:t>
            </w:r>
          </w:p>
        </w:tc>
        <w:tc>
          <w:tcPr>
            <w:tcW w:w="1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178,161</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w:t>
            </w:r>
          </w:p>
        </w:tc>
      </w:tr>
      <w:tr>
        <w:trPr>
          <w:trHeight w:val="229"/>
        </w:trPr>
        <w:tc>
          <w:tcPr>
            <w:tcW w:w="6880" w:type="dxa"/>
            <w:vAlign w:val="bottom"/>
          </w:tcPr>
          <w:p>
            <w:pPr>
              <w:ind w:left="460"/>
              <w:spacing w:after="0"/>
              <w:rPr>
                <w:sz w:val="20"/>
                <w:szCs w:val="20"/>
                <w:color w:val="auto"/>
              </w:rPr>
            </w:pPr>
            <w:r>
              <w:rPr>
                <w:rFonts w:ascii="Arial" w:cs="Arial" w:eastAsia="Arial" w:hAnsi="Arial"/>
                <w:sz w:val="18"/>
                <w:szCs w:val="18"/>
                <w:color w:val="auto"/>
              </w:rPr>
              <w:t>Inventories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(15,304)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(19,387)</w:t>
            </w:r>
          </w:p>
        </w:tc>
      </w:tr>
      <w:tr>
        <w:trPr>
          <w:trHeight w:val="230"/>
        </w:trPr>
        <w:tc>
          <w:tcPr>
            <w:tcW w:w="6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taxes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r>
      <w:tr>
        <w:trPr>
          <w:trHeight w:val="237"/>
        </w:trPr>
        <w:tc>
          <w:tcPr>
            <w:tcW w:w="6880" w:type="dxa"/>
            <w:vAlign w:val="bottom"/>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1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(1,981)</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6"/>
        </w:trPr>
        <w:tc>
          <w:tcPr>
            <w:tcW w:w="6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1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r>
      <w:tr>
        <w:trPr>
          <w:trHeight w:val="229"/>
        </w:trPr>
        <w:tc>
          <w:tcPr>
            <w:tcW w:w="6880" w:type="dxa"/>
            <w:vAlign w:val="bottom"/>
          </w:tcPr>
          <w:p>
            <w:pPr>
              <w:ind w:left="460"/>
              <w:spacing w:after="0"/>
              <w:rPr>
                <w:sz w:val="20"/>
                <w:szCs w:val="20"/>
                <w:color w:val="auto"/>
              </w:rPr>
            </w:pPr>
            <w:r>
              <w:rPr>
                <w:rFonts w:ascii="Arial" w:cs="Arial" w:eastAsia="Arial" w:hAnsi="Arial"/>
                <w:sz w:val="18"/>
                <w:szCs w:val="18"/>
                <w:color w:val="auto"/>
              </w:rPr>
              <w:t>Accrued liabilities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3,528</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43"/>
        </w:trPr>
        <w:tc>
          <w:tcPr>
            <w:tcW w:w="68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net</w:t>
            </w:r>
          </w:p>
        </w:tc>
        <w:tc>
          <w:tcPr>
            <w:tcW w:w="1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r>
      <w:tr>
        <w:trPr>
          <w:trHeight w:val="223"/>
        </w:trPr>
        <w:tc>
          <w:tcPr>
            <w:tcW w:w="6880" w:type="dxa"/>
            <w:vAlign w:val="bottom"/>
          </w:tcPr>
          <w:p>
            <w:pPr>
              <w:ind w:left="680"/>
              <w:spacing w:after="0"/>
              <w:rPr>
                <w:sz w:val="20"/>
                <w:szCs w:val="20"/>
                <w:color w:val="auto"/>
              </w:rPr>
            </w:pPr>
            <w:r>
              <w:rPr>
                <w:rFonts w:ascii="Arial" w:cs="Arial" w:eastAsia="Arial" w:hAnsi="Arial"/>
                <w:sz w:val="18"/>
                <w:szCs w:val="18"/>
                <w:color w:val="auto"/>
              </w:rPr>
              <w:t>Net cash provided by (used in) operating activities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105,314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(27,784)</w:t>
            </w:r>
          </w:p>
        </w:tc>
      </w:tr>
      <w:tr>
        <w:trPr>
          <w:trHeight w:val="230"/>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7"/>
        </w:trPr>
        <w:tc>
          <w:tcPr>
            <w:tcW w:w="6880" w:type="dxa"/>
            <w:vAlign w:val="bottom"/>
          </w:tcPr>
          <w:p>
            <w:pPr>
              <w:ind w:left="220"/>
              <w:spacing w:after="0"/>
              <w:rPr>
                <w:sz w:val="20"/>
                <w:szCs w:val="20"/>
                <w:color w:val="auto"/>
              </w:rPr>
            </w:pPr>
            <w:r>
              <w:rPr>
                <w:rFonts w:ascii="Arial" w:cs="Arial" w:eastAsia="Arial" w:hAnsi="Arial"/>
                <w:sz w:val="18"/>
                <w:szCs w:val="18"/>
                <w:color w:val="auto"/>
              </w:rPr>
              <w:t>Purchases of short-term investments</w:t>
            </w:r>
          </w:p>
        </w:tc>
        <w:tc>
          <w:tcPr>
            <w:tcW w:w="1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(18,789)</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(15,104)</w:t>
            </w:r>
          </w:p>
        </w:tc>
      </w:tr>
      <w:tr>
        <w:trPr>
          <w:trHeight w:val="23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Maturities of short-term investments</w:t>
            </w:r>
          </w:p>
        </w:tc>
        <w:tc>
          <w:tcPr>
            <w:tcW w:w="1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11,873</w:t>
            </w:r>
          </w:p>
        </w:tc>
      </w:tr>
      <w:tr>
        <w:trPr>
          <w:trHeight w:val="230"/>
        </w:trPr>
        <w:tc>
          <w:tcPr>
            <w:tcW w:w="6880" w:type="dxa"/>
            <w:vAlign w:val="bottom"/>
          </w:tcPr>
          <w:p>
            <w:pPr>
              <w:ind w:left="220"/>
              <w:spacing w:after="0"/>
              <w:rPr>
                <w:sz w:val="20"/>
                <w:szCs w:val="20"/>
                <w:color w:val="auto"/>
              </w:rPr>
            </w:pPr>
            <w:r>
              <w:rPr>
                <w:rFonts w:ascii="Arial" w:cs="Arial" w:eastAsia="Arial" w:hAnsi="Arial"/>
                <w:sz w:val="18"/>
                <w:szCs w:val="18"/>
                <w:color w:val="auto"/>
              </w:rPr>
              <w:t>Proceeds from sale of division</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4,348</w:t>
            </w:r>
          </w:p>
        </w:tc>
      </w:tr>
      <w:tr>
        <w:trPr>
          <w:trHeight w:val="243"/>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1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w:t>
            </w:r>
          </w:p>
        </w:tc>
      </w:tr>
      <w:tr>
        <w:trPr>
          <w:trHeight w:val="230"/>
        </w:trPr>
        <w:tc>
          <w:tcPr>
            <w:tcW w:w="68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sale of property, plant and equipment</w:t>
            </w:r>
          </w:p>
        </w:tc>
        <w:tc>
          <w:tcPr>
            <w:tcW w:w="1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r>
      <w:tr>
        <w:trPr>
          <w:trHeight w:val="223"/>
        </w:trPr>
        <w:tc>
          <w:tcPr>
            <w:tcW w:w="6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(15,398)</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1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43"/>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on industrial development revenue bonds</w:t>
            </w:r>
          </w:p>
        </w:tc>
        <w:tc>
          <w:tcPr>
            <w:tcW w:w="1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6880" w:type="dxa"/>
            <w:vAlign w:val="bottom"/>
          </w:tcPr>
          <w:p>
            <w:pPr>
              <w:ind w:left="220"/>
              <w:spacing w:after="0"/>
              <w:rPr>
                <w:sz w:val="20"/>
                <w:szCs w:val="20"/>
                <w:color w:val="auto"/>
              </w:rPr>
            </w:pPr>
            <w:r>
              <w:rPr>
                <w:rFonts w:ascii="Arial" w:cs="Arial" w:eastAsia="Arial" w:hAnsi="Arial"/>
                <w:sz w:val="18"/>
                <w:szCs w:val="18"/>
                <w:color w:val="auto"/>
              </w:rPr>
              <w:t>Shares withheld in lieu of employee tax withholding</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30"/>
        </w:trPr>
        <w:tc>
          <w:tcPr>
            <w:tcW w:w="6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Dividends paid</w:t>
            </w:r>
          </w:p>
        </w:tc>
        <w:tc>
          <w:tcPr>
            <w:tcW w:w="1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(9,292)</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(9,170)</w:t>
            </w:r>
          </w:p>
        </w:tc>
      </w:tr>
      <w:tr>
        <w:trPr>
          <w:trHeight w:val="230"/>
        </w:trPr>
        <w:tc>
          <w:tcPr>
            <w:tcW w:w="6880" w:type="dxa"/>
            <w:vAlign w:val="bottom"/>
          </w:tcPr>
          <w:p>
            <w:pPr>
              <w:ind w:left="680"/>
              <w:spacing w:after="0"/>
              <w:rPr>
                <w:sz w:val="20"/>
                <w:szCs w:val="20"/>
                <w:color w:val="auto"/>
              </w:rPr>
            </w:pPr>
            <w:r>
              <w:rPr>
                <w:rFonts w:ascii="Arial" w:cs="Arial" w:eastAsia="Arial" w:hAnsi="Arial"/>
                <w:sz w:val="18"/>
                <w:szCs w:val="18"/>
                <w:color w:val="auto"/>
              </w:rPr>
              <w:t>Net cash used in financing activities</w:t>
            </w:r>
          </w:p>
        </w:tc>
        <w:tc>
          <w:tcPr>
            <w:tcW w:w="1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(9,874)</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(10,233)</w:t>
            </w:r>
          </w:p>
        </w:tc>
      </w:tr>
      <w:tr>
        <w:trPr>
          <w:trHeight w:val="236"/>
        </w:trPr>
        <w:tc>
          <w:tcPr>
            <w:tcW w:w="6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80,042</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(38,036)</w:t>
            </w:r>
          </w:p>
        </w:tc>
      </w:tr>
      <w:tr>
        <w:trPr>
          <w:trHeight w:val="230"/>
        </w:trPr>
        <w:tc>
          <w:tcPr>
            <w:tcW w:w="688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1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3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101,954</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114,314</w:t>
            </w:r>
          </w:p>
        </w:tc>
      </w:tr>
      <w:tr>
        <w:trPr>
          <w:trHeight w:val="236"/>
        </w:trPr>
        <w:tc>
          <w:tcPr>
            <w:tcW w:w="688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240" w:type="dxa"/>
            <w:vAlign w:val="bottom"/>
          </w:tcPr>
          <w:p>
            <w:pPr>
              <w:jc w:val="right"/>
              <w:ind w:right="103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183,355</w:t>
            </w:r>
          </w:p>
        </w:tc>
        <w:tc>
          <w:tcPr>
            <w:tcW w:w="9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75,830</w:t>
            </w:r>
          </w:p>
        </w:tc>
      </w:tr>
      <w:tr>
        <w:trPr>
          <w:trHeight w:val="20"/>
        </w:trPr>
        <w:tc>
          <w:tcPr>
            <w:tcW w:w="68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93"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POWELL INDUSTRIES,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Notes to Condensed Consolidated Financial Statements (Unaudited)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Overview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Powell Industries, Inc. (we, us, our, Powell or the Company) is incorporated in the state of Delaware. Powell's predecessor companies were founded 76 years ago by William E. Powell in 1947. Our major subsidiaries, all of which are wholly owned, include Powell Electrical Systems, Inc.; Powell (UK) Limited; Powell Canada Inc.; and Powell Industries International, B.V.</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develop, design, manufacture and service custom-engineered equipment and systems that (1) distribute, control and monitor the flow of electrical energy and (2) provide protection to motors, transformers and other electrically powered equipment. We are headquartered in Houston, Texas and serve the oil and gas and petrochemical markets, which include onshore and offshore production, liquefied natural gas (LNG) facilities and terminals, pipelines, refineries and petrochemical plants. Additional markets include electric utility, light rail traction power as well as mining and metals, pulp and paper and other municipal, commercial and other industrial markets.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unaudited condensed consolidated financial statements include the accounts of Powell and our wholly-owned subsidiaries. All significant intercompany accounts and transactions have been eliminated in consolidation.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2022, which was filed with the Securities and Exchange Commission (SEC) on December 6, 2022.</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References to Fiscal 2023 and Fiscal 2022 used throughout this report shall mean the current fiscal year ending September 30, 2023 and the prior fiscal year ended September 30, 2022,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the allowance for credit losses, provision for excess and obsolete inventory, warranty accruals and income taxes. The amounts recorded for warranties, legal, income taxes, impairment of long-lived assets (when applicable), liquidated damages and other contingent liabilities require judgments regarding the amount of expenses that will ultimately be incurred. We base our estimates on historical experience, forecasts and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the periods in which temporary differences become deductible. Estimates routinely change as new events occur, additional information becomes available or operating environments change. Actual results may differ from our prior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B. Earnings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basic and diluted weighted average shares used in the computation of earnings per share (in thousands, except per share data):</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220" w:type="dxa"/>
            <w:vAlign w:val="bottom"/>
            <w:tcBorders>
              <w:bottom w:val="single" w:sz="8" w:color="auto"/>
            </w:tcBorders>
            <w:gridSpan w:val="6"/>
          </w:tcPr>
          <w:p>
            <w:pPr>
              <w:jc w:val="right"/>
              <w:ind w:right="615"/>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37"/>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18,454</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9,061</w:t>
            </w:r>
          </w:p>
        </w:tc>
        <w:tc>
          <w:tcPr>
            <w:tcW w:w="6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28,090</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20"/>
              <w:spacing w:after="0"/>
              <w:rPr>
                <w:sz w:val="20"/>
                <w:szCs w:val="20"/>
                <w:color w:val="auto"/>
              </w:rPr>
            </w:pPr>
            <w:r>
              <w:rPr>
                <w:rFonts w:ascii="Arial" w:cs="Arial" w:eastAsia="Arial" w:hAnsi="Arial"/>
                <w:sz w:val="18"/>
                <w:szCs w:val="18"/>
                <w:color w:val="auto"/>
              </w:rPr>
              <w:t>Weighted average basic shares</w:t>
            </w:r>
          </w:p>
        </w:tc>
        <w:tc>
          <w:tcPr>
            <w:tcW w:w="94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11,889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11,810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11,876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Dilutive effect of restricted stock units</w:t>
            </w:r>
          </w:p>
        </w:tc>
        <w:tc>
          <w:tcPr>
            <w:tcW w:w="9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w:t>
            </w:r>
          </w:p>
        </w:tc>
        <w:tc>
          <w:tcPr>
            <w:tcW w:w="1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230</w:t>
            </w: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tcPr>
          <w:p>
            <w:pPr>
              <w:ind w:left="220"/>
              <w:spacing w:after="0"/>
              <w:rPr>
                <w:sz w:val="20"/>
                <w:szCs w:val="20"/>
                <w:color w:val="auto"/>
              </w:rPr>
            </w:pPr>
            <w:r>
              <w:rPr>
                <w:rFonts w:ascii="Arial" w:cs="Arial" w:eastAsia="Arial" w:hAnsi="Arial"/>
                <w:sz w:val="18"/>
                <w:szCs w:val="18"/>
                <w:color w:val="auto"/>
              </w:rPr>
              <w:t>Weighted average diluted shares</w:t>
            </w:r>
          </w:p>
        </w:tc>
        <w:tc>
          <w:tcPr>
            <w:tcW w:w="9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0"/>
              </w:rPr>
              <w:t>12,140</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11,901</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12,106</w:t>
            </w:r>
          </w:p>
        </w:tc>
        <w:tc>
          <w:tcPr>
            <w:tcW w:w="1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11,877</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Earnings per share:</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20"/>
              <w:spacing w:after="0"/>
              <w:rPr>
                <w:sz w:val="20"/>
                <w:szCs w:val="20"/>
                <w:color w:val="auto"/>
              </w:rPr>
            </w:pPr>
            <w:r>
              <w:rPr>
                <w:rFonts w:ascii="Arial" w:cs="Arial" w:eastAsia="Arial" w:hAnsi="Arial"/>
                <w:sz w:val="18"/>
                <w:szCs w:val="18"/>
                <w:color w:val="auto"/>
              </w:rPr>
              <w:t>Basic</w:t>
            </w:r>
          </w:p>
        </w:tc>
        <w:tc>
          <w:tcPr>
            <w:tcW w:w="940" w:type="dxa"/>
            <w:vAlign w:val="bottom"/>
          </w:tcPr>
          <w:p>
            <w:pPr>
              <w:jc w:val="right"/>
              <w:ind w:right="737"/>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1.55</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0.77</w:t>
            </w:r>
          </w:p>
        </w:tc>
        <w:tc>
          <w:tcPr>
            <w:tcW w:w="6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
              <w:spacing w:after="0"/>
              <w:rPr>
                <w:sz w:val="20"/>
                <w:szCs w:val="20"/>
                <w:color w:val="auto"/>
              </w:rPr>
            </w:pPr>
            <w:r>
              <w:rPr>
                <w:rFonts w:ascii="Arial" w:cs="Arial" w:eastAsia="Arial" w:hAnsi="Arial"/>
                <w:sz w:val="18"/>
                <w:szCs w:val="18"/>
                <w:color w:val="auto"/>
              </w:rPr>
              <w:t>2.37</w:t>
            </w:r>
          </w:p>
        </w:tc>
        <w:tc>
          <w:tcPr>
            <w:tcW w:w="5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940" w:type="dxa"/>
            <w:vAlign w:val="bottom"/>
            <w:tcBorders>
              <w:bottom w:val="single" w:sz="8" w:color="auto"/>
            </w:tcBorders>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w:t>
            </w:r>
          </w:p>
        </w:tc>
        <w:tc>
          <w:tcPr>
            <w:tcW w:w="1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2.32</w:t>
            </w:r>
          </w:p>
        </w:tc>
        <w:tc>
          <w:tcPr>
            <w:tcW w:w="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 Detail of Selected Balance Sheet Accounts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45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520" w:type="dxa"/>
            <w:vAlign w:val="bottom"/>
            <w:gridSpan w:val="2"/>
          </w:tcPr>
          <w:p>
            <w:pPr>
              <w:spacing w:after="0"/>
              <w:rPr>
                <w:sz w:val="20"/>
                <w:szCs w:val="20"/>
                <w:color w:val="auto"/>
              </w:rPr>
            </w:pPr>
            <w:r>
              <w:rPr>
                <w:rFonts w:ascii="Arial" w:cs="Arial" w:eastAsia="Arial" w:hAnsi="Arial"/>
                <w:sz w:val="18"/>
                <w:szCs w:val="18"/>
                <w:color w:val="auto"/>
                <w:w w:val="98"/>
              </w:rPr>
              <w:t>The components of inventories are summarized below (in thousands):</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4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June 30, 2023</w:t>
            </w: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September 30, 2022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Raw materials, parts and sub-assemblies, net</w:t>
            </w:r>
          </w:p>
        </w:tc>
        <w:tc>
          <w:tcPr>
            <w:tcW w:w="9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64,960</w:t>
            </w:r>
          </w:p>
        </w:tc>
        <w:tc>
          <w:tcPr>
            <w:tcW w:w="108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Work-in-progress</w:t>
            </w: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1,149</w:t>
            </w:r>
          </w:p>
        </w:tc>
        <w:tc>
          <w:tcPr>
            <w:tcW w:w="2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inventories</w:t>
            </w:r>
          </w:p>
        </w:tc>
        <w:tc>
          <w:tcPr>
            <w:tcW w:w="94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66,109</w:t>
            </w:r>
          </w:p>
        </w:tc>
        <w:tc>
          <w:tcPr>
            <w:tcW w:w="1080" w:type="dxa"/>
            <w:vAlign w:val="bottom"/>
            <w:gridSpan w:val="2"/>
            <w:shd w:val="clear" w:color="auto" w:fill="CFF0FC"/>
          </w:tcPr>
          <w:p>
            <w:pPr>
              <w:jc w:val="right"/>
              <w:ind w:right="688"/>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Product Warranty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Activity in our product warranty accrual consisted of the following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60" w:type="dxa"/>
            <w:vAlign w:val="bottom"/>
          </w:tcPr>
          <w:p>
            <w:pPr>
              <w:spacing w:after="0"/>
              <w:rPr>
                <w:sz w:val="16"/>
                <w:szCs w:val="16"/>
                <w:color w:val="auto"/>
              </w:rPr>
            </w:pPr>
          </w:p>
        </w:tc>
        <w:tc>
          <w:tcPr>
            <w:tcW w:w="2660" w:type="dxa"/>
            <w:vAlign w:val="bottom"/>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Nine months ended June 30,</w:t>
            </w:r>
          </w:p>
        </w:tc>
        <w:tc>
          <w:tcPr>
            <w:tcW w:w="580" w:type="dxa"/>
            <w:vAlign w:val="bottom"/>
          </w:tcPr>
          <w:p>
            <w:pPr>
              <w:spacing w:after="0"/>
              <w:rPr>
                <w:sz w:val="16"/>
                <w:szCs w:val="16"/>
                <w:color w:val="auto"/>
              </w:rPr>
            </w:pPr>
          </w:p>
        </w:tc>
      </w:tr>
      <w:tr>
        <w:trPr>
          <w:trHeight w:val="25"/>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04"/>
        </w:trPr>
        <w:tc>
          <w:tcPr>
            <w:tcW w:w="466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r>
      <w:tr>
        <w:trPr>
          <w:trHeight w:val="22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beginning of period</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2,711</w:t>
            </w:r>
          </w:p>
        </w:tc>
        <w:tc>
          <w:tcPr>
            <w:tcW w:w="114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2,347</w:t>
            </w:r>
          </w:p>
        </w:tc>
        <w:tc>
          <w:tcPr>
            <w:tcW w:w="116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2,345</w:t>
            </w:r>
          </w:p>
        </w:tc>
        <w:tc>
          <w:tcPr>
            <w:tcW w:w="106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Increase to warranty expense</w:t>
            </w:r>
          </w:p>
        </w:tc>
        <w:tc>
          <w:tcPr>
            <w:tcW w:w="9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1,241</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462</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2,931</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1,077</w:t>
            </w:r>
          </w:p>
        </w:tc>
      </w:tr>
      <w:tr>
        <w:trPr>
          <w:trHeight w:val="236"/>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Deduction for warranty charges</w:t>
            </w:r>
          </w:p>
        </w:tc>
        <w:tc>
          <w:tcPr>
            <w:tcW w:w="96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w:t>
            </w: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(2,095)</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(1,303)</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Change due to foreign currency translation</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57"/>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end of period</w:t>
            </w:r>
          </w:p>
        </w:tc>
        <w:tc>
          <w:tcPr>
            <w:tcW w:w="960" w:type="dxa"/>
            <w:vAlign w:val="bottom"/>
            <w:shd w:val="clear" w:color="auto" w:fill="CFF0FC"/>
          </w:tcPr>
          <w:p>
            <w:pPr>
              <w:jc w:val="right"/>
              <w:ind w:right="7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3,202</w:t>
            </w:r>
          </w:p>
        </w:tc>
        <w:tc>
          <w:tcPr>
            <w:tcW w:w="1140" w:type="dxa"/>
            <w:vAlign w:val="bottom"/>
            <w:gridSpan w:val="2"/>
            <w:shd w:val="clear" w:color="auto" w:fill="CFF0FC"/>
          </w:tcPr>
          <w:p>
            <w:pPr>
              <w:jc w:val="right"/>
              <w:ind w:right="80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2,288</w:t>
            </w:r>
          </w:p>
        </w:tc>
        <w:tc>
          <w:tcPr>
            <w:tcW w:w="1160" w:type="dxa"/>
            <w:vAlign w:val="bottom"/>
            <w:gridSpan w:val="2"/>
            <w:shd w:val="clear" w:color="auto" w:fill="CFF0FC"/>
          </w:tcPr>
          <w:p>
            <w:pPr>
              <w:jc w:val="right"/>
              <w:ind w:right="7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3,202</w:t>
            </w:r>
          </w:p>
        </w:tc>
        <w:tc>
          <w:tcPr>
            <w:tcW w:w="1060" w:type="dxa"/>
            <w:vAlign w:val="bottom"/>
            <w:gridSpan w:val="2"/>
            <w:shd w:val="clear" w:color="auto" w:fill="CFF0FC"/>
          </w:tcPr>
          <w:p>
            <w:pPr>
              <w:jc w:val="right"/>
              <w:ind w:right="72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w:t>
            </w: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revenues are primarily generated from the manufacturing of custom-engineered products and systems under long-term fixed-price contracts under which we agree to manufacture various products such as traditional and arc-resistant distribution switchgear and control gear, medium-voltage circuit breakers, monitoring and control communications systems, motor control centers, switches and bus duct systems. These products may be sold separately as an engineered solution but are typically integrated into custom-built enclosures which we also build. These enclosures are referred to as power control room substations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(PCRs®), custom-engineered modules or electrical houses (E-Houses). Some contracts may also include the installation and the commissioning of these enclosures.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from these contracts is generally recognized over time utilizing the cost-to-cost method. Under the cost-to-cost method, the extent of progress towards completion is measured based on the ratio of costs incurred to date to the total estimated costs at completion of the performance obligation. We believe that this method is the most accurate representation of our performance because it directly measures the value of the services transferred to the customer over time as we incur costs on our contracts. Contract costs include all direct materials, labor and indirect costs related to contract performance, which may include indirect labor, supplies, tools, repairs and depreciation costs.</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contracts to provide field service inspection, installation, commissioning, modification, and repair services, as well as retrofit and retrofill components for existing systems.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with which we have the right to invoice. Our performance obligations are satisfied as the work progresses. Revenues from our custom-engineered products and value-added services transferred to customers over time accounted for approximately 94% and 93% of total revenues for the three and nine months ended June 30, 2023, respectively, and 94% of total revenues for the three and nine months ended June 30, 2022.</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sales orders for spare parts and replacement circuit breakers for switchgear that are obsolete or that are no longer produced by the original manufacturer. Revenues from these sales orders are recognized at the time we fulfill our performance obligation to the customer, which is typically upon shipment and represented approximately 6% and 7% of total revenues for the three and nine months ended June 30, 2023, respectively, and 6% of total revenues for the three and nine months ended June 30, 2022.</w:t>
      </w:r>
    </w:p>
    <w:p>
      <w:pPr>
        <w:spacing w:after="0" w:line="1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judgment. The majority of our contracts have a single performance obligation where multiple engineered products and services are combined into a single custom-engineered solution. Our contracts include a standard one-year assurance warranty. Occasionally, we provide service-type warranties that will extend the warranty period. These extended warranties qualify as a separate performance obligation, and revenue is deferred and recognized over the warranty period.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5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Remaining unsatisfied performance obligations, which we refer to as backlog, represent the estimated transaction price for goods and services for which we have a material right, but work has not been performed. As of June 30, 2023, we had backlog of $1.3 billion, of which approximately $690 million is expected to be recognized as revenue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1" w:name="page12"/>
    <w:bookmarkEnd w:id="11"/>
    <w:p>
      <w:pPr>
        <w:jc w:val="both"/>
        <w:spacing w:after="0" w:line="296" w:lineRule="auto"/>
        <w:rPr>
          <w:sz w:val="20"/>
          <w:szCs w:val="20"/>
          <w:color w:val="auto"/>
        </w:rPr>
      </w:pPr>
      <w:r>
        <w:rPr>
          <w:rFonts w:ascii="Arial" w:cs="Arial" w:eastAsia="Arial" w:hAnsi="Arial"/>
          <w:sz w:val="16"/>
          <w:szCs w:val="16"/>
          <w:color w:val="auto"/>
        </w:rPr>
        <w:t>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We bear the risk of cost overruns in most of our contracts, which may result in reduced profits. Whenever revisions of estimated contract costs and contract values indicate that the contract costs will exceed estimated revenues, thus creating a loss, a provision for the total estimated loss is recorded in that period.</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nine months ended June 30, 2023 and 2022, our operating results were positively impacted by $13.2 million and $5.9 million, respectively, as a result of net changes in contract estimates related to projects in progress at the beginning of the respective period. These changes in estimates resulted primarily from favorable project execution, reduced cost estimates and negotiations of variable consideration, discussed below, as well as revenue recognized from project cancellations and other changes in facts and circumstances during these periods. Project cancellations on two projects increased gross profit for the nine months ended June 30, 2023 by $3.4 million. Gross unfavorable changes in contract estimates were immaterial for both the nine months ended June 30, 2023 and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5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the probability-weighted amounts,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Modifications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catch-up adjustment to revenue based on our measure of progress for the performance obligation.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timing of revenue recognition, billings and cash collections affects accounts receivable, contract assets and contract liabilities in our Condensed Consolidated Balance Sheets.</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Contract assets are recorded when revenues are recognized in excess of amounts billed for fixed-price contracts as determined by the billing milestone schedule. Contract assets are transferred to accounts receivable when billing milestones have been met, or we have an unconditional right to payment.</w:t>
      </w:r>
    </w:p>
    <w:p>
      <w:pPr>
        <w:spacing w:after="0" w:line="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Contract liabilities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contract assets and liabilities are reported in a net position on a contract-by-contract basis at the end of each reporting period and are generally classified as current.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Contract assets and liabilities as of June 30, 2023 and September 30, 2022 are summarized below (in thousands):</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3"/>
              </w:rPr>
              <w:t>September 30, 2022</w:t>
            </w:r>
          </w:p>
        </w:tc>
      </w:tr>
      <w:tr>
        <w:trPr>
          <w:trHeight w:val="24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56,148</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88,351</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liabilities</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(225,767)</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(79,857)</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contract asset (liability)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(169,619)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8,494</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net contract billing position improved to a net liability at June 30, 2023 from a net asset position at September 30, 2022 primarily due to favorable contract billing milestones. We typically allocate a significant percentage of the progress billing to the early stages of the contract. These favorable billing milestones along with our increase in project backlog are driving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2" w:name="page13"/>
    <w:bookmarkEnd w:id="12"/>
    <w:p>
      <w:pPr>
        <w:jc w:val="both"/>
        <w:spacing w:after="0" w:line="311" w:lineRule="auto"/>
        <w:rPr>
          <w:sz w:val="20"/>
          <w:szCs w:val="20"/>
          <w:color w:val="auto"/>
        </w:rPr>
      </w:pPr>
      <w:r>
        <w:rPr>
          <w:rFonts w:ascii="Arial" w:cs="Arial" w:eastAsia="Arial" w:hAnsi="Arial"/>
          <w:sz w:val="16"/>
          <w:szCs w:val="16"/>
          <w:color w:val="auto"/>
        </w:rPr>
        <w:t>increase in the net contract liability at June 30, 2023. To determine the amount of revenue recognized during the period from contract liabilities, we first allocate revenue to the individual contract liability balance outstanding at the beginning of the period until the revenue exceeds that balance. During the nine months ended June 30, 2023, we recognized revenue of $68.1 million that was related to contract liabilities outstanding at September 30, 2022.</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allow customers to withhold a small percentage of billings pursuant to retainage provisions, and such amounts are generally due upon completion of the contract and acceptance of the project by the customer. Based on our experience in recent years, the majority of these retainage balances are expected to be collected within approximately twelve months. As of June 30, 2023 and September 30, 2022, accounts receivable included retention amounts of $7.0 million and $6.9 million, respectively. Of the retained amount at June 30, 2023, $6.8 million is expected to be collected in the next twelve months and is recorded in accounts receivable. The remaining $0.2 million is recorded in other assets.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present our disaggregated revenue by geographic destination and market sector for the three and nine months ended June 30, 2023 and 2022 (in thousands):</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gridSpan w:val="7"/>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6"/>
          </w:tcPr>
          <w:p>
            <w:pPr>
              <w:jc w:val="right"/>
              <w:ind w:right="632"/>
              <w:spacing w:after="0"/>
              <w:rPr>
                <w:sz w:val="20"/>
                <w:szCs w:val="20"/>
                <w:color w:val="auto"/>
              </w:rPr>
            </w:pPr>
            <w:r>
              <w:rPr>
                <w:rFonts w:ascii="Arial" w:cs="Arial" w:eastAsia="Arial" w:hAnsi="Arial"/>
                <w:sz w:val="14"/>
                <w:szCs w:val="14"/>
                <w:b w:val="1"/>
                <w:bCs w:val="1"/>
                <w:color w:val="auto"/>
              </w:rPr>
              <w:t>Nine months ended June 30,</w:t>
            </w:r>
          </w:p>
        </w:tc>
      </w:tr>
      <w:tr>
        <w:trPr>
          <w:trHeight w:val="26"/>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9"/>
        </w:trPr>
        <w:tc>
          <w:tcPr>
            <w:tcW w:w="20" w:type="dxa"/>
            <w:vAlign w:val="bottom"/>
            <w:tcBorders>
              <w:bottom w:val="single" w:sz="8" w:color="CCEEFF"/>
            </w:tcBorders>
          </w:tcPr>
          <w:p>
            <w:pPr>
              <w:spacing w:after="0"/>
              <w:rPr>
                <w:sz w:val="16"/>
                <w:szCs w:val="16"/>
                <w:color w:val="auto"/>
              </w:rPr>
            </w:pPr>
          </w:p>
        </w:tc>
        <w:tc>
          <w:tcPr>
            <w:tcW w:w="444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29"/>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153,258</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102,931</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387,531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272,069</w:t>
            </w: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21,765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23,599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62,255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60,777</w:t>
            </w:r>
          </w:p>
        </w:tc>
      </w:tr>
      <w:tr>
        <w:trPr>
          <w:trHeight w:val="243"/>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Europe, Middle East and Africa</w:t>
            </w:r>
          </w:p>
        </w:tc>
        <w:tc>
          <w:tcPr>
            <w:tcW w:w="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30,521</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30,078</w:t>
            </w:r>
          </w:p>
        </w:tc>
      </w:tr>
      <w:tr>
        <w:trPr>
          <w:trHeight w:val="230"/>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Asia/Pacific</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2,338</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4,903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4,235</w:t>
            </w:r>
          </w:p>
        </w:tc>
      </w:tr>
      <w:tr>
        <w:trPr>
          <w:trHeight w:val="229"/>
        </w:trPr>
        <w:tc>
          <w:tcPr>
            <w:tcW w:w="4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Mexico, Central and South America</w:t>
            </w: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r>
      <w:tr>
        <w:trPr>
          <w:trHeight w:val="237"/>
        </w:trPr>
        <w:tc>
          <w:tcPr>
            <w:tcW w:w="20" w:type="dxa"/>
            <w:vAlign w:val="bottom"/>
          </w:tcPr>
          <w:p>
            <w:pPr>
              <w:spacing w:after="0"/>
              <w:rPr>
                <w:sz w:val="20"/>
                <w:szCs w:val="20"/>
                <w:color w:val="auto"/>
              </w:rPr>
            </w:pPr>
          </w:p>
        </w:tc>
        <w:tc>
          <w:tcPr>
            <w:tcW w:w="4440" w:type="dxa"/>
            <w:vAlign w:val="bottom"/>
          </w:tcPr>
          <w:p>
            <w:pPr>
              <w:ind w:left="220"/>
              <w:spacing w:after="0"/>
              <w:rPr>
                <w:sz w:val="20"/>
                <w:szCs w:val="20"/>
                <w:color w:val="auto"/>
              </w:rPr>
            </w:pPr>
            <w:r>
              <w:rPr>
                <w:rFonts w:ascii="Arial" w:cs="Arial" w:eastAsia="Arial" w:hAnsi="Arial"/>
                <w:sz w:val="18"/>
                <w:szCs w:val="18"/>
                <w:color w:val="auto"/>
              </w:rPr>
              <w:t>Total revenues by geographic destination</w:t>
            </w: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192,365</w:t>
            </w:r>
          </w:p>
        </w:tc>
        <w:tc>
          <w:tcPr>
            <w:tcW w:w="240" w:type="dxa"/>
            <w:vAlign w:val="bottom"/>
            <w:gridSpan w:val="3"/>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135,483</w:t>
            </w:r>
          </w:p>
        </w:tc>
        <w:tc>
          <w:tcPr>
            <w:tcW w:w="20" w:type="dxa"/>
            <w:vAlign w:val="bottom"/>
            <w:tcBorders>
              <w:bottom w:val="single" w:sz="8" w:color="auto"/>
            </w:tcBorders>
          </w:tcPr>
          <w:p>
            <w:pPr>
              <w:spacing w:after="0"/>
              <w:rPr>
                <w:sz w:val="20"/>
                <w:szCs w:val="20"/>
                <w:color w:val="auto"/>
              </w:rPr>
            </w:pPr>
          </w:p>
        </w:tc>
        <w:tc>
          <w:tcPr>
            <w:tcW w:w="240" w:type="dxa"/>
            <w:vAlign w:val="bottom"/>
            <w:gridSpan w:val="2"/>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490,667</w:t>
            </w:r>
          </w:p>
        </w:tc>
        <w:tc>
          <w:tcPr>
            <w:tcW w:w="20" w:type="dxa"/>
            <w:vAlign w:val="bottom"/>
            <w:tcBorders>
              <w:bottom w:val="single" w:sz="8" w:color="auto"/>
            </w:tcBorders>
          </w:tcPr>
          <w:p>
            <w:pPr>
              <w:spacing w:after="0"/>
              <w:rPr>
                <w:sz w:val="20"/>
                <w:szCs w:val="20"/>
                <w:color w:val="auto"/>
              </w:rPr>
            </w:pPr>
          </w:p>
        </w:tc>
        <w:tc>
          <w:tcPr>
            <w:tcW w:w="160" w:type="dxa"/>
            <w:vAlign w:val="bottom"/>
            <w:gridSpan w:val="2"/>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369,907</w:t>
            </w: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r>
      <w:tr>
        <w:trPr>
          <w:trHeight w:val="616"/>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7"/>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40" w:type="dxa"/>
            <w:vAlign w:val="bottom"/>
            <w:gridSpan w:val="6"/>
          </w:tcPr>
          <w:p>
            <w:pPr>
              <w:jc w:val="right"/>
              <w:ind w:right="672"/>
              <w:spacing w:after="0"/>
              <w:rPr>
                <w:sz w:val="20"/>
                <w:szCs w:val="20"/>
                <w:color w:val="auto"/>
              </w:rPr>
            </w:pPr>
            <w:r>
              <w:rPr>
                <w:rFonts w:ascii="Arial" w:cs="Arial" w:eastAsia="Arial" w:hAnsi="Arial"/>
                <w:sz w:val="14"/>
                <w:szCs w:val="14"/>
                <w:b w:val="1"/>
                <w:bCs w:val="1"/>
                <w:color w:val="auto"/>
              </w:rPr>
              <w:t>Nine months ended June 30,</w:t>
            </w:r>
          </w:p>
        </w:tc>
      </w:tr>
      <w:tr>
        <w:trPr>
          <w:trHeight w:val="25"/>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1"/>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2023</w:t>
            </w: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r>
      <w:tr>
        <w:trPr>
          <w:trHeight w:val="238"/>
        </w:trPr>
        <w:tc>
          <w:tcPr>
            <w:tcW w:w="20" w:type="dxa"/>
            <w:vAlign w:val="bottom"/>
          </w:tcPr>
          <w:p>
            <w:pPr>
              <w:spacing w:after="0"/>
              <w:rPr>
                <w:sz w:val="20"/>
                <w:szCs w:val="20"/>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gas (excludes petrochemical)</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73,452</w:t>
            </w:r>
          </w:p>
        </w:tc>
        <w:tc>
          <w:tcPr>
            <w:tcW w:w="58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58,669</w:t>
            </w:r>
          </w:p>
        </w:tc>
        <w:tc>
          <w:tcPr>
            <w:tcW w:w="2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179,560</w:t>
            </w:r>
          </w:p>
        </w:tc>
        <w:tc>
          <w:tcPr>
            <w:tcW w:w="20" w:type="dxa"/>
            <w:vAlign w:val="bottom"/>
            <w:shd w:val="clear" w:color="auto" w:fill="CCEEFF"/>
          </w:tcPr>
          <w:p>
            <w:pPr>
              <w:spacing w:after="0"/>
              <w:rPr>
                <w:sz w:val="20"/>
                <w:szCs w:val="20"/>
                <w:color w:val="auto"/>
              </w:rPr>
            </w:pPr>
          </w:p>
        </w:tc>
        <w:tc>
          <w:tcPr>
            <w:tcW w:w="5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155,324</w:t>
            </w:r>
          </w:p>
        </w:tc>
      </w:tr>
      <w:tr>
        <w:trPr>
          <w:trHeight w:val="230"/>
        </w:trPr>
        <w:tc>
          <w:tcPr>
            <w:tcW w:w="2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Petrochemical</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21,995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15,187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70,372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51,268</w:t>
            </w:r>
          </w:p>
        </w:tc>
      </w:tr>
      <w:tr>
        <w:trPr>
          <w:trHeight w:val="230"/>
        </w:trPr>
        <w:tc>
          <w:tcPr>
            <w:tcW w:w="20" w:type="dxa"/>
            <w:vAlign w:val="bottom"/>
          </w:tcPr>
          <w:p>
            <w:pPr>
              <w:spacing w:after="0"/>
              <w:rPr>
                <w:sz w:val="19"/>
                <w:szCs w:val="19"/>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 utility</w:t>
            </w: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43,824</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30,173</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114,899</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82,079</w:t>
            </w:r>
          </w:p>
        </w:tc>
      </w:tr>
      <w:tr>
        <w:trPr>
          <w:trHeight w:val="237"/>
        </w:trPr>
        <w:tc>
          <w:tcPr>
            <w:tcW w:w="2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Commercial and other industrial</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35,527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14,966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74,846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30,583</w:t>
            </w:r>
          </w:p>
        </w:tc>
      </w:tr>
      <w:tr>
        <w:trPr>
          <w:trHeight w:val="236"/>
        </w:trPr>
        <w:tc>
          <w:tcPr>
            <w:tcW w:w="20" w:type="dxa"/>
            <w:vAlign w:val="bottom"/>
          </w:tcPr>
          <w:p>
            <w:pPr>
              <w:spacing w:after="0"/>
              <w:rPr>
                <w:sz w:val="20"/>
                <w:szCs w:val="20"/>
                <w:color w:val="auto"/>
              </w:rPr>
            </w:pPr>
          </w:p>
        </w:tc>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Traction power</w:t>
            </w: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31,200</w:t>
            </w:r>
          </w:p>
        </w:tc>
      </w:tr>
      <w:tr>
        <w:trPr>
          <w:trHeight w:val="229"/>
        </w:trPr>
        <w:tc>
          <w:tcPr>
            <w:tcW w:w="2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All others</w:t>
            </w:r>
          </w:p>
        </w:tc>
        <w:tc>
          <w:tcPr>
            <w:tcW w:w="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10,424</w:t>
            </w: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19,453</w:t>
            </w:r>
          </w:p>
        </w:tc>
      </w:tr>
      <w:tr>
        <w:trPr>
          <w:trHeight w:val="257"/>
        </w:trPr>
        <w:tc>
          <w:tcPr>
            <w:tcW w:w="20" w:type="dxa"/>
            <w:vAlign w:val="bottom"/>
          </w:tcPr>
          <w:p>
            <w:pPr>
              <w:spacing w:after="0"/>
              <w:rPr>
                <w:sz w:val="22"/>
                <w:szCs w:val="22"/>
                <w:color w:val="auto"/>
              </w:rPr>
            </w:pPr>
          </w:p>
        </w:tc>
        <w:tc>
          <w:tcPr>
            <w:tcW w:w="4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revenues by market sector</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192,365</w:t>
            </w:r>
          </w:p>
        </w:tc>
        <w:tc>
          <w:tcPr>
            <w:tcW w:w="58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135,483</w:t>
            </w:r>
          </w:p>
        </w:tc>
        <w:tc>
          <w:tcPr>
            <w:tcW w:w="20" w:type="dxa"/>
            <w:vAlign w:val="bottom"/>
            <w:shd w:val="clear" w:color="auto" w:fill="CCEEFF"/>
          </w:tcPr>
          <w:p>
            <w:pPr>
              <w:spacing w:after="0"/>
              <w:rPr>
                <w:sz w:val="22"/>
                <w:szCs w:val="22"/>
                <w:color w:val="auto"/>
              </w:rPr>
            </w:pPr>
          </w:p>
        </w:tc>
        <w:tc>
          <w:tcPr>
            <w:tcW w:w="60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490,667</w:t>
            </w:r>
          </w:p>
        </w:tc>
        <w:tc>
          <w:tcPr>
            <w:tcW w:w="20" w:type="dxa"/>
            <w:vAlign w:val="bottom"/>
            <w:shd w:val="clear" w:color="auto" w:fill="CCEEFF"/>
          </w:tcPr>
          <w:p>
            <w:pPr>
              <w:spacing w:after="0"/>
              <w:rPr>
                <w:sz w:val="22"/>
                <w:szCs w:val="22"/>
                <w:color w:val="auto"/>
              </w:rPr>
            </w:pPr>
          </w:p>
        </w:tc>
        <w:tc>
          <w:tcPr>
            <w:tcW w:w="5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369,907</w:t>
            </w: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Revolver</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March 31, 2023, we entered into a second amendment (the Second Amendment) to our credit agreement with Bank of America, N.A. (as amended, the U.S. Revolver). The Second Amendment increased the revolving credit facility extended to us under the U.S. Revolver, which is available for both borrowings and letters of credit and expires September 27, 2024, from $75.0 million to $125.0 million. As amended by the Second Amendment, the U.S. Revolver states that the lesser of $50 million or 50% of readily and available cash may be deducted from the amount of letters of credit outstanding (not to be less than zero) when calculating the consolidated funded indebtedness, which is a component of the consolidated net leverage ratio. We have the option to cash collateralize all or a portion of the letters of credit outstanding, which would favorably impact the consolidated funded indebtedness calculation and the consolidated net leverage ratio. As of June 30, 2023, there were no amounts borrowed under the U.S. Revolver, and letters of credit outstanding were $49.0 million. There was $76.0 million available for the issuance of letters of credit and borrowings under the U.S. Revolver as of June 30, 2023.</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13" w:name="page14"/>
    <w:bookmarkEnd w:id="13"/>
    <w:p>
      <w:pPr>
        <w:jc w:val="both"/>
        <w:spacing w:after="0" w:line="271" w:lineRule="auto"/>
        <w:rPr>
          <w:sz w:val="20"/>
          <w:szCs w:val="20"/>
          <w:color w:val="auto"/>
        </w:rPr>
      </w:pPr>
      <w:r>
        <w:rPr>
          <w:rFonts w:ascii="Arial" w:cs="Arial" w:eastAsia="Arial" w:hAnsi="Arial"/>
          <w:sz w:val="17"/>
          <w:szCs w:val="17"/>
          <w:color w:val="auto"/>
        </w:rPr>
        <w:t>We are required to maintain certain financial covenants, the most significant of which are a consolidated net leverage ratio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An increase in indebtedness, which includes letters of credit, or a decrease in EBITDAS could restrict our ability to issue letters of credit or borrow under the U.S. Revolver. Additionally, we must maintain a consolidated cash balance of $50 million at all times, which can be deducted from the letters of credit outstanding as noted above. The U.S. Revolver also contains a "material adverse effect" clause which is a material change in our operations, business, properties, liabilities or condition (financial or otherwise) or a material impairment of our ability to perform our obligations under our credit agreements. As of June 30, 2023, we were in compliance with all of the financial covenants of the U.S. Revolver.</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U.S. Revolver allows the Company to elect that any borrowing under the facility bears an interest rate based on either the base rate or the eurocurrency rate, in each case, plus the applicable rate. The base rate is generally the highest of (a) the federal funds rate plus 0.50%, (b) the Bank of America prime rate or (c) the Bloomberg Short-Term Bank Yield Index (BSBY) rate plus 1.00%. The applicable rate is generally a range from 0% to 2% depending on the type of loan and the Company's consolidated net leverage ratio.</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and letters of credit outstanding under the U.S. Revolver may be accelerated and may become immediately due and payable.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Development Revenue Bonds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borrowed $8.0 million in October 2001 through a loan agreement funded with proceeds from tax-exempt industrial development revenue bonds (Bonds) for the completion of our Northlake, Illinois facility. The Bonds matured on October 1, 2021 and our final payment of $0.4 million was made.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 Bank Guarantees and Bonds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customers require us to post letters of credit, bank guarantees or surety bonds. These security instruments assure that we will perform under the terms of our contract. In the event of default, the counterparty may demand payment from the bank under a letter of credit or bank guarantee, or performance by the surety under a bond. To date, there have been no significant draws or claims related to security instruments for the periods reported. We were contingently liable for letters of credit of $49.0 million as of June 30, 2023. We also had surety bonds totaling $357.5 million that were outstanding, with additional bonding capacity of $342.5 million available, at June 30, 2023. We have strong surety relationships; however, a change in market conditions or the sureties' assessment of our financial position could cause the sureties to require cash collateralization for undischarged liabilities under the bonds.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$10.1 million facility agreement (Facility Agreement) between Powell (UK) Limited and a large international bank that provides Powell (UK) Limited the ability to enter into bank guarantees as well as forward exchange contracts and currency options. At June 30, 2023, we had outstanding guarantees totaling $8.2 million. The Facility Agreement provides for customary events of default and carries cross-default provisions with our Second Amendment. If an event of default (as defined in the Facility Agreement) occurs and is continuing, per the terms and subject to the conditions set forth therein, obligations outstanding under the Facility Agreement may be accelerated and declared immediately due and payable. Additionally, we are required to maintain cash collateral for guarantees greater than two years. As of June 30, 2023, we were in compliance with all of the financial covenants of the Facility Agreement.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4" w:name="page15"/>
    <w:bookmarkEnd w:id="14"/>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Stock-Based Compensation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 to our Annual Report on Form 10-K for the fiscal year ended September 30, 2022 for a full description of our existing stock-based compensation plans. On February 15, 2023, at the 2023 Annual Meeting of Stockholders, our stockholders approved an amendment to our 2014 Equity Incentive Plan (the 2014 Plan) that extended the term of the 2014 Plan by five years and increased the number of shares of common stock that may be issued under the 2014 Plan by 600,000 shares for a total of 1,350,000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issue restricted stock units (RSUs) to certain officers and key employees of the Company. The fair value of the RSUs is based on the price of our common stock as reported on the NASDAQ Global Market on the grant dates. Typically, these grants vest over a three-year period from the date of issuance and are a blend of time-based and performance-based shares. The portion of the grant that is time-based typically vests over a three-year period on each anniversary of the grant date, based on continued employment. The performance-based shares vest based on the three-year earnings performance of the Company following the grant date. At June 30, 2023, there were 295,417 RSUs outstanding. The RSUs do not have voting rights but do receive dividend equivalents upon vesting which are accrued quarterly. Additionally, the shares of common stock underlying the RSUs are not considered issued and outstanding until vested and common stock is issued.</w:t>
      </w:r>
    </w:p>
    <w:p>
      <w:pPr>
        <w:sectPr>
          <w:pgSz w:w="11900" w:h="16838" w:orient="portrait"/>
          <w:cols w:equalWidth="0" w:num="1">
            <w:col w:w="11240"/>
          </w:cols>
          <w:pgMar w:left="320" w:top="1440" w:right="3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Total RSU activity (number of shares) for the nine months ended June 30, 2023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at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05485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5485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5485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Vested</w:t>
      </w:r>
    </w:p>
    <w:p>
      <w:pPr>
        <w:spacing w:after="0" w:line="3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Forfeited/canceled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0548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Outstanding at June 30,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w:t>
            </w:r>
          </w:p>
        </w:tc>
      </w:tr>
      <w:tr>
        <w:trPr>
          <w:trHeight w:val="139"/>
        </w:trPr>
        <w:tc>
          <w:tcPr>
            <w:tcW w:w="13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Restricted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8"/>
              <w:spacing w:after="0" w:line="139" w:lineRule="exact"/>
              <w:rPr>
                <w:sz w:val="20"/>
                <w:szCs w:val="20"/>
                <w:color w:val="auto"/>
              </w:rPr>
            </w:pPr>
            <w:r>
              <w:rPr>
                <w:rFonts w:ascii="Arial" w:cs="Arial" w:eastAsia="Arial" w:hAnsi="Arial"/>
                <w:sz w:val="14"/>
                <w:szCs w:val="14"/>
                <w:b w:val="1"/>
                <w:bCs w:val="1"/>
                <w:color w:val="auto"/>
                <w:w w:val="90"/>
              </w:rPr>
              <w:t>Average</w:t>
            </w:r>
          </w:p>
        </w:tc>
      </w:tr>
      <w:tr>
        <w:trPr>
          <w:trHeight w:val="148"/>
        </w:trPr>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8"/>
              <w:spacing w:after="0" w:line="149" w:lineRule="exact"/>
              <w:rPr>
                <w:sz w:val="20"/>
                <w:szCs w:val="20"/>
                <w:color w:val="auto"/>
              </w:rPr>
            </w:pPr>
            <w:r>
              <w:rPr>
                <w:rFonts w:ascii="Arial" w:cs="Arial" w:eastAsia="Arial" w:hAnsi="Arial"/>
                <w:sz w:val="14"/>
                <w:szCs w:val="14"/>
                <w:b w:val="1"/>
                <w:bCs w:val="1"/>
                <w:color w:val="auto"/>
                <w:w w:val="94"/>
              </w:rPr>
              <w:t>Grant Value</w:t>
            </w:r>
          </w:p>
        </w:tc>
      </w:tr>
      <w:tr>
        <w:trPr>
          <w:trHeight w:val="192"/>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4"/>
              </w:rPr>
              <w:t>Per Share</w:t>
            </w:r>
          </w:p>
        </w:tc>
      </w:tr>
      <w:tr>
        <w:trPr>
          <w:trHeight w:val="230"/>
        </w:trPr>
        <w:tc>
          <w:tcPr>
            <w:tcW w:w="1360" w:type="dxa"/>
            <w:vAlign w:val="bottom"/>
          </w:tcPr>
          <w:p>
            <w:pPr>
              <w:ind w:left="700"/>
              <w:spacing w:after="0"/>
              <w:rPr>
                <w:sz w:val="20"/>
                <w:szCs w:val="20"/>
                <w:color w:val="auto"/>
              </w:rPr>
            </w:pPr>
            <w:r>
              <w:rPr>
                <w:rFonts w:ascii="Arial" w:cs="Arial" w:eastAsia="Arial" w:hAnsi="Arial"/>
                <w:sz w:val="18"/>
                <w:szCs w:val="18"/>
                <w:color w:val="auto"/>
                <w:w w:val="98"/>
              </w:rPr>
              <w:t>239,862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26.11</w:t>
            </w:r>
          </w:p>
        </w:tc>
      </w:tr>
      <w:tr>
        <w:trPr>
          <w:trHeight w:val="241"/>
        </w:trPr>
        <w:tc>
          <w:tcPr>
            <w:tcW w:w="1360" w:type="dxa"/>
            <w:vAlign w:val="bottom"/>
          </w:tcPr>
          <w:p>
            <w:pPr>
              <w:ind w:left="700"/>
              <w:spacing w:after="0"/>
              <w:rPr>
                <w:sz w:val="20"/>
                <w:szCs w:val="20"/>
                <w:color w:val="auto"/>
              </w:rPr>
            </w:pPr>
            <w:r>
              <w:rPr>
                <w:rFonts w:ascii="Arial" w:cs="Arial" w:eastAsia="Arial" w:hAnsi="Arial"/>
                <w:sz w:val="18"/>
                <w:szCs w:val="18"/>
                <w:color w:val="auto"/>
                <w:w w:val="98"/>
              </w:rPr>
              <w:t>147,100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21.26</w:t>
            </w:r>
          </w:p>
        </w:tc>
      </w:tr>
      <w:tr>
        <w:trPr>
          <w:trHeight w:val="230"/>
        </w:trPr>
        <w:tc>
          <w:tcPr>
            <w:tcW w:w="1360" w:type="dxa"/>
            <w:vAlign w:val="bottom"/>
          </w:tcPr>
          <w:p>
            <w:pPr>
              <w:ind w:left="720"/>
              <w:spacing w:after="0"/>
              <w:rPr>
                <w:sz w:val="20"/>
                <w:szCs w:val="20"/>
                <w:color w:val="auto"/>
              </w:rPr>
            </w:pPr>
            <w:r>
              <w:rPr>
                <w:rFonts w:ascii="Arial" w:cs="Arial" w:eastAsia="Arial" w:hAnsi="Arial"/>
                <w:sz w:val="18"/>
                <w:szCs w:val="18"/>
                <w:color w:val="auto"/>
                <w:w w:val="92"/>
              </w:rPr>
              <w:t>(76,834)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29.42</w:t>
            </w:r>
          </w:p>
        </w:tc>
      </w:tr>
      <w:tr>
        <w:trPr>
          <w:trHeight w:val="244"/>
        </w:trPr>
        <w:tc>
          <w:tcPr>
            <w:tcW w:w="13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2"/>
              </w:rPr>
              <w:t>(14,711)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38.58</w:t>
            </w:r>
          </w:p>
        </w:tc>
      </w:tr>
      <w:tr>
        <w:trPr>
          <w:trHeight w:val="223"/>
        </w:trPr>
        <w:tc>
          <w:tcPr>
            <w:tcW w:w="136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8"/>
              </w:rPr>
              <w:t>295,417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22.85</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440" w:right="339" w:bottom="1440" w:gutter="0" w:footer="0" w:header="0"/>
          <w:type w:val="continuous"/>
        </w:sectPr>
      </w:pPr>
    </w:p>
    <w:p>
      <w:pPr>
        <w:spacing w:after="0" w:line="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June 30, 2023 and 2022, we recorded compensation expense of $3.4 million and $1.9 million, respectively, related to the RSUs.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Each non-employee director receives 2,400 restricted shares of the Company’s common stock annually. Fifty-percent of the restricted stock granted to each of our non-employee directors vests immediately, while the remaining fifty-percent vests on the anniversary of the grant date. Compensation expense is recognized immediately for the first fifty-percent of the restricted stock granted, while compensation expense for the remaining fifty-percent is recognized over the remaining vesting period. In February 2023, 16,800 shares of restricted stock were issued to our non-employee directors under the 2014 Non-Employee Director Equity Incentive Plan, as amended, at a price of $43.22 per share. During the nine months ended June 30, 2023 and 2022, we recorded compensation expense of $0.5 million and $0.4 million, respectively, related to restricted stock.</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Fair Value Measurements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 — Observable inputs such as quoted prices (unadjusted) in active markets for identical assets or liabilities.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jc w:val="both"/>
        <w:spacing w:after="0" w:line="263" w:lineRule="auto"/>
        <w:rPr>
          <w:sz w:val="20"/>
          <w:szCs w:val="20"/>
          <w:color w:val="auto"/>
        </w:rPr>
      </w:pPr>
      <w:r>
        <w:rPr>
          <w:rFonts w:ascii="Arial" w:cs="Arial" w:eastAsia="Arial" w:hAnsi="Arial"/>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that are supported by little or no market data and require the reporting entity to develop its own assumptions.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June 30, 2023 (in thousands):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60" w:type="dxa"/>
            <w:vAlign w:val="bottom"/>
            <w:gridSpan w:val="6"/>
          </w:tcPr>
          <w:p>
            <w:pPr>
              <w:ind w:left="160"/>
              <w:spacing w:after="0"/>
              <w:rPr>
                <w:sz w:val="20"/>
                <w:szCs w:val="20"/>
                <w:color w:val="auto"/>
              </w:rPr>
            </w:pPr>
            <w:r>
              <w:rPr>
                <w:rFonts w:ascii="Arial" w:cs="Arial" w:eastAsia="Arial" w:hAnsi="Arial"/>
                <w:sz w:val="14"/>
                <w:szCs w:val="14"/>
                <w:b w:val="1"/>
                <w:bCs w:val="1"/>
                <w:color w:val="auto"/>
              </w:rPr>
              <w:t>Fair Value Measurements at June 30, 2023</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3"/>
          </w:tcPr>
          <w:p>
            <w:pPr>
              <w:jc w:val="center"/>
              <w:ind w:right="560"/>
              <w:spacing w:after="0" w:line="133" w:lineRule="exact"/>
              <w:rPr>
                <w:sz w:val="20"/>
                <w:szCs w:val="20"/>
                <w:color w:val="auto"/>
              </w:rPr>
            </w:pPr>
            <w:r>
              <w:rPr>
                <w:rFonts w:ascii="Arial" w:cs="Arial" w:eastAsia="Arial" w:hAnsi="Arial"/>
                <w:sz w:val="14"/>
                <w:szCs w:val="14"/>
                <w:b w:val="1"/>
                <w:bCs w:val="1"/>
                <w:color w:val="auto"/>
                <w:w w:val="95"/>
              </w:rPr>
              <w:t>Significant Other</w:t>
            </w:r>
          </w:p>
        </w:tc>
        <w:tc>
          <w:tcPr>
            <w:tcW w:w="1700" w:type="dxa"/>
            <w:vAlign w:val="bottom"/>
            <w:gridSpan w:val="3"/>
          </w:tcPr>
          <w:p>
            <w:pPr>
              <w:jc w:val="center"/>
              <w:ind w:right="60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34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59"/>
              <w:spacing w:after="0" w:line="145"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3"/>
          </w:tcPr>
          <w:p>
            <w:pPr>
              <w:jc w:val="center"/>
              <w:ind w:right="540"/>
              <w:spacing w:after="0" w:line="145" w:lineRule="exact"/>
              <w:rPr>
                <w:sz w:val="20"/>
                <w:szCs w:val="20"/>
                <w:color w:val="auto"/>
              </w:rPr>
            </w:pPr>
            <w:r>
              <w:rPr>
                <w:rFonts w:ascii="Arial" w:cs="Arial" w:eastAsia="Arial" w:hAnsi="Arial"/>
                <w:sz w:val="14"/>
                <w:szCs w:val="14"/>
                <w:b w:val="1"/>
                <w:bCs w:val="1"/>
                <w:color w:val="auto"/>
                <w:w w:val="91"/>
              </w:rPr>
              <w:t>Observable</w:t>
            </w:r>
          </w:p>
        </w:tc>
        <w:tc>
          <w:tcPr>
            <w:tcW w:w="1700" w:type="dxa"/>
            <w:vAlign w:val="bottom"/>
            <w:gridSpan w:val="3"/>
          </w:tcPr>
          <w:p>
            <w:pPr>
              <w:jc w:val="center"/>
              <w:ind w:right="600"/>
              <w:spacing w:after="0" w:line="145" w:lineRule="exact"/>
              <w:rPr>
                <w:sz w:val="20"/>
                <w:szCs w:val="20"/>
                <w:color w:val="auto"/>
              </w:rPr>
            </w:pPr>
            <w:r>
              <w:rPr>
                <w:rFonts w:ascii="Arial" w:cs="Arial" w:eastAsia="Arial" w:hAnsi="Arial"/>
                <w:sz w:val="14"/>
                <w:szCs w:val="14"/>
                <w:b w:val="1"/>
                <w:bCs w:val="1"/>
                <w:color w:val="auto"/>
                <w:w w:val="92"/>
              </w:rPr>
              <w:t>Unobservable</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59"/>
              <w:spacing w:after="0" w:line="13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3"/>
          </w:tcPr>
          <w:p>
            <w:pPr>
              <w:jc w:val="center"/>
              <w:ind w:right="560"/>
              <w:spacing w:after="0" w:line="139" w:lineRule="exact"/>
              <w:rPr>
                <w:sz w:val="20"/>
                <w:szCs w:val="20"/>
                <w:color w:val="auto"/>
              </w:rPr>
            </w:pPr>
            <w:r>
              <w:rPr>
                <w:rFonts w:ascii="Arial" w:cs="Arial" w:eastAsia="Arial" w:hAnsi="Arial"/>
                <w:sz w:val="14"/>
                <w:szCs w:val="14"/>
                <w:b w:val="1"/>
                <w:bCs w:val="1"/>
                <w:color w:val="auto"/>
                <w:w w:val="95"/>
              </w:rPr>
              <w:t>Inputs</w:t>
            </w:r>
          </w:p>
        </w:tc>
        <w:tc>
          <w:tcPr>
            <w:tcW w:w="1700" w:type="dxa"/>
            <w:vAlign w:val="bottom"/>
            <w:gridSpan w:val="3"/>
          </w:tcPr>
          <w:p>
            <w:pPr>
              <w:jc w:val="center"/>
              <w:ind w:right="620"/>
              <w:spacing w:after="0" w:line="139" w:lineRule="exact"/>
              <w:rPr>
                <w:sz w:val="20"/>
                <w:szCs w:val="20"/>
                <w:color w:val="auto"/>
              </w:rPr>
            </w:pPr>
            <w:r>
              <w:rPr>
                <w:rFonts w:ascii="Arial" w:cs="Arial" w:eastAsia="Arial" w:hAnsi="Arial"/>
                <w:sz w:val="14"/>
                <w:szCs w:val="14"/>
                <w:b w:val="1"/>
                <w:bCs w:val="1"/>
                <w:color w:val="auto"/>
                <w:w w:val="95"/>
              </w:rPr>
              <w:t>Inputs</w:t>
            </w:r>
          </w:p>
        </w:tc>
        <w:tc>
          <w:tcPr>
            <w:tcW w:w="1340" w:type="dxa"/>
            <w:vAlign w:val="bottom"/>
          </w:tcPr>
          <w:p>
            <w:pPr>
              <w:jc w:val="center"/>
              <w:ind w:right="178"/>
              <w:spacing w:after="0" w:line="139" w:lineRule="exact"/>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4"/>
              </w:rPr>
              <w:t>(Level 2)</w:t>
            </w:r>
          </w:p>
        </w:tc>
        <w:tc>
          <w:tcPr>
            <w:tcW w:w="17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(Level 3)</w:t>
            </w:r>
          </w:p>
        </w:tc>
        <w:tc>
          <w:tcPr>
            <w:tcW w:w="1340" w:type="dxa"/>
            <w:vAlign w:val="bottom"/>
          </w:tcPr>
          <w:p>
            <w:pPr>
              <w:jc w:val="center"/>
              <w:ind w:right="178"/>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26"/>
        </w:trPr>
        <w:tc>
          <w:tcPr>
            <w:tcW w:w="4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183,355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gridSpan w:val="3"/>
          </w:tcPr>
          <w:p>
            <w:pPr>
              <w:ind w:left="1140"/>
              <w:spacing w:after="0"/>
              <w:rPr>
                <w:sz w:val="20"/>
                <w:szCs w:val="20"/>
                <w:color w:val="auto"/>
              </w:rPr>
            </w:pPr>
            <w:r>
              <w:rPr>
                <w:rFonts w:ascii="Arial" w:cs="Arial" w:eastAsia="Arial" w:hAnsi="Arial"/>
                <w:sz w:val="18"/>
                <w:szCs w:val="18"/>
                <w:color w:val="auto"/>
              </w:rPr>
              <w:t>—  $</w:t>
            </w:r>
          </w:p>
        </w:tc>
        <w:tc>
          <w:tcPr>
            <w:tcW w:w="170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340" w:type="dxa"/>
            <w:vAlign w:val="bottom"/>
          </w:tcPr>
          <w:p>
            <w:pPr>
              <w:jc w:val="right"/>
              <w:spacing w:after="0"/>
              <w:rPr>
                <w:sz w:val="20"/>
                <w:szCs w:val="20"/>
                <w:color w:val="auto"/>
              </w:rPr>
            </w:pPr>
            <w:r>
              <w:rPr>
                <w:rFonts w:ascii="Arial" w:cs="Arial" w:eastAsia="Arial" w:hAnsi="Arial"/>
                <w:sz w:val="18"/>
                <w:szCs w:val="18"/>
                <w:color w:val="auto"/>
              </w:rPr>
              <w:t>183,355</w:t>
            </w: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26,414</w:t>
            </w:r>
          </w:p>
        </w:tc>
        <w:tc>
          <w:tcPr>
            <w:tcW w:w="0" w:type="dxa"/>
            <w:vAlign w:val="bottom"/>
          </w:tcPr>
          <w:p>
            <w:pPr>
              <w:spacing w:after="0"/>
              <w:rPr>
                <w:sz w:val="1"/>
                <w:szCs w:val="1"/>
                <w:color w:val="auto"/>
              </w:rPr>
            </w:pPr>
          </w:p>
        </w:tc>
      </w:tr>
      <w:tr>
        <w:trPr>
          <w:trHeight w:val="230"/>
        </w:trPr>
        <w:tc>
          <w:tcPr>
            <w:tcW w:w="45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8,699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8,699</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20"/>
              <w:spacing w:after="0"/>
              <w:rPr>
                <w:sz w:val="20"/>
                <w:szCs w:val="20"/>
                <w:color w:val="auto"/>
              </w:rPr>
            </w:pPr>
            <w:r>
              <w:rPr>
                <w:rFonts w:ascii="Arial" w:cs="Arial" w:eastAsia="Arial" w:hAnsi="Arial"/>
                <w:sz w:val="18"/>
                <w:szCs w:val="18"/>
                <w:color w:val="auto"/>
              </w:rPr>
              <w:t>Deferred compensation</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9,439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9,439</w:t>
            </w:r>
          </w:p>
        </w:tc>
        <w:tc>
          <w:tcPr>
            <w:tcW w:w="0" w:type="dxa"/>
            <w:vAlign w:val="bottom"/>
          </w:tcPr>
          <w:p>
            <w:pPr>
              <w:spacing w:after="0"/>
              <w:rPr>
                <w:sz w:val="1"/>
                <w:szCs w:val="1"/>
                <w:color w:val="auto"/>
              </w:rPr>
            </w:pPr>
          </w:p>
        </w:tc>
      </w:tr>
    </w:tbl>
    <w:p>
      <w:pPr>
        <w:spacing w:after="0" w:line="2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the fair value of our assets and liabilities that were accounted for at fair value on a recurring basis as of September 30, 2022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gridSpan w:val="6"/>
          </w:tcPr>
          <w:p>
            <w:pPr>
              <w:ind w:left="40"/>
              <w:spacing w:after="0"/>
              <w:rPr>
                <w:sz w:val="20"/>
                <w:szCs w:val="20"/>
                <w:color w:val="auto"/>
              </w:rPr>
            </w:pPr>
            <w:r>
              <w:rPr>
                <w:rFonts w:ascii="Arial" w:cs="Arial" w:eastAsia="Arial" w:hAnsi="Arial"/>
                <w:sz w:val="14"/>
                <w:szCs w:val="14"/>
                <w:b w:val="1"/>
                <w:bCs w:val="1"/>
                <w:color w:val="auto"/>
              </w:rPr>
              <w:t>Fair Value Measurements at September 30, 2022</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jc w:val="center"/>
              <w:ind w:right="79"/>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3"/>
          </w:tcPr>
          <w:p>
            <w:pPr>
              <w:jc w:val="center"/>
              <w:ind w:right="500"/>
              <w:spacing w:after="0" w:line="133" w:lineRule="exact"/>
              <w:rPr>
                <w:sz w:val="20"/>
                <w:szCs w:val="20"/>
                <w:color w:val="auto"/>
              </w:rPr>
            </w:pPr>
            <w:r>
              <w:rPr>
                <w:rFonts w:ascii="Arial" w:cs="Arial" w:eastAsia="Arial" w:hAnsi="Arial"/>
                <w:sz w:val="14"/>
                <w:szCs w:val="14"/>
                <w:b w:val="1"/>
                <w:bCs w:val="1"/>
                <w:color w:val="auto"/>
                <w:w w:val="95"/>
              </w:rPr>
              <w:t>Significant Other</w:t>
            </w:r>
          </w:p>
        </w:tc>
        <w:tc>
          <w:tcPr>
            <w:tcW w:w="1680" w:type="dxa"/>
            <w:vAlign w:val="bottom"/>
            <w:gridSpan w:val="3"/>
          </w:tcPr>
          <w:p>
            <w:pPr>
              <w:jc w:val="center"/>
              <w:ind w:right="58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36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44"/>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59"/>
              <w:spacing w:after="0" w:line="145" w:lineRule="exact"/>
              <w:rPr>
                <w:sz w:val="20"/>
                <w:szCs w:val="20"/>
                <w:color w:val="auto"/>
              </w:rPr>
            </w:pPr>
            <w:r>
              <w:rPr>
                <w:rFonts w:ascii="Arial" w:cs="Arial" w:eastAsia="Arial" w:hAnsi="Arial"/>
                <w:sz w:val="14"/>
                <w:szCs w:val="14"/>
                <w:b w:val="1"/>
                <w:bCs w:val="1"/>
                <w:color w:val="auto"/>
                <w:w w:val="95"/>
              </w:rPr>
              <w:t>Active Markets for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jc w:val="center"/>
              <w:ind w:right="480"/>
              <w:spacing w:after="0" w:line="145" w:lineRule="exact"/>
              <w:rPr>
                <w:sz w:val="20"/>
                <w:szCs w:val="20"/>
                <w:color w:val="auto"/>
              </w:rPr>
            </w:pPr>
            <w:r>
              <w:rPr>
                <w:rFonts w:ascii="Arial" w:cs="Arial" w:eastAsia="Arial" w:hAnsi="Arial"/>
                <w:sz w:val="14"/>
                <w:szCs w:val="14"/>
                <w:b w:val="1"/>
                <w:bCs w:val="1"/>
                <w:color w:val="auto"/>
                <w:w w:val="91"/>
              </w:rPr>
              <w:t>Observable</w:t>
            </w:r>
          </w:p>
        </w:tc>
        <w:tc>
          <w:tcPr>
            <w:tcW w:w="1680" w:type="dxa"/>
            <w:vAlign w:val="bottom"/>
            <w:gridSpan w:val="3"/>
          </w:tcPr>
          <w:p>
            <w:pPr>
              <w:jc w:val="center"/>
              <w:ind w:right="580"/>
              <w:spacing w:after="0" w:line="145" w:lineRule="exact"/>
              <w:rPr>
                <w:sz w:val="20"/>
                <w:szCs w:val="20"/>
                <w:color w:val="auto"/>
              </w:rPr>
            </w:pPr>
            <w:r>
              <w:rPr>
                <w:rFonts w:ascii="Arial" w:cs="Arial" w:eastAsia="Arial" w:hAnsi="Arial"/>
                <w:sz w:val="14"/>
                <w:szCs w:val="14"/>
                <w:b w:val="1"/>
                <w:bCs w:val="1"/>
                <w:color w:val="auto"/>
                <w:w w:val="92"/>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4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jc w:val="center"/>
              <w:ind w:right="59"/>
              <w:spacing w:after="0" w:line="139" w:lineRule="exact"/>
              <w:rPr>
                <w:sz w:val="20"/>
                <w:szCs w:val="20"/>
                <w:color w:val="auto"/>
              </w:rPr>
            </w:pPr>
            <w:r>
              <w:rPr>
                <w:rFonts w:ascii="Arial" w:cs="Arial" w:eastAsia="Arial" w:hAnsi="Arial"/>
                <w:sz w:val="14"/>
                <w:szCs w:val="14"/>
                <w:b w:val="1"/>
                <w:bCs w:val="1"/>
                <w:color w:val="auto"/>
                <w:w w:val="90"/>
              </w:rPr>
              <w:t>Identical 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3"/>
          </w:tcPr>
          <w:p>
            <w:pPr>
              <w:jc w:val="center"/>
              <w:ind w:right="500"/>
              <w:spacing w:after="0" w:line="139" w:lineRule="exact"/>
              <w:rPr>
                <w:sz w:val="20"/>
                <w:szCs w:val="20"/>
                <w:color w:val="auto"/>
              </w:rPr>
            </w:pPr>
            <w:r>
              <w:rPr>
                <w:rFonts w:ascii="Arial" w:cs="Arial" w:eastAsia="Arial" w:hAnsi="Arial"/>
                <w:sz w:val="14"/>
                <w:szCs w:val="14"/>
                <w:b w:val="1"/>
                <w:bCs w:val="1"/>
                <w:color w:val="auto"/>
                <w:w w:val="95"/>
              </w:rPr>
              <w:t>Inputs</w:t>
            </w:r>
          </w:p>
        </w:tc>
        <w:tc>
          <w:tcPr>
            <w:tcW w:w="1680" w:type="dxa"/>
            <w:vAlign w:val="bottom"/>
            <w:gridSpan w:val="3"/>
          </w:tcPr>
          <w:p>
            <w:pPr>
              <w:jc w:val="center"/>
              <w:ind w:right="600"/>
              <w:spacing w:after="0" w:line="139" w:lineRule="exact"/>
              <w:rPr>
                <w:sz w:val="20"/>
                <w:szCs w:val="20"/>
                <w:color w:val="auto"/>
              </w:rPr>
            </w:pPr>
            <w:r>
              <w:rPr>
                <w:rFonts w:ascii="Arial" w:cs="Arial" w:eastAsia="Arial" w:hAnsi="Arial"/>
                <w:sz w:val="14"/>
                <w:szCs w:val="14"/>
                <w:b w:val="1"/>
                <w:bCs w:val="1"/>
                <w:color w:val="auto"/>
                <w:w w:val="95"/>
              </w:rPr>
              <w:t>Inputs</w:t>
            </w:r>
          </w:p>
        </w:tc>
        <w:tc>
          <w:tcPr>
            <w:tcW w:w="1360" w:type="dxa"/>
            <w:vAlign w:val="bottom"/>
          </w:tcPr>
          <w:p>
            <w:pPr>
              <w:jc w:val="center"/>
              <w:ind w:right="158"/>
              <w:spacing w:after="0" w:line="13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6"/>
        </w:trPr>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center"/>
              <w:ind w:right="79"/>
              <w:spacing w:after="0"/>
              <w:rPr>
                <w:sz w:val="20"/>
                <w:szCs w:val="20"/>
                <w:color w:val="auto"/>
              </w:rPr>
            </w:pPr>
            <w:r>
              <w:rPr>
                <w:rFonts w:ascii="Arial" w:cs="Arial" w:eastAsia="Arial" w:hAnsi="Arial"/>
                <w:sz w:val="14"/>
                <w:szCs w:val="14"/>
                <w:b w:val="1"/>
                <w:bCs w:val="1"/>
                <w:color w:val="auto"/>
                <w:w w:val="94"/>
              </w:rPr>
              <w:t>(Level 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(Level 2)</w:t>
            </w:r>
          </w:p>
        </w:tc>
        <w:tc>
          <w:tcPr>
            <w:tcW w:w="16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(Level 3)</w:t>
            </w:r>
          </w:p>
        </w:tc>
        <w:tc>
          <w:tcPr>
            <w:tcW w:w="1360" w:type="dxa"/>
            <w:vAlign w:val="bottom"/>
          </w:tcPr>
          <w:p>
            <w:pPr>
              <w:jc w:val="center"/>
              <w:ind w:right="158"/>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5"/>
        </w:trPr>
        <w:tc>
          <w:tcPr>
            <w:tcW w:w="4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101,954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20" w:type="dxa"/>
            <w:vAlign w:val="bottom"/>
            <w:gridSpan w:val="3"/>
          </w:tcPr>
          <w:p>
            <w:pPr>
              <w:ind w:left="1200"/>
              <w:spacing w:after="0"/>
              <w:rPr>
                <w:sz w:val="20"/>
                <w:szCs w:val="20"/>
                <w:color w:val="auto"/>
              </w:rPr>
            </w:pPr>
            <w:r>
              <w:rPr>
                <w:rFonts w:ascii="Arial" w:cs="Arial" w:eastAsia="Arial" w:hAnsi="Arial"/>
                <w:sz w:val="18"/>
                <w:szCs w:val="18"/>
                <w:color w:val="auto"/>
              </w:rPr>
              <w:t>—  $</w:t>
            </w:r>
          </w:p>
        </w:tc>
        <w:tc>
          <w:tcPr>
            <w:tcW w:w="168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360" w:type="dxa"/>
            <w:vAlign w:val="bottom"/>
          </w:tcPr>
          <w:p>
            <w:pPr>
              <w:jc w:val="right"/>
              <w:spacing w:after="0"/>
              <w:rPr>
                <w:sz w:val="20"/>
                <w:szCs w:val="20"/>
                <w:color w:val="auto"/>
              </w:rPr>
            </w:pPr>
            <w:r>
              <w:rPr>
                <w:rFonts w:ascii="Arial" w:cs="Arial" w:eastAsia="Arial" w:hAnsi="Arial"/>
                <w:sz w:val="18"/>
                <w:szCs w:val="18"/>
                <w:color w:val="auto"/>
              </w:rPr>
              <w:t>101,954</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14,554</w:t>
            </w:r>
          </w:p>
        </w:tc>
        <w:tc>
          <w:tcPr>
            <w:tcW w:w="0" w:type="dxa"/>
            <w:vAlign w:val="bottom"/>
          </w:tcPr>
          <w:p>
            <w:pPr>
              <w:spacing w:after="0"/>
              <w:rPr>
                <w:sz w:val="1"/>
                <w:szCs w:val="1"/>
                <w:color w:val="auto"/>
              </w:rPr>
            </w:pPr>
          </w:p>
        </w:tc>
      </w:tr>
      <w:tr>
        <w:trPr>
          <w:trHeight w:val="237"/>
        </w:trPr>
        <w:tc>
          <w:tcPr>
            <w:tcW w:w="456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3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220"/>
              <w:spacing w:after="0"/>
              <w:rPr>
                <w:sz w:val="20"/>
                <w:szCs w:val="20"/>
                <w:color w:val="auto"/>
              </w:rPr>
            </w:pPr>
            <w:r>
              <w:rPr>
                <w:rFonts w:ascii="Arial" w:cs="Arial" w:eastAsia="Arial" w:hAnsi="Arial"/>
                <w:sz w:val="18"/>
                <w:szCs w:val="18"/>
                <w:color w:val="auto"/>
              </w:rPr>
              <w:t>Deferred compensation</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7,714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3"/>
          </w:tcPr>
          <w:p>
            <w:pPr>
              <w:ind w:left="11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7,714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Cash and cash equivalents, primarily funds held in money market savings instruments, are reported at their current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approximates fair value due to the short-term nature of these instruments and are included in cash and cash equivalents in our Condensed Consolidated Balance Sheets.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Other Assets and Deferred Compensation </w:t>
      </w:r>
      <w:r>
        <w:rPr>
          <w:rFonts w:ascii="Arial" w:cs="Arial" w:eastAsia="Arial" w:hAnsi="Arial"/>
          <w:sz w:val="18"/>
          <w:szCs w:val="18"/>
          <w:color w:val="auto"/>
        </w:rPr>
        <w:t>– We hold investments in an irrevocable Rabbi Trust for our deferred compensation plan. The assets are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within the fair value measurement hierarchy during the quarter ended June 30, 2023.</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16" w:name="page17"/>
    <w:bookmarkEnd w:id="16"/>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Leases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leases consist primarily of office and manufacturing and construction equipment. All of our future lease obligations are related to non-cancelable operating leases. The decrease of our lease portfolio relates to the wind down of our Canadian facility leases. The following table provides a summary of lease cost components for the three and nine months ended June 30, 2023 and 2022, respectively (in thousands):</w:t>
      </w:r>
    </w:p>
    <w:p>
      <w:pPr>
        <w:spacing w:after="0" w:line="337"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Nine months ended June 30,</w:t>
            </w:r>
          </w:p>
        </w:tc>
        <w:tc>
          <w:tcPr>
            <w:tcW w:w="540" w:type="dxa"/>
            <w:vAlign w:val="bottom"/>
            <w:tcBorders>
              <w:bottom w:val="single" w:sz="8" w:color="auto"/>
            </w:tcBorders>
          </w:tcPr>
          <w:p>
            <w:pPr>
              <w:spacing w:after="0"/>
              <w:rPr>
                <w:sz w:val="16"/>
                <w:szCs w:val="16"/>
                <w:color w:val="auto"/>
              </w:rPr>
            </w:pPr>
          </w:p>
        </w:tc>
      </w:tr>
      <w:tr>
        <w:trPr>
          <w:trHeight w:val="230"/>
        </w:trPr>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Lease Cost</w:t>
            </w:r>
          </w:p>
        </w:tc>
        <w:tc>
          <w:tcPr>
            <w:tcW w:w="200" w:type="dxa"/>
            <w:vAlign w:val="bottom"/>
          </w:tcPr>
          <w:p>
            <w:pPr>
              <w:spacing w:after="0"/>
              <w:rPr>
                <w:sz w:val="19"/>
                <w:szCs w:val="19"/>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9"/>
                <w:szCs w:val="19"/>
                <w:color w:val="auto"/>
              </w:rPr>
            </w:pPr>
          </w:p>
        </w:tc>
      </w:tr>
      <w:tr>
        <w:trPr>
          <w:trHeight w:val="223"/>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2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6"/>
              </w:rPr>
              <w:t>551</w:t>
            </w:r>
          </w:p>
        </w:tc>
        <w:tc>
          <w:tcPr>
            <w:tcW w:w="122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1,147</w:t>
            </w:r>
          </w:p>
        </w:tc>
        <w:tc>
          <w:tcPr>
            <w:tcW w:w="114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1,695</w:t>
            </w:r>
          </w:p>
        </w:tc>
      </w:tr>
      <w:tr>
        <w:trPr>
          <w:trHeight w:val="237"/>
        </w:trPr>
        <w:tc>
          <w:tcPr>
            <w:tcW w:w="4260" w:type="dxa"/>
            <w:vAlign w:val="bottom"/>
            <w:gridSpan w:val="2"/>
          </w:tcPr>
          <w:p>
            <w:pPr>
              <w:ind w:left="260"/>
              <w:spacing w:after="0"/>
              <w:rPr>
                <w:sz w:val="20"/>
                <w:szCs w:val="20"/>
                <w:color w:val="auto"/>
              </w:rPr>
            </w:pPr>
            <w:r>
              <w:rPr>
                <w:rFonts w:ascii="Arial" w:cs="Arial" w:eastAsia="Arial" w:hAnsi="Arial"/>
                <w:sz w:val="18"/>
                <w:szCs w:val="18"/>
                <w:color w:val="auto"/>
              </w:rPr>
              <w:t>Less: sublease income</w:t>
            </w: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5"/>
              </w:rPr>
              <w:t>(171)</w:t>
            </w: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(487)</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36"/>
        </w:trPr>
        <w:tc>
          <w:tcPr>
            <w:tcW w:w="4260" w:type="dxa"/>
            <w:vAlign w:val="bottom"/>
            <w:gridSpan w:val="2"/>
            <w:shd w:val="clear" w:color="auto" w:fill="CCEEFF"/>
          </w:tcPr>
          <w:p>
            <w:pPr>
              <w:ind w:left="20"/>
              <w:spacing w:after="0" w:line="23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3"/>
                <w:szCs w:val="23"/>
                <w:color w:val="auto"/>
                <w:vertAlign w:val="superscript"/>
              </w:rPr>
              <w:t>(1)</w:t>
            </w: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6"/>
              </w:rPr>
              <w:t>114</w:t>
            </w: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30"/>
        </w:trPr>
        <w:tc>
          <w:tcPr>
            <w:tcW w:w="4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Short-term lease cost</w:t>
            </w:r>
            <w:r>
              <w:rPr>
                <w:rFonts w:ascii="Arial" w:cs="Arial" w:eastAsia="Arial" w:hAnsi="Arial"/>
                <w:sz w:val="23"/>
                <w:szCs w:val="23"/>
                <w:color w:val="auto"/>
                <w:vertAlign w:val="superscript"/>
              </w:rPr>
              <w:t>(2)</w:t>
            </w: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2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6"/>
              </w:rPr>
              <w:t>413</w:t>
            </w:r>
          </w:p>
        </w:tc>
        <w:tc>
          <w:tcPr>
            <w:tcW w:w="2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1,486</w:t>
            </w:r>
          </w:p>
        </w:tc>
        <w:tc>
          <w:tcPr>
            <w:tcW w:w="1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1,266</w:t>
            </w:r>
          </w:p>
        </w:tc>
      </w:tr>
      <w:tr>
        <w:trPr>
          <w:trHeight w:val="256"/>
        </w:trPr>
        <w:tc>
          <w:tcPr>
            <w:tcW w:w="4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2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6"/>
              </w:rPr>
              <w:t>907</w:t>
            </w:r>
          </w:p>
        </w:tc>
        <w:tc>
          <w:tcPr>
            <w:tcW w:w="122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2,434</w:t>
            </w:r>
          </w:p>
        </w:tc>
        <w:tc>
          <w:tcPr>
            <w:tcW w:w="114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2,814</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ind w:left="180" w:hanging="172"/>
        <w:spacing w:after="0"/>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Variable lease cost represents common area maintenance charges related to our Canadian office space lease.</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Short-term lease cost includes leases and rentals with initial terms of one year or less.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operating lease assets and operating lease liabilities representing the present value of the remaining lease payments for leases with initial terms greater than twelve months. Leases with initial terms of twelve months or less are not recorded in our Condensed Consolidated Balance Sheets. The following table provides a summary of the operating lease assets and operating lease liabilities included in our Condensed Consolidated Balance Sheets as of June 30, 2023 and September 30, 2022, respectively (in thousands):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Leases</w:t>
            </w:r>
          </w:p>
        </w:tc>
        <w:tc>
          <w:tcPr>
            <w:tcW w:w="24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 2023</w:t>
            </w:r>
          </w:p>
        </w:tc>
        <w:tc>
          <w:tcPr>
            <w:tcW w:w="5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September 30, 2022</w:t>
            </w:r>
          </w:p>
        </w:tc>
      </w:tr>
      <w:tr>
        <w:trPr>
          <w:trHeight w:val="236"/>
        </w:trPr>
        <w:tc>
          <w:tcPr>
            <w:tcW w:w="20" w:type="dxa"/>
            <w:vAlign w:val="bottom"/>
            <w:shd w:val="clear" w:color="auto" w:fill="CCEEFF"/>
          </w:tcPr>
          <w:p>
            <w:pPr>
              <w:spacing w:after="0"/>
              <w:rPr>
                <w:sz w:val="20"/>
                <w:szCs w:val="20"/>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Operating lease assets, net</w:t>
            </w:r>
          </w:p>
        </w:tc>
        <w:tc>
          <w:tcPr>
            <w:tcW w:w="1880" w:type="dxa"/>
            <w:vAlign w:val="bottom"/>
            <w:gridSpan w:val="2"/>
          </w:tcPr>
          <w:p>
            <w:pPr>
              <w:jc w:val="right"/>
              <w:ind w:right="14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1,567</w:t>
            </w:r>
          </w:p>
        </w:tc>
        <w:tc>
          <w:tcPr>
            <w:tcW w:w="46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2,179</w:t>
            </w:r>
          </w:p>
        </w:tc>
        <w:tc>
          <w:tcPr>
            <w:tcW w:w="20" w:type="dxa"/>
            <w:vAlign w:val="bottom"/>
          </w:tcPr>
          <w:p>
            <w:pPr>
              <w:spacing w:after="0"/>
              <w:rPr>
                <w:sz w:val="19"/>
                <w:szCs w:val="19"/>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Current operating lease liabilities</w:t>
            </w: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1,777</w:t>
            </w:r>
          </w:p>
        </w:tc>
        <w:tc>
          <w:tcPr>
            <w:tcW w:w="20" w:type="dxa"/>
            <w:vAlign w:val="bottom"/>
          </w:tcPr>
          <w:p>
            <w:pPr>
              <w:spacing w:after="0"/>
              <w:rPr>
                <w:sz w:val="20"/>
                <w:szCs w:val="20"/>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operating lease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0" w:type="dxa"/>
            <w:vAlign w:val="bottom"/>
            <w:tcBorders>
              <w:bottom w:val="single" w:sz="8" w:color="auto"/>
            </w:tcBorders>
            <w:shd w:val="clear" w:color="auto" w:fill="CCEEFF"/>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Total lease liabilities</w:t>
            </w:r>
          </w:p>
        </w:tc>
        <w:tc>
          <w:tcPr>
            <w:tcW w:w="240" w:type="dxa"/>
            <w:vAlign w:val="bottom"/>
          </w:tcPr>
          <w:p>
            <w:pPr>
              <w:spacing w:after="0"/>
              <w:rPr>
                <w:sz w:val="19"/>
                <w:szCs w:val="19"/>
                <w:color w:val="auto"/>
              </w:rPr>
            </w:pPr>
          </w:p>
        </w:tc>
        <w:tc>
          <w:tcPr>
            <w:tcW w:w="164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1,580</w:t>
            </w:r>
          </w:p>
        </w:tc>
        <w:tc>
          <w:tcPr>
            <w:tcW w:w="240" w:type="dxa"/>
            <w:vAlign w:val="bottom"/>
            <w:gridSpan w:val="2"/>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2,322</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gridSpan w:val="2"/>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47"/>
        </w:trPr>
        <w:tc>
          <w:tcPr>
            <w:tcW w:w="8300" w:type="dxa"/>
            <w:vAlign w:val="bottom"/>
            <w:gridSpan w:val="4"/>
          </w:tcPr>
          <w:p>
            <w:pPr>
              <w:jc w:val="right"/>
              <w:ind w:right="210"/>
              <w:spacing w:after="0"/>
              <w:rPr>
                <w:sz w:val="20"/>
                <w:szCs w:val="20"/>
                <w:color w:val="auto"/>
              </w:rPr>
            </w:pPr>
            <w:r>
              <w:rPr>
                <w:rFonts w:ascii="Arial" w:cs="Arial" w:eastAsia="Arial" w:hAnsi="Arial"/>
                <w:sz w:val="18"/>
                <w:szCs w:val="18"/>
                <w:color w:val="auto"/>
                <w:w w:val="91"/>
              </w:rPr>
              <w:t>The following table provides the maturities of our operating lease liabilities as of June 30, 2023 (in thousands):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Operating Leases</w:t>
            </w:r>
          </w:p>
        </w:tc>
        <w:tc>
          <w:tcPr>
            <w:tcW w:w="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671</w:t>
            </w:r>
          </w:p>
        </w:tc>
        <w:tc>
          <w:tcPr>
            <w:tcW w:w="20" w:type="dxa"/>
            <w:vAlign w:val="bottom"/>
          </w:tcPr>
          <w:p>
            <w:pPr>
              <w:spacing w:after="0"/>
              <w:rPr>
                <w:sz w:val="20"/>
                <w:szCs w:val="20"/>
                <w:color w:val="auto"/>
              </w:rPr>
            </w:pPr>
          </w:p>
        </w:tc>
      </w:tr>
      <w:tr>
        <w:trPr>
          <w:trHeight w:val="242"/>
        </w:trPr>
        <w:tc>
          <w:tcPr>
            <w:tcW w:w="20" w:type="dxa"/>
            <w:vAlign w:val="bottom"/>
          </w:tcPr>
          <w:p>
            <w:pPr>
              <w:spacing w:after="0"/>
              <w:rPr>
                <w:sz w:val="21"/>
                <w:szCs w:val="21"/>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2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 (imputed interest)</w:t>
            </w:r>
          </w:p>
        </w:tc>
        <w:tc>
          <w:tcPr>
            <w:tcW w:w="240" w:type="dxa"/>
            <w:vAlign w:val="bottom"/>
            <w:tcBorders>
              <w:bottom w:val="single" w:sz="8" w:color="CCEEFF"/>
            </w:tcBorders>
          </w:tcPr>
          <w:p>
            <w:pPr>
              <w:spacing w:after="0"/>
              <w:rPr>
                <w:sz w:val="21"/>
                <w:szCs w:val="21"/>
                <w:color w:val="auto"/>
              </w:rPr>
            </w:pPr>
          </w:p>
        </w:tc>
        <w:tc>
          <w:tcPr>
            <w:tcW w:w="164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1"/>
                <w:szCs w:val="21"/>
                <w:color w:val="auto"/>
              </w:rPr>
            </w:pPr>
          </w:p>
        </w:tc>
      </w:tr>
      <w:tr>
        <w:trPr>
          <w:trHeight w:val="248"/>
        </w:trPr>
        <w:tc>
          <w:tcPr>
            <w:tcW w:w="20" w:type="dxa"/>
            <w:vAlign w:val="bottom"/>
          </w:tcPr>
          <w:p>
            <w:pPr>
              <w:spacing w:after="0"/>
              <w:rPr>
                <w:sz w:val="21"/>
                <w:szCs w:val="21"/>
                <w:color w:val="auto"/>
              </w:rPr>
            </w:pPr>
          </w:p>
        </w:tc>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discount rate as of June 30, 2023 was 3.35%. The weighted average remaining lease term was 2.48 years at June 30, 2023.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J.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effective tax rate is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Nine months ended June 30,</w:t>
            </w:r>
          </w:p>
        </w:tc>
      </w:tr>
      <w:tr>
        <w:trPr>
          <w:trHeight w:val="203"/>
        </w:trPr>
        <w:tc>
          <w:tcPr>
            <w:tcW w:w="4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2022</w:t>
            </w:r>
          </w:p>
        </w:tc>
      </w:tr>
      <w:tr>
        <w:trPr>
          <w:trHeight w:val="26"/>
        </w:trPr>
        <w:tc>
          <w:tcPr>
            <w:tcW w:w="43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23,645</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2,918</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36,232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(774)</w:t>
            </w:r>
          </w:p>
        </w:tc>
      </w:tr>
      <w:tr>
        <w:trPr>
          <w:trHeight w:val="216"/>
        </w:trPr>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5,191</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(6,143)</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8,142</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(5,772)</w:t>
            </w:r>
          </w:p>
        </w:tc>
      </w:tr>
      <w:tr>
        <w:trPr>
          <w:trHeight w:val="162"/>
        </w:trPr>
        <w:tc>
          <w:tcPr>
            <w:tcW w:w="43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248"/>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18,454</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9,061</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28,090</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4,998</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746 %</w:t>
            </w:r>
          </w:p>
        </w:tc>
      </w:tr>
    </w:tbl>
    <w:p>
      <w:pPr>
        <w:spacing w:after="0" w:line="2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income tax provision reflects an effective tax rate on pre-tax income of 22% for both the three and nine months ended June 30, 2023 compared to an income tax benefit that reflects an effective tax rate on pre-tax income of negative 211% for the three months ended June 30, 2022 and 746% for the nine months ended June 30, 2022. The effective tax rate for the three and nine months ended June 30, 2023 approximated the U.S. federal statutory rate. The favorable impacts of the estimated Research and Development Tax Credit (R&amp;D Tax Credit) and the projected utilization of net operating loss carryforwards in the UK that have been fully reserved with a valuation allowance were offset by state income tax expense, certain nondeductible expenses and an income inclusion related to U.S. global intangible income.</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record and maintain valuation allowances against the deferred tax assets of various foreign jurisdictions until sufficient evidence is available to demonstrate that it is more-likely-than-not that the net deferred tax assets will be recognized. As of each reporting date, management considers new evidence, both positive and negative, that could affect its view of the future realization of deferred tax assets. Given our current earnings and anticipated future earnings in the UK, we believe that there is a possibility that within the next 12 months, sufficient positive evidence may become available to allow us to reach a conclusion that a significant portion of the UK valuation allowance will no longer be needed. A release in the valuation allowance would result in recognition of certain net deferred tax assets and a decrease to income tax expense for the period the release is recorded. However, the exact timing and amount of the valuation allowance release are subject to change on the basis of the level of profitability that we believe we may be able to achieve.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During the period ended June 30, 2022, management determined that there was sufficient positive evidence to conclude that Canadian net deferred tax</w:t>
      </w:r>
    </w:p>
    <w:p>
      <w:pPr>
        <w:spacing w:after="0" w:line="5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assets were realizable. The valuation allowance was released accordingly, and a $5.9 million tax benefit and corresponding increase in the deferred tax asset were recorded. The tax benefit for the three and nine months ended June 30, 2022 was also impacted by a discrete item related to the gain recognized from the disposition of a small, non-core division of our Canadian operations. This gain on the disposal resulted in tax expense of $0.4 million.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Dividend Declared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 2023, our Board of Directors declared a quarterly cash dividend on our common stock in the amount of $0.2625 per share. The dividend is payable on September 20, 2023 to shareholders of record at the close of business on August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our management or persons acting on our behalf may make forward-looking statements to inform existing and potential shareholders about our Company. These statements may include projections and estimates concerning the timing and success of specific projects and our future backlog, revenues, income, acquisitions, liquidity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our Business and Industry</w:t>
      </w:r>
    </w:p>
    <w:p>
      <w:pPr>
        <w:spacing w:after="0" w:line="117" w:lineRule="exact"/>
        <w:rPr>
          <w:sz w:val="20"/>
          <w:szCs w:val="20"/>
          <w:color w:val="auto"/>
        </w:rPr>
      </w:pPr>
    </w:p>
    <w:p>
      <w:pPr>
        <w:ind w:left="620" w:hanging="328"/>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subject to the cyclical nature of the end markets that we serve. This has had, and may continue to have, an adverse effect on our future operating results.</w:t>
      </w:r>
    </w:p>
    <w:p>
      <w:pPr>
        <w:spacing w:after="0" w:line="62" w:lineRule="exact"/>
        <w:rPr>
          <w:rFonts w:ascii="Arial" w:cs="Arial" w:eastAsia="Arial" w:hAnsi="Arial"/>
          <w:sz w:val="18"/>
          <w:szCs w:val="18"/>
          <w:color w:val="auto"/>
        </w:rPr>
      </w:pPr>
    </w:p>
    <w:p>
      <w:pPr>
        <w:ind w:left="620" w:hanging="32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innovations may make existing products and production methods obsolete.</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Unforeseen difficulties with expansions, relocations, or consolidations of existing facilities could adversely affect our operations.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Quality problems with our products could harm our reputation and erode our competitive position.</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and product diversification through strategic acquisitions involve a number of risks.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requires skilled and unskilled labor, and we may be unable to attract and retain qualified employees.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exposed to risks relating to the use of subcontractors.</w:t>
      </w:r>
    </w:p>
    <w:p>
      <w:pPr>
        <w:spacing w:after="0" w:line="117" w:lineRule="exact"/>
        <w:rPr>
          <w:rFonts w:ascii="Arial" w:cs="Arial" w:eastAsia="Arial" w:hAnsi="Arial"/>
          <w:sz w:val="18"/>
          <w:szCs w:val="18"/>
          <w:color w:val="auto"/>
        </w:rPr>
      </w:pPr>
    </w:p>
    <w:p>
      <w:pPr>
        <w:ind w:left="620" w:hanging="328"/>
        <w:spacing w:after="0" w:line="277"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Misconduct by our employees or subcontractors, or a failure to </w:t>
      </w:r>
      <w:r>
        <w:rPr>
          <w:rFonts w:ascii="Arial" w:cs="Arial" w:eastAsia="Arial" w:hAnsi="Arial"/>
          <w:sz w:val="18"/>
          <w:szCs w:val="18"/>
          <w:color w:val="252525"/>
        </w:rPr>
        <w:t>comply with laws or regulations, could harm our reputation, damage our</w:t>
      </w:r>
      <w:r>
        <w:rPr>
          <w:rFonts w:ascii="Arial" w:cs="Arial" w:eastAsia="Arial" w:hAnsi="Arial"/>
          <w:sz w:val="18"/>
          <w:szCs w:val="18"/>
          <w:color w:val="auto"/>
        </w:rPr>
        <w:t xml:space="preserve"> </w:t>
      </w:r>
      <w:r>
        <w:rPr>
          <w:rFonts w:ascii="Arial" w:cs="Arial" w:eastAsia="Arial" w:hAnsi="Arial"/>
          <w:sz w:val="18"/>
          <w:szCs w:val="18"/>
          <w:color w:val="252525"/>
        </w:rPr>
        <w:t>relationships with customers and subject us to criminal and civil enforcement actions.</w:t>
      </w:r>
    </w:p>
    <w:p>
      <w:pPr>
        <w:spacing w:after="0" w:line="62" w:lineRule="exact"/>
        <w:rPr>
          <w:rFonts w:ascii="Arial" w:cs="Arial" w:eastAsia="Arial" w:hAnsi="Arial"/>
          <w:sz w:val="18"/>
          <w:szCs w:val="18"/>
          <w:color w:val="auto"/>
        </w:rPr>
      </w:pPr>
    </w:p>
    <w:p>
      <w:pPr>
        <w:ind w:left="620" w:hanging="328"/>
        <w:spacing w:after="0" w:line="277" w:lineRule="auto"/>
        <w:tabs>
          <w:tab w:leader="none" w:pos="620" w:val="left"/>
        </w:tabs>
        <w:numPr>
          <w:ilvl w:val="0"/>
          <w:numId w:val="4"/>
        </w:numPr>
        <w:rPr>
          <w:rFonts w:ascii="Arial" w:cs="Arial" w:eastAsia="Arial" w:hAnsi="Arial"/>
          <w:sz w:val="18"/>
          <w:szCs w:val="18"/>
          <w:color w:val="252525"/>
        </w:rPr>
      </w:pPr>
      <w:r>
        <w:rPr>
          <w:rFonts w:ascii="Arial" w:cs="Arial" w:eastAsia="Arial" w:hAnsi="Arial"/>
          <w:sz w:val="18"/>
          <w:szCs w:val="18"/>
          <w:color w:val="252525"/>
        </w:rPr>
        <w:t>Unsatisfactory safety performance may subject us to penalties, negatively impact customer relationships, result in higher operating costs, and negatively impact employee morale and turnover.</w:t>
      </w:r>
    </w:p>
    <w:p>
      <w:pPr>
        <w:spacing w:after="0" w:line="62" w:lineRule="exact"/>
        <w:rPr>
          <w:rFonts w:ascii="Arial" w:cs="Arial" w:eastAsia="Arial" w:hAnsi="Arial"/>
          <w:sz w:val="18"/>
          <w:szCs w:val="18"/>
          <w:color w:val="252525"/>
        </w:rPr>
      </w:pPr>
    </w:p>
    <w:p>
      <w:pPr>
        <w:ind w:left="620" w:hanging="328"/>
        <w:spacing w:after="0" w:line="277" w:lineRule="auto"/>
        <w:tabs>
          <w:tab w:leader="none" w:pos="620" w:val="left"/>
        </w:tabs>
        <w:numPr>
          <w:ilvl w:val="0"/>
          <w:numId w:val="4"/>
        </w:numPr>
        <w:rPr>
          <w:rFonts w:ascii="Arial" w:cs="Arial" w:eastAsia="Arial" w:hAnsi="Arial"/>
          <w:sz w:val="18"/>
          <w:szCs w:val="18"/>
          <w:color w:val="252525"/>
        </w:rPr>
      </w:pPr>
      <w:r>
        <w:rPr>
          <w:rFonts w:ascii="Arial" w:cs="Arial" w:eastAsia="Arial" w:hAnsi="Arial"/>
          <w:sz w:val="18"/>
          <w:szCs w:val="18"/>
          <w:color w:val="auto"/>
        </w:rPr>
        <w:t>Catastrophic events, including natural disasters, health epidemics (including the COVID-19 pandemic and any new variants), acts of war and terrorism, among others, could disrupt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our Financial Condition and Markets</w:t>
      </w:r>
    </w:p>
    <w:p>
      <w:pPr>
        <w:spacing w:after="0" w:line="117" w:lineRule="exact"/>
        <w:rPr>
          <w:sz w:val="20"/>
          <w:szCs w:val="20"/>
          <w:color w:val="auto"/>
        </w:rPr>
      </w:pPr>
    </w:p>
    <w:p>
      <w:pPr>
        <w:ind w:left="620" w:hanging="32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economic uncertainty and financial market conditions may impact our customer base, suppliers and backlog.</w:t>
      </w:r>
    </w:p>
    <w:p>
      <w:pPr>
        <w:spacing w:after="0" w:line="117" w:lineRule="exact"/>
        <w:rPr>
          <w:rFonts w:ascii="Arial" w:cs="Arial" w:eastAsia="Arial" w:hAnsi="Arial"/>
          <w:sz w:val="18"/>
          <w:szCs w:val="18"/>
          <w:color w:val="auto"/>
        </w:rPr>
      </w:pPr>
    </w:p>
    <w:p>
      <w:pPr>
        <w:ind w:left="620" w:hanging="328"/>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backlog is subject to unexpected adjustments, cancellations and scope reductions and, therefore, may not be a reliable indicator of our future earnings.</w:t>
      </w:r>
    </w:p>
    <w:p>
      <w:pPr>
        <w:spacing w:after="0" w:line="62" w:lineRule="exact"/>
        <w:rPr>
          <w:rFonts w:ascii="Arial" w:cs="Arial" w:eastAsia="Arial" w:hAnsi="Arial"/>
          <w:sz w:val="18"/>
          <w:szCs w:val="18"/>
          <w:color w:val="auto"/>
        </w:rPr>
      </w:pPr>
    </w:p>
    <w:p>
      <w:pPr>
        <w:ind w:left="620" w:hanging="32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recognized over time from our fixed-price contracts could result in volatility in our results of operations.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Many of our contracts contain performance obligations that may subject us to penalties or additional liabilities.</w:t>
      </w:r>
    </w:p>
    <w:p>
      <w:pPr>
        <w:spacing w:after="0" w:line="117" w:lineRule="exact"/>
        <w:rPr>
          <w:rFonts w:ascii="Arial" w:cs="Arial" w:eastAsia="Arial" w:hAnsi="Arial"/>
          <w:sz w:val="18"/>
          <w:szCs w:val="18"/>
          <w:color w:val="auto"/>
        </w:rPr>
      </w:pPr>
    </w:p>
    <w:p>
      <w:pPr>
        <w:ind w:left="620" w:hanging="328"/>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the price and supply of materials used to manufacture our products may reduce our profits and could adversely impact our ability to meet commitments to our customers.</w:t>
      </w:r>
    </w:p>
    <w:p>
      <w:pPr>
        <w:spacing w:after="0" w:line="62" w:lineRule="exact"/>
        <w:rPr>
          <w:rFonts w:ascii="Arial" w:cs="Arial" w:eastAsia="Arial" w:hAnsi="Arial"/>
          <w:sz w:val="18"/>
          <w:szCs w:val="18"/>
          <w:color w:val="auto"/>
        </w:rPr>
      </w:pPr>
    </w:p>
    <w:p>
      <w:pPr>
        <w:ind w:left="620" w:hanging="328"/>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surety bonds, letters of credit, bank guarantees, or other financial assurances, may be necessary for us to successfully bid on and obtain certain contracts.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9" w:name="page20"/>
    <w:bookmarkEnd w:id="19"/>
    <w:p>
      <w:pPr>
        <w:ind w:left="620" w:hanging="328"/>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Failure to remain in compliance with covenants or obtain waivers or amendments under our credit agreement could adversely impact our business.</w:t>
      </w:r>
    </w:p>
    <w:p>
      <w:pPr>
        <w:spacing w:after="0" w:line="140" w:lineRule="exact"/>
        <w:rPr>
          <w:rFonts w:ascii="Arial" w:cs="Arial" w:eastAsia="Arial" w:hAnsi="Arial"/>
          <w:sz w:val="16"/>
          <w:szCs w:val="16"/>
          <w:color w:val="auto"/>
        </w:rPr>
      </w:pPr>
    </w:p>
    <w:p>
      <w:pPr>
        <w:ind w:left="620" w:hanging="328"/>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extend credit to customers in conjunction with our performance under fixed-price contracts which subjects us to potential credit risks.</w:t>
      </w:r>
    </w:p>
    <w:p>
      <w:pPr>
        <w:spacing w:after="0" w:line="128" w:lineRule="exact"/>
        <w:rPr>
          <w:rFonts w:ascii="Arial" w:cs="Arial" w:eastAsia="Arial" w:hAnsi="Arial"/>
          <w:sz w:val="17"/>
          <w:szCs w:val="17"/>
          <w:color w:val="auto"/>
        </w:rPr>
      </w:pPr>
    </w:p>
    <w:p>
      <w:pPr>
        <w:ind w:left="620" w:hanging="32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significant portion of our revenues may be concentrated among a small number of customers.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carry insurance against many potential liabilities, but our management of risk may leave us exposed to unidentified or unanticipated risks.</w:t>
      </w:r>
    </w:p>
    <w:p>
      <w:pPr>
        <w:spacing w:after="0" w:line="128" w:lineRule="exact"/>
        <w:rPr>
          <w:rFonts w:ascii="Arial" w:cs="Arial" w:eastAsia="Arial" w:hAnsi="Arial"/>
          <w:sz w:val="17"/>
          <w:szCs w:val="17"/>
          <w:color w:val="auto"/>
        </w:rPr>
      </w:pPr>
    </w:p>
    <w:p>
      <w:pPr>
        <w:ind w:left="620" w:hanging="328"/>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international operations expose us to risks that are different from, or possibly greater than, the risks we are exposed to domestically and may adversely affect our operations.</w:t>
      </w:r>
    </w:p>
    <w:p>
      <w:pPr>
        <w:spacing w:after="0" w:line="62" w:lineRule="exact"/>
        <w:rPr>
          <w:rFonts w:ascii="Arial" w:cs="Arial" w:eastAsia="Arial" w:hAnsi="Arial"/>
          <w:sz w:val="18"/>
          <w:szCs w:val="18"/>
          <w:color w:val="auto"/>
        </w:rPr>
      </w:pPr>
    </w:p>
    <w:p>
      <w:pPr>
        <w:ind w:left="620" w:hanging="328"/>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62" w:lineRule="exact"/>
        <w:rPr>
          <w:rFonts w:ascii="Arial" w:cs="Arial" w:eastAsia="Arial" w:hAnsi="Arial"/>
          <w:sz w:val="18"/>
          <w:szCs w:val="18"/>
          <w:color w:val="auto"/>
        </w:rPr>
      </w:pPr>
    </w:p>
    <w:p>
      <w:pPr>
        <w:ind w:left="620" w:hanging="328"/>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failure in our business systems or cyber security attacks on any of our facilities, or those of third parties, could adversely affect our business and our internal controls.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our Common Stock</w:t>
      </w:r>
    </w:p>
    <w:p>
      <w:pPr>
        <w:spacing w:after="0" w:line="117" w:lineRule="exact"/>
        <w:rPr>
          <w:sz w:val="20"/>
          <w:szCs w:val="20"/>
          <w:color w:val="auto"/>
        </w:rPr>
      </w:pPr>
    </w:p>
    <w:p>
      <w:pPr>
        <w:ind w:left="620" w:hanging="328"/>
        <w:spacing w:after="0" w:line="277"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stock price could decline or fluctuate significantly due to unforeseen circumstances which may be outside of our control. These fluctuations may cause our stockholders to incur losses.</w:t>
      </w:r>
    </w:p>
    <w:p>
      <w:pPr>
        <w:spacing w:after="0" w:line="62" w:lineRule="exact"/>
        <w:rPr>
          <w:rFonts w:ascii="Arial" w:cs="Arial" w:eastAsia="Arial" w:hAnsi="Arial"/>
          <w:sz w:val="18"/>
          <w:szCs w:val="18"/>
          <w:color w:val="auto"/>
        </w:rPr>
      </w:pPr>
    </w:p>
    <w:p>
      <w:pPr>
        <w:ind w:left="620" w:hanging="328"/>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can be no assurance that we will declare or pay future dividends on our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Related to Legal and Regulatory Matters</w:t>
      </w:r>
    </w:p>
    <w:p>
      <w:pPr>
        <w:spacing w:after="0" w:line="117" w:lineRule="exact"/>
        <w:rPr>
          <w:sz w:val="20"/>
          <w:szCs w:val="20"/>
          <w:color w:val="auto"/>
        </w:rPr>
      </w:pPr>
    </w:p>
    <w:p>
      <w:pPr>
        <w:ind w:left="620" w:hanging="32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operations could be adversely impacted by the effects of government regulations.</w:t>
      </w:r>
    </w:p>
    <w:p>
      <w:pPr>
        <w:spacing w:after="0" w:line="117" w:lineRule="exact"/>
        <w:rPr>
          <w:rFonts w:ascii="Arial" w:cs="Arial" w:eastAsia="Arial" w:hAnsi="Arial"/>
          <w:sz w:val="18"/>
          <w:szCs w:val="18"/>
          <w:color w:val="auto"/>
        </w:rPr>
      </w:pPr>
    </w:p>
    <w:p>
      <w:pPr>
        <w:ind w:left="620" w:hanging="328"/>
        <w:spacing w:after="0" w:line="277"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and compliance with environmental laws and regulations, including those regarding climate change, could adversely impact our financial results.</w:t>
      </w:r>
    </w:p>
    <w:p>
      <w:pPr>
        <w:spacing w:after="0" w:line="62" w:lineRule="exact"/>
        <w:rPr>
          <w:rFonts w:ascii="Arial" w:cs="Arial" w:eastAsia="Arial" w:hAnsi="Arial"/>
          <w:sz w:val="18"/>
          <w:szCs w:val="18"/>
          <w:color w:val="auto"/>
        </w:rPr>
      </w:pPr>
    </w:p>
    <w:p>
      <w:pPr>
        <w:ind w:left="620" w:hanging="328"/>
        <w:spacing w:after="0" w:line="277"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62" w:lineRule="exact"/>
        <w:rPr>
          <w:rFonts w:ascii="Arial" w:cs="Arial" w:eastAsia="Arial" w:hAnsi="Arial"/>
          <w:sz w:val="18"/>
          <w:szCs w:val="18"/>
          <w:color w:val="auto"/>
        </w:rPr>
      </w:pPr>
    </w:p>
    <w:p>
      <w:pPr>
        <w:ind w:left="620" w:hanging="32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developments arising from tariffs and other economic proposals could adversely impact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 Factors</w:t>
      </w:r>
    </w:p>
    <w:p>
      <w:pPr>
        <w:spacing w:after="0" w:line="117" w:lineRule="exact"/>
        <w:rPr>
          <w:sz w:val="20"/>
          <w:szCs w:val="20"/>
          <w:color w:val="auto"/>
        </w:rPr>
      </w:pPr>
    </w:p>
    <w:p>
      <w:pPr>
        <w:ind w:left="620" w:hanging="328"/>
        <w:spacing w:after="0"/>
        <w:tabs>
          <w:tab w:leader="none" w:pos="620" w:val="left"/>
        </w:tabs>
        <w:numPr>
          <w:ilvl w:val="0"/>
          <w:numId w:val="9"/>
        </w:numPr>
        <w:rPr>
          <w:rFonts w:ascii="Arial" w:cs="Arial" w:eastAsia="Arial" w:hAnsi="Arial"/>
          <w:sz w:val="17"/>
          <w:szCs w:val="17"/>
          <w:b w:val="1"/>
          <w:bCs w:val="1"/>
          <w:i w:val="1"/>
          <w:iCs w:val="1"/>
          <w:color w:val="auto"/>
        </w:rPr>
      </w:pPr>
      <w:r>
        <w:rPr>
          <w:rFonts w:ascii="Arial" w:cs="Arial" w:eastAsia="Arial" w:hAnsi="Arial"/>
          <w:sz w:val="17"/>
          <w:szCs w:val="17"/>
          <w:color w:val="auto"/>
        </w:rPr>
        <w:t>Actual and potential claims, lawsuits and proceedings could ultimately reduce our profitability and liquidity and weaken our financial condition.</w:t>
      </w:r>
    </w:p>
    <w:p>
      <w:pPr>
        <w:spacing w:after="0" w:line="128" w:lineRule="exact"/>
        <w:rPr>
          <w:rFonts w:ascii="Arial" w:cs="Arial" w:eastAsia="Arial" w:hAnsi="Arial"/>
          <w:sz w:val="17"/>
          <w:szCs w:val="17"/>
          <w:b w:val="1"/>
          <w:bCs w:val="1"/>
          <w:i w:val="1"/>
          <w:iCs w:val="1"/>
          <w:color w:val="auto"/>
        </w:rPr>
      </w:pPr>
    </w:p>
    <w:p>
      <w:pPr>
        <w:ind w:left="620" w:hanging="32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 laws and regulations may change our effective tax rate and could have a material effect on our financial results.</w:t>
      </w:r>
    </w:p>
    <w:p>
      <w:pPr>
        <w:spacing w:after="0" w:line="117" w:lineRule="exact"/>
        <w:rPr>
          <w:rFonts w:ascii="Arial" w:cs="Arial" w:eastAsia="Arial" w:hAnsi="Arial"/>
          <w:sz w:val="18"/>
          <w:szCs w:val="18"/>
          <w:color w:val="auto"/>
        </w:rPr>
      </w:pPr>
    </w:p>
    <w:p>
      <w:pPr>
        <w:ind w:left="620" w:hanging="32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departure of key personnel could disrupt our business.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the items we have outlined above are important factors that could cause estimates included in our financial statements and those expressed in a forward-looking statement made in this report or elsewhere by us or on our behalf to differ materially from actual results. We have discussed these factors in more detail in our Annual Report on Form 10-K for the year ended September 30, 2022.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2022, which was filed with the Securities and Exchange Commission (SEC) on December 6, 2022 and is available on the SEC’s website at www.sec.gov.</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develop, design, manufacture and service custom-engineered equipment and systems which (1) distribute, control and monitor the flow of electrical energy and (2) provide protection to motors, transformers and other electrically powered equipment. We are headquartered in Houston, Texas, and serve the oil and gas and petrochemical markets, which include onshore and offshore production, liquefied natural gas (LNG) facilities and terminals, pipelines, refineries and petrochemical plants. Additional markets include electric utility and light rail traction power as well as mining and metals, pulp and paper and other municipal, commercial and other industrial markets. Revenues and costs are primarily related to custom engineered-to-order equipment and</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systems and are accounted for under percentage-of-completion accounting, which precludes us from providing detailed price and volume information. Our backlog includes various projects that typically take a number of months to produce.</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markets in which we participate are capital-intensive and cyclical in nature. Cyclicality is predominantly driven by customer demand, global economic and geopolitical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and projects typically take a number of months to produce. Schedules may change during the course of any particular project, and our operating results can, therefore, be impacted by factors outside of our control.</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the industrial sector, specifically oil, gas and petrochemical, the demand for our electrical distribution solutions is very cyclical and closely correlated to the level of capital expenditures of our end-user customers as well as prevailing global economic conditions.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One element of our strategic focus is to strengthen our project portfolio beyond our core oil, gas and petrochemical end market sectors. Over the past year these efforts have contributed to a record backlog of projects coming into Fiscal 2023. There has been an increase in the planning and capital funding within North America as the market responds to the increased international demand for LNG and gas to chemical processes utilizing low cost gas feedstocks. As a result, the business has been awarded a number of large LNG and petrochemical contracts that have had a positive impact on our backlog. Additionally, diversification efforts outside of our core oil, gas and petrochemical end markets have resulted in an increase in backlog across the utility and commercial and other industrial sectors as well.</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Various factors resulting in global economic uncertainty negatively impacted our results over the past two years. Uncertainty and demand disruptions resulted in considerable volatility across commodity markets. We experienced supply chain disruptions driven predominately by availability and cost volatility across our raw materials, components and labor force. All of these factors contributed to the lower margins realized in Fiscal 2022 relative to prior oil and gas cycles. As we continue to address supply chain challenges, we are working with our suppliers of key components and commodities to meet our customer commitments. Additionally, we have adjusted our pricing models with our customers in response to the increased cost environment which has made a positive impact on our gross margins in Fiscal 2023.</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June 30, 2023 Compared to the Quarter Ended June 30, 2022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Gross Profit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increased by 42%, or $56.9 million, to $192.4 million in the third quarter of Fiscal 2023, primarily driven by the increase in project backlog. Domestic revenues increased by 49%, or $50.3 million, to $153.3 million in the third quarter of Fiscal 2023. International revenues increased by 20%, or $6.6 million, to $39.1 million in the third quarter of Fiscal 2023. Our international revenues include both revenues generated from our international facilities as well as revenues from export projects generated at our domestic facilities.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jc w:val="both"/>
        <w:spacing w:after="0" w:line="272" w:lineRule="auto"/>
        <w:rPr>
          <w:sz w:val="20"/>
          <w:szCs w:val="20"/>
          <w:color w:val="auto"/>
        </w:rPr>
      </w:pPr>
      <w:r>
        <w:rPr>
          <w:rFonts w:ascii="Arial" w:cs="Arial" w:eastAsia="Arial" w:hAnsi="Arial"/>
          <w:sz w:val="17"/>
          <w:szCs w:val="17"/>
          <w:color w:val="auto"/>
        </w:rPr>
        <w:t>Revenue from our core oil and gas markets (excluding petrochemical) increased by 25%, or $14.8 million, to $73.5 million in the third quarter of Fiscal 2023, while petrochemical revenue increased by 45%, or $6.8 million, to $22.0 million in the third quarter of Fiscal 2023. Revenue from our utility markets increased by 45%, or $13.7 million, to $43.8 million in the third quarter of Fiscal 2023. Commercial and other industrial market revenue increased by 137%, or $20.6 million, to $35.6 million, driven by an increase in traditionally non-core markets such as data centers, university projects and other miscellaneous applications. Revenue from all other markets combined increased by 55%, or $3.7 million, to $10.4 million in the third quarter of Fiscal 2023. These increases in revenue were driven by improved market conditions and our strategic effort to diversify our business. Revenue from our traction market decreased by 27%, or $2.6 million, to $7.1 million in the third quarter of Fiscal 2023.</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increased by 124%, or $23.6 million, to $42.7 million for the third quarter of Fiscal 2023. Gross profit as a percentage of revenues increased to 22% in the third quarter of Fiscal 2023, compared to 14% in the third quarter of Fiscal 2022. The increase in gross profit was directly attributable to volume leverage and factory efficiencies as a result of the increase in volume, project execution, as well as effectively managing inflationary pressures while maintaining pricing models to correspond to current cost levels. Gross profit for the third quarter of Fiscal 2023 also benefited from a project cancellation of $1.7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increased by 20%, or $3.3 million, to $19.7 million in the third quarter of Fiscal 2023, primarily due to $2.3 million of increased variable incentive compensation resulting from improved earnings. Selling, general and administrative expenses as a percentage of revenues decreased to 10% during the third quarter of Fiscal 2023 compared to 12% during the third quarter of Fiscal 2022 as we were able to leverage our existing cost 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other income of $2.0 million in the third quarter of Fiscal 2022 related to a gain on the sale of a non-core, industrial valve repair and servicing business within our Canadian operations. We did not record other income during the third quarter of Fiscal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Provision/Benefit</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recorded an income tax provision of $5.2 million in the third quarter of Fiscal 2023, compared to an income tax benefit of $6.1 million in the third quarter of Fiscal 2022. The effective tax rate for the third quarter of Fiscal 2023 was 22%, compared to an effective tax rate of negative 211% for the third quarter of Fiscal 2022. For the three months ended June 30, 2023, the effective tax rate was favorably impacted by the estimated Research and Development Tax Credit (R&amp;D Tax Credit), in addition to the projected utilization of net operating loss carryforwards in the UK that have been fully reserved with a valuation allowance. These benefits were offset by state income tax expense, certain nondeductible expenses and an income inclusion related to U.S. global intangible income. For the three months ended June 30, 2022, the tax benefit primarily resulted from the release of the valuation allowance recorded against the Canadian net deferred tax assets in the amount of $5.9 million that was partially offset by the tax expense of $0.4 million related to the gain on the disposition of a small, non-core division of our Canadian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third quarter of Fiscal 2023, we recorded net income of $18.5 million, or $1.52 per diluted share, compared to net income of $9.1 million, or $0.76 per diluted share, in the third quarter of Fiscal 2022. This increase in net income was primarily due to the increase in bookings over the last 18 months which has led to an increase in revenues coupled with increased project margins.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order backlog at June 30, 2023 was $1.3 billion, an increase of 31% from $1.0 billion at March 31, 2023 and an increase of 166% from $502.5 million at June 30, 2022. Bookings, net of cancellations and scope reductions, increased by 151% in the third quarter of Fiscal 2023 to $505.4 million, compared to $201.5 million in the third quarter of Fiscal 2022, primarily driven by continued strength from our core oil, gas and petrochemical markets, including several large LNG and petrochemical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Nine Months Ended June 30, 2023 Compared to Nine Months Ended June 30, 2022 (Unaudited)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Gross Profit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increased by 33%, or $120.8 million, to $490.7 million in the nine months ended June 30, 2023. Domestic revenues increased by 42%, or $115.5 million, to $387.6 million in the nine months ended June 30, 2023. International revenues increased by 5%, or $5.3 million, to $103.1 million. Our international revenues include both revenues generated from our international facilities as well as revenues from export projects generated at our domestic facilities.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from our core oil and gas markets (excluding petrochemical) increased by 16%, or $24.2 million, to $179.6 million in the nine months ended June 30, 2023, while petrochemical revenue increased by 37%, or $19.1 million, to $70.4 million in the first nine months of Fiscal 2023. Revenue from our utility markets increased by 40%, or $32.8 million, to $114.9 million in the nine months ended June 30, 2023. Commercial and other industrial market revenue increased by 145%, or $44.3 million, to $74.8 million, and revenues from all other markets combined increased by 51%, or $10.0 million, to $29.5 million in the first nine months of Fiscal 2023. Revenue from our traction market decreased by 31%, or $9.7 million, to $21.5 million in the nine months ended June 30, 2023.</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Gross profit increased by 85%, or $44.0 million, to $95.6 million in the nine months ended June 30, 2023 as compared to the first nine months of Fiscal 2022. Gross profit as a percentage of revenues increased to 19% in the first nine months of Fiscal 2023 as compared to 14% in the nine months ended June 30, 2022. The increase in gross profit was directly attributable to volume leverage and factory efficiencies as a result of the increase in volume, project execution, as well as effectively managing inflationary pressures while maintaining pricing models to correspond to current cost levels. Gross profit for the nine months ended June 30, 2023 also benefited from project cancellations of $3.4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Selling, general and administrative expenses increased by 18%, or $9.0 million, to $58.4 million in the nine months ended June 30, 2023, primarily due to $4.3 million of increased variable incentive compensation resulting from improved earnings. Selling, general and administrative expenses as a percentage of revenues decreased to 12% during the nine months ended June 30, 2023 compared to 13% during the nine months ended June 30,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other income of $2.3 million in the nine months ended June 30, 2022 related to a gain on the sale of a non-core, industrial valve repair and servicing business within our Canadian operations as well as the sale of an excess parcel of land in the U.S. We did not record other income during the nine months ended June 30,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Provision/Benefit</w:t>
      </w:r>
    </w:p>
    <w:p>
      <w:pPr>
        <w:spacing w:after="0" w:line="225"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recorded an income tax provision of $8.1 million in the nine months ended June 30, 2023, compared to an income tax benefit of $5.8 million in the nine months ended June 30, 2022. The effective tax rate for the nine months ended June 30, 2023 was 22%, compared to an effective tax rate of 746% for the nine months ended June 30, 2022. For the nine months ended June 30, 2023, the effective tax rate was favorably impacted by the estimated R&amp;D Tax Credit, in addition to the projected utilization of net operating loss carryforwards in the UK that have been fully reserved with a valuation allowance. These</w:t>
      </w:r>
    </w:p>
    <w:p>
      <w:pPr>
        <w:spacing w:after="0" w:line="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benefits were offset by state income tax expense, certain nondeductible expenses and an income inclusion related to U.S. global intangible income. For the nine months ended June 30, 2022, the tax benefit primarily resulted from the release of the valuation allowance recorded against the Canadian net deferred tax assets in the amount of $5.9 million that was partially offset by the tax expense of $0.4 million related to the gain on the disposition of a small, non-core division of our Canadian operations.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the nine months ended June 30, 2023, we recorded net income of $28.1 million, or $2.32 per diluted share, compared to net income of $5.0 million, or $0.42 per diluted share, in the nine months ended June 30, 2022. This increase in net income was primarily due to the increase in bookings over the last 18 months which has led to an increase in revenues coupled with increased project margins.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Backlog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order backlog at June 30, 2023 was $1.3 billion, an increase of 126% from $592.2 million at September 30, 2022. Bookings, net of cancellations and scope reductions, increased by 166% during the nine months ended June 30, 2023 to $1.2 billion, compared to $460.0 million during the nine months ended June 30, 2022. The significant year-over-year increase was primarily driven by continued strength from our core oil, gas and petrochemical markets, including several large LNG and petrochemical projects.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Recently we have seen a cyclical recovery across our core oil, gas and petrochemical markets combined with increased global demand for cleaner-burning fuels as well as related processes utilizing lower cost gas feedstocks. Our order activity in most of our core markets has been strong and includes several large LNG and petrochemical projects. This elevalted project activity has increased our backlog to over $1.3 billion, which is the highest level in Powell's history. Diversification efforts outside of our core oil, gas and petrochemical end markets have also been a positive catalyst, helping to drive the increase in backlog. This strong backlog of projects, which incorporates pricing initiatives in response to persistent inflationary pressures, should continue to support strong revenue throughout the remainder of 2023 and into 2024. Approximately $690 million of the backlog is expected to be recognized as revenue within the next twelve months. We do not anticipate our backlog will continue to grow at the same pace as we have recognized in the last nine months, which included several large LNG and petrochemical projects.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operating results are impacted by factors such as the timing of new order awards, project backlog, changes in project cost estimates, customer approval of final engineering and design specifications and delays in customer construction schedules, all of which contribute to short-term earnings variability and the timing of project execution. Our operating results also have been, and may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Disruption in the global supply chain has, in the past, negatively impacted our business and operating results as well due to the reduction in availability and uncertainty in the timing of the receipt of certain key component parts and commodities. These factors may result in periods of underutilization of our resources and facilities, which may negatively impact our ability to cover our fixed costs, or inhibit our ability to deliver completed products on time. We will continue to remain focused on the variables that impact our markets as well as cost management, labor availability and supply chain challenges. We will also continue to adjust to global conditions in order to maintain competitiveness in the markets that we serve.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current assets exceeded current liabilities by 1.6 times.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cash equivalents and short-term investments increased to $209.8 million at June 30, 2023, compared to $116.5 million at September 30, 2022. This increase in cash was primarily driven by increased project volume and the favorable timing of contract billing milestones on some of our large projects. We typically allocate a significant percentage of the progress billing to the early stages of the contract. These favorable billing milestones along with our increase in project backlog are the primary drivers for our increase in cash at June 30, 2023. We believe that our strong working capital position, available borrowings under our credit facility and available cash should be sufficient to finance future operating activities, capital improvements and research and development initiatives for the foreseeable future.</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31, 2023, we entered into a second amendment (the Second Amendment) to our credit agreement with Bank of America, N.A. (as amended, the U.S. Revolver). The Second Amendment increased the revolving credit facility extended to us under the U.S. Revolver, which is available for both borrowings and letters of credit and expires September 27, 2024, from $75.0 million to $125.0 million. As amended by the Second Amendment, the U.S. Revolver states the lesser of $50 million or 50% of readily and available cash may be deducted from the amount of letters of credit outstanding (not to be less than zero)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4" w:name="page25"/>
    <w:bookmarkEnd w:id="24"/>
    <w:p>
      <w:pPr>
        <w:jc w:val="both"/>
        <w:spacing w:after="0" w:line="263" w:lineRule="auto"/>
        <w:rPr>
          <w:sz w:val="20"/>
          <w:szCs w:val="20"/>
          <w:color w:val="auto"/>
        </w:rPr>
      </w:pPr>
      <w:r>
        <w:rPr>
          <w:rFonts w:ascii="Arial" w:cs="Arial" w:eastAsia="Arial" w:hAnsi="Arial"/>
          <w:sz w:val="18"/>
          <w:szCs w:val="18"/>
          <w:color w:val="auto"/>
        </w:rPr>
        <w:t>when calculating the consolidated funded indebtedness, which is a component of the consolidated net leverage ratio. We have the option to cash collateralize all or a portion of the letters of credit outstanding, which would favorably impact the consolidated funded indebtedness calculation and the consolidated net leverage ratio.</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June 30, 2023, there were no amounts borrowed under the U.S Revolver, and letters of credit outstanding were $49.0 million. As of June 30, 2023, $76.0 million was available for the issuance of letters of credit and borrowing under the U.S. Revolver. We are required to maintain certain financial covenants, the most significant of which are a consolidated net leverage ratio of less than 3.0 to 1.0 and a consolidated interest coverage ratio of greater than 3.0 to 1.0. Our most restrictive covenant, the consolidated net leverage ratio, is the ratio of earnings before interest, taxes, depreciation, amortization and stock-based compensation (EBITDAS) to funded indebtedness, which includes letters of credit. An increase in indebtedness or a decrease in EBITDAS could restrict our ability to issue letters of credit or borrow under the U.S. Revolver. For further information regarding our debt, see Notes E and F of Notes to Condensed Consolidated Financial Statements.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Approximately $44.3 million of our cash, cash equivalents and short-term investments at June 30, 2023 was held outside of the U.S. for our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we may incur additional tax expense upon such repatriation under current tax laws.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Operating activities provided net cash of $105.3 million during the nine months ended June 30, 2023 and used net cash of $27.8 million during the same period in Fiscal 2022. Cash flow from operations is primarily influenced by the timing of milestone payments from our customers, project volume and the associated working capital requirements, as well as payment terms with our suppliers. This increase in operating cash flow was primarily due to the favorable timing of contract billing milestones resulting in increased cash flow as our backlog of projects has increased (as noted above).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Investing activities used $15.4 million during the nine months ended June 30, 2023 and used less than $0.1 million during the same period in Fiscal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cash used in investing activities in the first nine months of Fiscal 2023 is primarily due to short-term investment activity.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financing activities was $9.9 million during the nine months ended June 30, 2023 and $10.2 million during the same period in Fiscal 2022, which primarily consisted of approximately $9 million of dividends paid in each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our critical accounting policies as disclosed in our Annual Report on Form 10-K for the fiscal year ended September 30, 2022, which was filed with the SEC on December 6, 2022.</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certain market risks arising from transactions we have entered into in the normal course of business. These risks primarily relate to fluctuations in market conditions, commodity prices, foreign currency transactions and interest rates.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are typically in the oil and gas and petrochemical markets, which include onshore and offshore production, LNG facilities and terminals, pipelines, refineries and petrochemical plants. Additional markets include electric utility and light rail traction power as well as mining and metals, pulp and paper and other municipal, commercial and other industrial markets. Typically, on large projects, our customers include an engineering, procurement and construction (EPC) firm which may increase our market risk exposure based on the business climate of the EPC firm. We maintain ongoing discussions with customers regarding contract status with respect to payment status, change orders and billing terms in an effort to monitor collections of amounts billed.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our profit margin. We entered into a derivative contract to hedge a portion of our exposure to commodity price risk. This contract is immaterial for the first nine months of Fiscal 2023 and ended in June 2023. In the future, we may enter into additional derivative contracts to further hedge our exposure to commodity price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Transaction Risk</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foreign operations that expose us to foreign currency exchange rate risk in the British Pound Sterling, the Canadian Dollar and to a lesser extent the Singapore Dollar and the Euro, among others. Amounts invested in our foreign operations are translated into U.S. Dollars at the exchange rates in effect at the balance sheet date. The resulting translation adjustments are recorded as accumulated other comprehensive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payments in their respective local currencies or U.S. Dollars. Additionally, expenses associated with these transactions are generally contracted and paid for in the same local currencies. For the nine months ended June 30, 2023, our realized foreign exchange loss was $0.4 million and is included in selling, general and administrative expenses in our Condensed Consolidated Statements of Operations.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accumulated other comprehensive loss, which is included as a component of stockholders’ equity, was $24.0 million as of June 30, 2023, a decrease of $5.0 million compared to September 30, 2022. This decrease in comprehensive loss was primarily a result of fluctuations in the currency exchange rates for the Canadian Dollar and British Pound Sterling as we re-measured the foreign operations of those divisions.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do not typically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on our financial statements. While we do not currently have any derivative contracts to hedge our exposure to interest rate risk, in the past we have entered and may in the future enter into such contracts. During each of the periods presented, we have not experienced a significant effect on our business due to changes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Rules 13a-15 or 15d-15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the Company's Annual Report on Form 10-K for the fiscal year ended September 30, 2022, which was filed with the SEC on December 6, 2022.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Adoption or Termination of Trading Arrangements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last fiscal quarter, none of our directors or officers adopted or terminated any "Rule 10b5-1 trading arrangement" or "non-Rule 10b5-1 trading arrangement," as those terms are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383"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 of Exhibits</w:t>
      </w:r>
    </w:p>
    <w:p>
      <w:pPr>
        <w:spacing w:after="0" w:line="34" w:lineRule="exact"/>
        <w:rPr>
          <w:sz w:val="20"/>
          <w:szCs w:val="20"/>
          <w:color w:val="auto"/>
        </w:rPr>
      </w:pPr>
    </w:p>
    <w:p>
      <w:pPr>
        <w:ind w:left="920"/>
        <w:spacing w:after="0"/>
        <w:tabs>
          <w:tab w:leader="none" w:pos="1340" w:val="left"/>
          <w:tab w:leader="none" w:pos="1700" w:val="left"/>
        </w:tabs>
        <w:rPr>
          <w:rFonts w:ascii="Arial" w:cs="Arial" w:eastAsia="Arial" w:hAnsi="Arial"/>
          <w:sz w:val="17"/>
          <w:szCs w:val="17"/>
          <w:u w:val="single" w:color="auto"/>
          <w:color w:val="0000FF"/>
        </w:rPr>
      </w:pPr>
      <w:r>
        <w:rPr>
          <w:rFonts w:ascii="Arial" w:cs="Arial" w:eastAsia="Arial" w:hAnsi="Arial"/>
          <w:sz w:val="18"/>
          <w:szCs w:val="18"/>
          <w:color w:val="auto"/>
        </w:rPr>
        <w:t>3.1</w:t>
        <w:tab/>
        <w:t>—</w:t>
      </w:r>
      <w:r>
        <w:rPr>
          <w:sz w:val="20"/>
          <w:szCs w:val="20"/>
          <w:color w:val="auto"/>
        </w:rPr>
        <w:tab/>
      </w:r>
      <w:hyperlink r:id="rId47">
        <w:r>
          <w:rPr>
            <w:rFonts w:ascii="Arial" w:cs="Arial" w:eastAsia="Arial" w:hAnsi="Arial"/>
            <w:sz w:val="17"/>
            <w:szCs w:val="17"/>
            <w:u w:val="single" w:color="auto"/>
            <w:color w:val="0000FF"/>
          </w:rPr>
          <w:t>Certificate of Incorporation of Powell Industries, Inc. filed with the Secretary of State of the State of Delaware on February 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151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ind w:left="1720"/>
        <w:spacing w:after="0"/>
        <w:rPr>
          <w:rFonts w:ascii="Arial" w:cs="Arial" w:eastAsia="Arial" w:hAnsi="Arial"/>
          <w:sz w:val="18"/>
          <w:szCs w:val="18"/>
          <w:color w:val="0000FF"/>
        </w:rPr>
      </w:pPr>
      <w:hyperlink r:id="rId47">
        <w:r>
          <w:rPr>
            <w:rFonts w:ascii="Arial" w:cs="Arial" w:eastAsia="Arial" w:hAnsi="Arial"/>
            <w:sz w:val="18"/>
            <w:szCs w:val="18"/>
            <w:u w:val="single" w:color="auto"/>
            <w:color w:val="0000FF"/>
          </w:rPr>
          <w:t>2004 (filed as Exhibit 3.1 to our Form 8-A/A filed November 1, 2004, and incorporated herein by reference)</w:t>
        </w:r>
        <w:r>
          <w:rPr>
            <w:rFonts w:ascii="Arial" w:cs="Arial" w:eastAsia="Arial" w:hAnsi="Arial"/>
            <w:sz w:val="18"/>
            <w:szCs w:val="18"/>
            <w:color w:val="000000"/>
          </w:rPr>
          <w:t>.</w:t>
        </w:r>
      </w:hyperlink>
    </w:p>
    <w:p>
      <w:pPr>
        <w:spacing w:after="0" w:line="182" w:lineRule="exact"/>
        <w:rPr>
          <w:sz w:val="20"/>
          <w:szCs w:val="20"/>
          <w:color w:val="auto"/>
        </w:rPr>
      </w:pPr>
    </w:p>
    <w:p>
      <w:pPr>
        <w:ind w:left="1360" w:hanging="794"/>
        <w:spacing w:after="0" w:line="235" w:lineRule="auto"/>
        <w:tabs>
          <w:tab w:leader="none" w:pos="1340" w:val="left"/>
        </w:tabs>
        <w:rPr>
          <w:rFonts w:ascii="Arial" w:cs="Arial" w:eastAsia="Arial" w:hAnsi="Arial"/>
          <w:sz w:val="18"/>
          <w:szCs w:val="18"/>
          <w:u w:val="single" w:color="auto"/>
          <w:color w:val="0000FF"/>
        </w:rPr>
      </w:pPr>
      <w:r>
        <w:rPr>
          <w:rFonts w:ascii="Arial" w:cs="Arial" w:eastAsia="Arial" w:hAnsi="Arial"/>
          <w:sz w:val="18"/>
          <w:szCs w:val="18"/>
          <w:color w:val="auto"/>
        </w:rPr>
        <w:t>3.2</w:t>
        <w:tab/>
        <w:t xml:space="preserve">— </w:t>
      </w:r>
      <w:hyperlink r:id="rId49">
        <w:r>
          <w:rPr>
            <w:rFonts w:ascii="Arial" w:cs="Arial" w:eastAsia="Arial" w:hAnsi="Arial"/>
            <w:sz w:val="18"/>
            <w:szCs w:val="18"/>
            <w:u w:val="single" w:color="auto"/>
            <w:color w:val="0000FF"/>
          </w:rPr>
          <w:t>Amended and Restated Bylaws of Powell Industries, Inc. (filed as Exhibit 3.1 to our Form 8-K filed October 12, 2012, and</w:t>
        </w:r>
      </w:hyperlink>
      <w:r>
        <w:rPr>
          <w:rFonts w:ascii="Arial" w:cs="Arial" w:eastAsia="Arial" w:hAnsi="Arial"/>
          <w:sz w:val="18"/>
          <w:szCs w:val="18"/>
          <w:color w:val="auto"/>
        </w:rPr>
        <w:t xml:space="preserve"> </w:t>
      </w:r>
      <w:hyperlink r:id="rId49">
        <w:r>
          <w:rPr>
            <w:rFonts w:ascii="Arial" w:cs="Arial" w:eastAsia="Arial" w:hAnsi="Arial"/>
            <w:sz w:val="18"/>
            <w:szCs w:val="18"/>
            <w:u w:val="single" w:color="auto"/>
            <w:color w:val="0000FF"/>
          </w:rPr>
          <w:t>incorporated herein by reference).</w:t>
        </w:r>
      </w:hyperlink>
    </w:p>
    <w:p>
      <w:pPr>
        <w:spacing w:after="0" w:line="160" w:lineRule="exact"/>
        <w:rPr>
          <w:sz w:val="20"/>
          <w:szCs w:val="20"/>
          <w:color w:val="auto"/>
        </w:rPr>
      </w:pPr>
    </w:p>
    <w:p>
      <w:pPr>
        <w:ind w:left="920"/>
        <w:spacing w:after="0"/>
        <w:tabs>
          <w:tab w:leader="none" w:pos="1340" w:val="left"/>
          <w:tab w:leader="none" w:pos="1700" w:val="left"/>
        </w:tabs>
        <w:rPr>
          <w:rFonts w:ascii="Arial" w:cs="Arial" w:eastAsia="Arial" w:hAnsi="Arial"/>
          <w:sz w:val="16"/>
          <w:szCs w:val="16"/>
          <w:u w:val="single" w:color="auto"/>
          <w:color w:val="0000FF"/>
        </w:rPr>
      </w:pPr>
      <w:r>
        <w:rPr>
          <w:rFonts w:ascii="Arial" w:cs="Arial" w:eastAsia="Arial" w:hAnsi="Arial"/>
          <w:sz w:val="18"/>
          <w:szCs w:val="18"/>
          <w:color w:val="auto"/>
        </w:rPr>
        <w:t>3.3</w:t>
        <w:tab/>
        <w:t>—</w:t>
      </w:r>
      <w:r>
        <w:rPr>
          <w:sz w:val="20"/>
          <w:szCs w:val="20"/>
          <w:color w:val="auto"/>
        </w:rPr>
        <w:tab/>
      </w:r>
      <w:hyperlink r:id="rId50">
        <w:r>
          <w:rPr>
            <w:rFonts w:ascii="Arial" w:cs="Arial" w:eastAsia="Arial" w:hAnsi="Arial"/>
            <w:sz w:val="16"/>
            <w:szCs w:val="16"/>
            <w:u w:val="single" w:color="auto"/>
            <w:color w:val="0000FF"/>
          </w:rPr>
          <w:t>Amendment No. 1 to Amended and Restated Bylaws of Powell Industries, Inc. (filed as Exhibit 3.1 to our Form 8-K filed February</w:t>
        </w:r>
      </w:hyperlink>
    </w:p>
    <w:p>
      <w:pPr>
        <w:ind w:left="1720"/>
        <w:spacing w:after="0"/>
        <w:rPr>
          <w:rFonts w:ascii="Arial" w:cs="Arial" w:eastAsia="Arial" w:hAnsi="Arial"/>
          <w:sz w:val="18"/>
          <w:szCs w:val="18"/>
          <w:color w:val="0000FF"/>
        </w:rPr>
      </w:pPr>
      <w:hyperlink r:id="rId50">
        <w:r>
          <w:rPr>
            <w:rFonts w:ascii="Arial" w:cs="Arial" w:eastAsia="Arial" w:hAnsi="Arial"/>
            <w:sz w:val="18"/>
            <w:szCs w:val="18"/>
            <w:u w:val="single" w:color="auto"/>
            <w:color w:val="0000FF"/>
          </w:rPr>
          <w:t>26, 2021, and incorporated herein by reference)</w:t>
        </w:r>
        <w:r>
          <w:rPr>
            <w:rFonts w:ascii="Arial" w:cs="Arial" w:eastAsia="Arial" w:hAnsi="Arial"/>
            <w:sz w:val="18"/>
            <w:szCs w:val="18"/>
            <w:color w:val="000000"/>
          </w:rPr>
          <w:t>.</w:t>
        </w:r>
      </w:hyperlink>
    </w:p>
    <w:p>
      <w:pPr>
        <w:spacing w:after="0" w:line="169" w:lineRule="exact"/>
        <w:rPr>
          <w:sz w:val="20"/>
          <w:szCs w:val="20"/>
          <w:color w:val="auto"/>
        </w:rPr>
      </w:pPr>
    </w:p>
    <w:p>
      <w:pPr>
        <w:ind w:left="800"/>
        <w:spacing w:after="0"/>
        <w:tabs>
          <w:tab w:leader="none" w:pos="1340" w:val="left"/>
          <w:tab w:leader="none" w:pos="1700" w:val="left"/>
        </w:tabs>
        <w:rPr>
          <w:sz w:val="20"/>
          <w:szCs w:val="20"/>
          <w:color w:val="auto"/>
        </w:rPr>
      </w:pPr>
      <w:r>
        <w:rPr>
          <w:rFonts w:ascii="Arial" w:cs="Arial" w:eastAsia="Arial" w:hAnsi="Arial"/>
          <w:sz w:val="18"/>
          <w:szCs w:val="18"/>
          <w:color w:val="auto"/>
        </w:rPr>
        <w:t>*31.1</w:t>
        <w:tab/>
        <w:t>—</w:t>
      </w:r>
      <w:r>
        <w:rPr>
          <w:sz w:val="20"/>
          <w:szCs w:val="20"/>
          <w:color w:val="auto"/>
        </w:rPr>
        <w:tab/>
      </w:r>
      <w:r>
        <w:rPr>
          <w:rFonts w:ascii="Arial" w:cs="Arial" w:eastAsia="Arial" w:hAnsi="Arial"/>
          <w:sz w:val="16"/>
          <w:szCs w:val="16"/>
          <w:u w:val="single" w:color="auto"/>
          <w:color w:val="0000FF"/>
        </w:rPr>
        <w:t>Certification of Chief Executive Officer pursuant to Rule 13a-14(a)/15d-14(a).</w:t>
      </w:r>
    </w:p>
    <w:p>
      <w:pPr>
        <w:spacing w:after="0" w:line="185" w:lineRule="exact"/>
        <w:rPr>
          <w:sz w:val="20"/>
          <w:szCs w:val="20"/>
          <w:color w:val="auto"/>
        </w:rPr>
      </w:pPr>
    </w:p>
    <w:p>
      <w:pPr>
        <w:ind w:left="800"/>
        <w:spacing w:after="0"/>
        <w:tabs>
          <w:tab w:leader="none" w:pos="1340" w:val="left"/>
          <w:tab w:leader="none" w:pos="1700" w:val="left"/>
        </w:tabs>
        <w:rPr>
          <w:sz w:val="20"/>
          <w:szCs w:val="20"/>
          <w:color w:val="auto"/>
        </w:rPr>
      </w:pPr>
      <w:r>
        <w:rPr>
          <w:rFonts w:ascii="Arial" w:cs="Arial" w:eastAsia="Arial" w:hAnsi="Arial"/>
          <w:sz w:val="18"/>
          <w:szCs w:val="18"/>
          <w:color w:val="auto"/>
        </w:rPr>
        <w:t>*31.2</w:t>
        <w:tab/>
        <w:t>—</w:t>
      </w:r>
      <w:r>
        <w:rPr>
          <w:sz w:val="20"/>
          <w:szCs w:val="20"/>
          <w:color w:val="auto"/>
        </w:rPr>
        <w:tab/>
      </w:r>
      <w:r>
        <w:rPr>
          <w:rFonts w:ascii="Arial" w:cs="Arial" w:eastAsia="Arial" w:hAnsi="Arial"/>
          <w:sz w:val="16"/>
          <w:szCs w:val="16"/>
          <w:u w:val="single" w:color="auto"/>
          <w:color w:val="0000FF"/>
        </w:rPr>
        <w:t>Certification of Chief Financial Officer pursuant to Rule 13a-14(a)/15d-14(a).</w:t>
      </w:r>
    </w:p>
    <w:p>
      <w:pPr>
        <w:spacing w:after="0" w:line="198" w:lineRule="exact"/>
        <w:rPr>
          <w:sz w:val="20"/>
          <w:szCs w:val="20"/>
          <w:color w:val="auto"/>
        </w:rPr>
      </w:pPr>
    </w:p>
    <w:p>
      <w:pPr>
        <w:ind w:left="1360" w:hanging="1007"/>
        <w:spacing w:after="0" w:line="235" w:lineRule="auto"/>
        <w:tabs>
          <w:tab w:leader="none" w:pos="1340" w:val="left"/>
        </w:tabs>
        <w:rPr>
          <w:sz w:val="20"/>
          <w:szCs w:val="20"/>
          <w:color w:val="auto"/>
        </w:rPr>
      </w:pPr>
      <w:r>
        <w:rPr>
          <w:rFonts w:ascii="Arial" w:cs="Arial" w:eastAsia="Arial" w:hAnsi="Arial"/>
          <w:sz w:val="18"/>
          <w:szCs w:val="18"/>
          <w:color w:val="auto"/>
        </w:rPr>
        <w:t>**32.1</w:t>
        <w:tab/>
        <w:t xml:space="preserve">— </w:t>
      </w:r>
      <w:r>
        <w:rPr>
          <w:rFonts w:ascii="Arial" w:cs="Arial" w:eastAsia="Arial" w:hAnsi="Arial"/>
          <w:sz w:val="18"/>
          <w:szCs w:val="18"/>
          <w:u w:val="single" w:color="auto"/>
          <w:color w:val="0000FF"/>
        </w:rPr>
        <w:t>Certification of Chief Executive Officer Pursuant to Section 18 U.S.C. Section 1350, as Adopted Pursuant to Section 906 of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Sarbanes-Oxley Act of 2002.</w:t>
      </w:r>
    </w:p>
    <w:p>
      <w:pPr>
        <w:spacing w:after="0" w:line="162" w:lineRule="exact"/>
        <w:rPr>
          <w:sz w:val="20"/>
          <w:szCs w:val="20"/>
          <w:color w:val="auto"/>
        </w:rPr>
      </w:pPr>
    </w:p>
    <w:p>
      <w:pPr>
        <w:ind w:left="1360" w:hanging="1007"/>
        <w:spacing w:after="0" w:line="246" w:lineRule="auto"/>
        <w:tabs>
          <w:tab w:leader="none" w:pos="1340" w:val="left"/>
        </w:tabs>
        <w:rPr>
          <w:sz w:val="20"/>
          <w:szCs w:val="20"/>
          <w:color w:val="auto"/>
        </w:rPr>
      </w:pPr>
      <w:r>
        <w:rPr>
          <w:rFonts w:ascii="Arial" w:cs="Arial" w:eastAsia="Arial" w:hAnsi="Arial"/>
          <w:sz w:val="18"/>
          <w:szCs w:val="18"/>
          <w:color w:val="auto"/>
        </w:rPr>
        <w:t>**32.2</w:t>
        <w:tab/>
        <w:t xml:space="preserve">— </w:t>
      </w:r>
      <w:r>
        <w:rPr>
          <w:rFonts w:ascii="Arial" w:cs="Arial" w:eastAsia="Arial" w:hAnsi="Arial"/>
          <w:sz w:val="18"/>
          <w:szCs w:val="18"/>
          <w:u w:val="single" w:color="auto"/>
          <w:color w:val="0000FF"/>
        </w:rPr>
        <w:t>Certification of Chief Financial Officer Pursuant to Section 18 U.S.C. Section 1350, as Adopted Pursuant to Section 906 of the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Sarbanes-Oxley Act of 2002.</w:t>
      </w:r>
    </w:p>
    <w:p>
      <w:pPr>
        <w:spacing w:after="0" w:line="156" w:lineRule="exact"/>
        <w:rPr>
          <w:sz w:val="20"/>
          <w:szCs w:val="20"/>
          <w:color w:val="auto"/>
        </w:rPr>
      </w:pPr>
    </w:p>
    <w:p>
      <w:pPr>
        <w:ind w:left="1360" w:hanging="872"/>
        <w:spacing w:after="0" w:line="279" w:lineRule="auto"/>
        <w:tabs>
          <w:tab w:leader="none" w:pos="13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 xml:space="preserve">— </w:t>
      </w:r>
      <w:r>
        <w:rPr>
          <w:rFonts w:ascii="Arial" w:cs="Arial" w:eastAsia="Arial" w:hAnsi="Arial"/>
          <w:sz w:val="16"/>
          <w:szCs w:val="16"/>
          <w:color w:val="244061"/>
        </w:rPr>
        <w:t>The following financial statements from the Company’s Quarterly Report on Form 10-Q for the quarter ended June 30, 2023,</w:t>
      </w:r>
      <w:r>
        <w:rPr>
          <w:rFonts w:ascii="Arial" w:cs="Arial" w:eastAsia="Arial" w:hAnsi="Arial"/>
          <w:sz w:val="16"/>
          <w:szCs w:val="16"/>
          <w:color w:val="auto"/>
        </w:rPr>
        <w:t xml:space="preserve"> </w:t>
      </w:r>
      <w:r>
        <w:rPr>
          <w:rFonts w:ascii="Arial" w:cs="Arial" w:eastAsia="Arial" w:hAnsi="Arial"/>
          <w:sz w:val="16"/>
          <w:szCs w:val="16"/>
          <w:color w:val="244061"/>
        </w:rPr>
        <w:t>formatted in Inline XBRL: (i) Condensed Consolidated Balance Sheets (Unaudited); (ii) Condensed Consolidated Statements of Operations (Unaudited); (iii) Condensed Consolidated Statements of Comprehensive Income (Unaudited); (iv) Condensed Consolidated Statements of Stockholders' Equity (Unaudited); (v) Condensed Consolidated Statements of Cash Flows (Unaudited); and (vi) Notes to Condensed Consolidated Financial Statements (Unaudited), tagged as blocks of text and including detailed tags.</w:t>
      </w:r>
    </w:p>
    <w:p>
      <w:pPr>
        <w:spacing w:after="0" w:line="159" w:lineRule="exact"/>
        <w:rPr>
          <w:sz w:val="20"/>
          <w:szCs w:val="20"/>
          <w:color w:val="auto"/>
        </w:rPr>
      </w:pPr>
    </w:p>
    <w:p>
      <w:pPr>
        <w:ind w:left="1360" w:right="460" w:hanging="872"/>
        <w:spacing w:after="0" w:line="246" w:lineRule="auto"/>
        <w:tabs>
          <w:tab w:leader="none" w:pos="1340" w:val="left"/>
        </w:tabs>
        <w:rPr>
          <w:sz w:val="20"/>
          <w:szCs w:val="20"/>
          <w:color w:val="auto"/>
        </w:rPr>
      </w:pPr>
      <w:r>
        <w:rPr>
          <w:rFonts w:ascii="Arial" w:cs="Arial" w:eastAsia="Arial" w:hAnsi="Arial"/>
          <w:sz w:val="18"/>
          <w:szCs w:val="18"/>
          <w:color w:val="auto"/>
        </w:rPr>
        <w:t>*104</w:t>
        <w:tab/>
        <w:t xml:space="preserve">— </w:t>
      </w:r>
      <w:r>
        <w:rPr>
          <w:rFonts w:ascii="Arial" w:cs="Arial" w:eastAsia="Arial" w:hAnsi="Arial"/>
          <w:sz w:val="18"/>
          <w:szCs w:val="18"/>
          <w:color w:val="244061"/>
        </w:rPr>
        <w:t>The cover page from the Company’s Quarterly Report on Form 10-Q for the quarter ended June 30, 2023, formatted in Inline</w:t>
      </w:r>
      <w:r>
        <w:rPr>
          <w:rFonts w:ascii="Arial" w:cs="Arial" w:eastAsia="Arial" w:hAnsi="Arial"/>
          <w:sz w:val="18"/>
          <w:szCs w:val="18"/>
          <w:color w:val="auto"/>
        </w:rPr>
        <w:t xml:space="preserve"> </w:t>
      </w:r>
      <w:r>
        <w:rPr>
          <w:rFonts w:ascii="Arial" w:cs="Arial" w:eastAsia="Arial" w:hAnsi="Arial"/>
          <w:sz w:val="18"/>
          <w:szCs w:val="18"/>
          <w:color w:val="244061"/>
        </w:rPr>
        <w:t>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07124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1071245" cy="8890"/>
                    </a:xfrm>
                    <a:prstGeom prst="rect">
                      <a:avLst/>
                    </a:prstGeom>
                    <a:noFill/>
                  </pic:spPr>
                </pic:pic>
              </a:graphicData>
            </a:graphic>
          </wp:anchor>
        </w:drawing>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7840" w:type="dxa"/>
            <w:vAlign w:val="bottom"/>
            <w:gridSpan w:val="2"/>
          </w:tcPr>
          <w:p>
            <w:pPr>
              <w:ind w:left="1820"/>
              <w:spacing w:after="0"/>
              <w:rPr>
                <w:sz w:val="20"/>
                <w:szCs w:val="20"/>
                <w:color w:val="auto"/>
              </w:rPr>
            </w:pPr>
            <w:r>
              <w:rPr>
                <w:rFonts w:ascii="Arial" w:cs="Arial" w:eastAsia="Arial" w:hAnsi="Arial"/>
                <w:sz w:val="18"/>
                <w:szCs w:val="18"/>
                <w:color w:val="auto"/>
              </w:rPr>
              <w:t>POWELL INDUSTRIES, INC.</w:t>
            </w:r>
          </w:p>
        </w:tc>
      </w:tr>
      <w:tr>
        <w:trPr>
          <w:trHeight w:val="243"/>
        </w:trPr>
        <w:tc>
          <w:tcPr>
            <w:tcW w:w="3360" w:type="dxa"/>
            <w:vAlign w:val="bottom"/>
          </w:tcPr>
          <w:p>
            <w:pPr>
              <w:spacing w:after="0"/>
              <w:rPr>
                <w:sz w:val="21"/>
                <w:szCs w:val="21"/>
                <w:color w:val="auto"/>
              </w:rPr>
            </w:pPr>
          </w:p>
        </w:tc>
        <w:tc>
          <w:tcPr>
            <w:tcW w:w="7840" w:type="dxa"/>
            <w:vAlign w:val="bottom"/>
            <w:gridSpan w:val="2"/>
          </w:tcPr>
          <w:p>
            <w:pPr>
              <w:ind w:left="1820"/>
              <w:spacing w:after="0"/>
              <w:rPr>
                <w:sz w:val="20"/>
                <w:szCs w:val="20"/>
                <w:color w:val="auto"/>
              </w:rPr>
            </w:pPr>
            <w:r>
              <w:rPr>
                <w:rFonts w:ascii="Arial" w:cs="Arial" w:eastAsia="Arial" w:hAnsi="Arial"/>
                <w:sz w:val="18"/>
                <w:szCs w:val="18"/>
                <w:color w:val="auto"/>
              </w:rPr>
              <w:t>(Registrant)</w:t>
            </w:r>
          </w:p>
        </w:tc>
      </w:tr>
      <w:tr>
        <w:trPr>
          <w:trHeight w:val="473"/>
        </w:trPr>
        <w:tc>
          <w:tcPr>
            <w:tcW w:w="3360" w:type="dxa"/>
            <w:vAlign w:val="bottom"/>
          </w:tcPr>
          <w:p>
            <w:pPr>
              <w:spacing w:after="0"/>
              <w:rPr>
                <w:sz w:val="20"/>
                <w:szCs w:val="20"/>
                <w:color w:val="auto"/>
              </w:rPr>
            </w:pPr>
            <w:r>
              <w:rPr>
                <w:rFonts w:ascii="Arial" w:cs="Arial" w:eastAsia="Arial" w:hAnsi="Arial"/>
                <w:sz w:val="18"/>
                <w:szCs w:val="18"/>
                <w:color w:val="auto"/>
              </w:rPr>
              <w:t>Date: August 2, 2023</w:t>
            </w:r>
          </w:p>
        </w:tc>
        <w:tc>
          <w:tcPr>
            <w:tcW w:w="2620" w:type="dxa"/>
            <w:vAlign w:val="bottom"/>
          </w:tcPr>
          <w:p>
            <w:pPr>
              <w:ind w:left="18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Brett A. Cope</w:t>
            </w:r>
          </w:p>
        </w:tc>
      </w:tr>
      <w:tr>
        <w:trPr>
          <w:trHeight w:val="222"/>
        </w:trPr>
        <w:tc>
          <w:tcPr>
            <w:tcW w:w="3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Brett A. Cope</w:t>
            </w:r>
          </w:p>
        </w:tc>
      </w:tr>
      <w:tr>
        <w:trPr>
          <w:trHeight w:val="229"/>
        </w:trPr>
        <w:tc>
          <w:tcPr>
            <w:tcW w:w="3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72"/>
        </w:trPr>
        <w:tc>
          <w:tcPr>
            <w:tcW w:w="3360" w:type="dxa"/>
            <w:vAlign w:val="bottom"/>
          </w:tcPr>
          <w:p>
            <w:pPr>
              <w:spacing w:after="0"/>
              <w:rPr>
                <w:sz w:val="20"/>
                <w:szCs w:val="20"/>
                <w:color w:val="auto"/>
              </w:rPr>
            </w:pPr>
            <w:r>
              <w:rPr>
                <w:rFonts w:ascii="Arial" w:cs="Arial" w:eastAsia="Arial" w:hAnsi="Arial"/>
                <w:sz w:val="18"/>
                <w:szCs w:val="18"/>
                <w:color w:val="auto"/>
              </w:rPr>
              <w:t>Date: August 2, 2023</w:t>
            </w:r>
          </w:p>
        </w:tc>
        <w:tc>
          <w:tcPr>
            <w:tcW w:w="2620" w:type="dxa"/>
            <w:vAlign w:val="bottom"/>
          </w:tcPr>
          <w:p>
            <w:pPr>
              <w:ind w:left="18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W. Metcalf</w:t>
            </w:r>
          </w:p>
        </w:tc>
      </w:tr>
      <w:tr>
        <w:trPr>
          <w:trHeight w:val="224"/>
        </w:trPr>
        <w:tc>
          <w:tcPr>
            <w:tcW w:w="33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Arial" w:cs="Arial" w:eastAsia="Arial" w:hAnsi="Arial"/>
                <w:sz w:val="18"/>
                <w:szCs w:val="18"/>
                <w:color w:val="auto"/>
              </w:rPr>
              <w:t>Michael W. Metcalf</w:t>
            </w:r>
          </w:p>
        </w:tc>
      </w:tr>
    </w:tbl>
    <w:p>
      <w:pPr>
        <w:spacing w:after="0" w:line="12"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093"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auto"/>
        </w:rPr>
        <w:t>EXHIBIT 31.1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261"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jc w:val="both"/>
        <w:ind w:left="660" w:right="340" w:hanging="328"/>
        <w:spacing w:after="0" w:line="269"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ind w:left="1300" w:right="40" w:hanging="320"/>
        <w:spacing w:after="0" w:line="269"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Arial" w:cs="Arial" w:eastAsia="Arial" w:hAnsi="Arial"/>
          <w:sz w:val="16"/>
          <w:szCs w:val="16"/>
          <w:color w:val="auto"/>
        </w:rPr>
      </w:pPr>
    </w:p>
    <w:p>
      <w:pPr>
        <w:ind w:left="1300" w:right="140" w:hanging="320"/>
        <w:spacing w:after="0" w:line="26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3" w:lineRule="exact"/>
        <w:rPr>
          <w:rFonts w:ascii="Arial" w:cs="Arial" w:eastAsia="Arial" w:hAnsi="Arial"/>
          <w:sz w:val="16"/>
          <w:szCs w:val="16"/>
          <w:color w:val="auto"/>
        </w:rPr>
      </w:pPr>
    </w:p>
    <w:p>
      <w:pPr>
        <w:ind w:left="1300" w:right="180" w:hanging="320"/>
        <w:spacing w:after="0" w:line="275"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6"/>
          <w:szCs w:val="16"/>
          <w:color w:val="auto"/>
        </w:rPr>
      </w:pPr>
    </w:p>
    <w:p>
      <w:pPr>
        <w:ind w:left="1300" w:right="180" w:hanging="320"/>
        <w:spacing w:after="0" w:line="261"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3" w:lineRule="exact"/>
        <w:rPr>
          <w:rFonts w:ascii="Arial" w:cs="Arial" w:eastAsia="Arial" w:hAnsi="Arial"/>
          <w:sz w:val="16"/>
          <w:szCs w:val="16"/>
          <w:color w:val="auto"/>
        </w:rPr>
      </w:pPr>
    </w:p>
    <w:p>
      <w:pPr>
        <w:ind w:left="660" w:right="300" w:hanging="328"/>
        <w:spacing w:after="0" w:line="275"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2" w:lineRule="exact"/>
        <w:rPr>
          <w:rFonts w:ascii="Arial" w:cs="Arial" w:eastAsia="Arial" w:hAnsi="Arial"/>
          <w:sz w:val="16"/>
          <w:szCs w:val="16"/>
          <w:color w:val="auto"/>
        </w:rPr>
      </w:pPr>
    </w:p>
    <w:p>
      <w:pPr>
        <w:ind w:left="1300" w:right="120" w:hanging="320"/>
        <w:spacing w:after="0" w:line="275"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1300" w:right="340" w:hanging="320"/>
        <w:spacing w:after="0" w:line="293"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58" w:lineRule="exact"/>
        <w:rPr>
          <w:sz w:val="20"/>
          <w:szCs w:val="20"/>
          <w:color w:val="auto"/>
        </w:rPr>
      </w:pPr>
    </w:p>
    <w:p>
      <w:pPr>
        <w:ind w:left="5640"/>
        <w:spacing w:after="0"/>
        <w:rPr>
          <w:sz w:val="20"/>
          <w:szCs w:val="20"/>
          <w:color w:val="auto"/>
        </w:rPr>
      </w:pPr>
      <w:r>
        <w:rPr>
          <w:rFonts w:ascii="Arial" w:cs="Arial" w:eastAsia="Arial" w:hAnsi="Arial"/>
          <w:sz w:val="16"/>
          <w:szCs w:val="16"/>
          <w:u w:val="single" w:color="auto"/>
          <w:color w:val="auto"/>
        </w:rPr>
        <w:t>/s/ Brett A. Cope</w:t>
      </w:r>
    </w:p>
    <w:p>
      <w:pPr>
        <w:ind w:left="5640"/>
        <w:spacing w:after="0" w:line="211" w:lineRule="auto"/>
        <w:rPr>
          <w:sz w:val="20"/>
          <w:szCs w:val="20"/>
          <w:color w:val="auto"/>
        </w:rPr>
      </w:pPr>
      <w:r>
        <w:rPr>
          <w:rFonts w:ascii="Arial" w:cs="Arial" w:eastAsia="Arial" w:hAnsi="Arial"/>
          <w:sz w:val="16"/>
          <w:szCs w:val="16"/>
          <w:color w:val="auto"/>
        </w:rPr>
        <w:t>Brett A. Cope</w:t>
      </w:r>
    </w:p>
    <w:p>
      <w:pPr>
        <w:ind w:left="5640"/>
        <w:spacing w:after="0" w:line="211" w:lineRule="auto"/>
        <w:rPr>
          <w:sz w:val="20"/>
          <w:szCs w:val="20"/>
          <w:color w:val="auto"/>
        </w:rPr>
      </w:pPr>
      <w:r>
        <w:rPr>
          <w:rFonts w:ascii="Arial" w:cs="Arial" w:eastAsia="Arial" w:hAnsi="Arial"/>
          <w:sz w:val="16"/>
          <w:szCs w:val="16"/>
          <w:color w:val="auto"/>
        </w:rPr>
        <w:t>President and Chief Executive Officer</w:t>
      </w:r>
    </w:p>
    <w:p>
      <w:pPr>
        <w:ind w:left="5640"/>
        <w:spacing w:after="0"/>
        <w:rPr>
          <w:sz w:val="20"/>
          <w:szCs w:val="20"/>
          <w:color w:val="auto"/>
        </w:rPr>
      </w:pPr>
      <w:r>
        <w:rPr>
          <w:rFonts w:ascii="Arial" w:cs="Arial" w:eastAsia="Arial" w:hAnsi="Arial"/>
          <w:sz w:val="16"/>
          <w:szCs w:val="16"/>
          <w:color w:val="auto"/>
        </w:rPr>
        <w:t>(Principal Executive Officer)</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2023</w:t>
      </w:r>
    </w:p>
    <w:p>
      <w:pPr>
        <w:sectPr>
          <w:pgSz w:w="11900" w:h="16838" w:orient="portrait"/>
          <w:cols w:equalWidth="0" w:num="1">
            <w:col w:w="11240"/>
          </w:cols>
          <w:pgMar w:left="320" w:top="89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I, Michael W. Metcalf, certify that:</w:t>
      </w:r>
    </w:p>
    <w:p>
      <w:pPr>
        <w:spacing w:after="0" w:line="194"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Powell Industries, Inc.;</w:t>
      </w:r>
    </w:p>
    <w:p>
      <w:pPr>
        <w:spacing w:after="0" w:line="261"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jc w:val="both"/>
        <w:ind w:left="660" w:right="340" w:hanging="328"/>
        <w:spacing w:after="0" w:line="269"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Arial" w:cs="Arial" w:eastAsia="Arial" w:hAnsi="Arial"/>
          <w:sz w:val="16"/>
          <w:szCs w:val="16"/>
          <w:color w:val="auto"/>
        </w:rPr>
      </w:pPr>
    </w:p>
    <w:p>
      <w:pPr>
        <w:ind w:left="1300" w:right="40" w:hanging="320"/>
        <w:spacing w:after="0" w:line="269"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8" w:lineRule="exact"/>
        <w:rPr>
          <w:rFonts w:ascii="Arial" w:cs="Arial" w:eastAsia="Arial" w:hAnsi="Arial"/>
          <w:sz w:val="16"/>
          <w:szCs w:val="16"/>
          <w:color w:val="auto"/>
        </w:rPr>
      </w:pPr>
    </w:p>
    <w:p>
      <w:pPr>
        <w:ind w:left="1300" w:right="140" w:hanging="320"/>
        <w:spacing w:after="0" w:line="261"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3" w:lineRule="exact"/>
        <w:rPr>
          <w:rFonts w:ascii="Arial" w:cs="Arial" w:eastAsia="Arial" w:hAnsi="Arial"/>
          <w:sz w:val="16"/>
          <w:szCs w:val="16"/>
          <w:color w:val="auto"/>
        </w:rPr>
      </w:pPr>
    </w:p>
    <w:p>
      <w:pPr>
        <w:ind w:left="1300" w:right="180" w:hanging="320"/>
        <w:spacing w:after="0" w:line="275"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2" w:lineRule="exact"/>
        <w:rPr>
          <w:rFonts w:ascii="Arial" w:cs="Arial" w:eastAsia="Arial" w:hAnsi="Arial"/>
          <w:sz w:val="16"/>
          <w:szCs w:val="16"/>
          <w:color w:val="auto"/>
        </w:rPr>
      </w:pPr>
    </w:p>
    <w:p>
      <w:pPr>
        <w:ind w:left="1300" w:right="180" w:hanging="320"/>
        <w:spacing w:after="0" w:line="261"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Arial" w:cs="Arial" w:eastAsia="Arial" w:hAnsi="Arial"/>
          <w:sz w:val="16"/>
          <w:szCs w:val="16"/>
          <w:color w:val="auto"/>
        </w:rPr>
      </w:pPr>
    </w:p>
    <w:p>
      <w:pPr>
        <w:ind w:left="660" w:right="300" w:hanging="328"/>
        <w:spacing w:after="0" w:line="293"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6"/>
          <w:szCs w:val="16"/>
          <w:color w:val="auto"/>
        </w:rPr>
      </w:pPr>
    </w:p>
    <w:p>
      <w:pPr>
        <w:ind w:left="1300" w:right="120" w:hanging="320"/>
        <w:spacing w:after="0" w:line="275"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6"/>
          <w:szCs w:val="16"/>
          <w:color w:val="auto"/>
        </w:rPr>
      </w:pPr>
    </w:p>
    <w:p>
      <w:pPr>
        <w:ind w:left="1300" w:right="340" w:hanging="320"/>
        <w:spacing w:after="0" w:line="275"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86" w:lineRule="exact"/>
        <w:rPr>
          <w:sz w:val="20"/>
          <w:szCs w:val="20"/>
          <w:color w:val="auto"/>
        </w:rPr>
      </w:pPr>
    </w:p>
    <w:p>
      <w:pPr>
        <w:ind w:left="5640"/>
        <w:spacing w:after="0"/>
        <w:rPr>
          <w:sz w:val="20"/>
          <w:szCs w:val="20"/>
          <w:color w:val="auto"/>
        </w:rPr>
      </w:pPr>
      <w:r>
        <w:rPr>
          <w:rFonts w:ascii="Arial" w:cs="Arial" w:eastAsia="Arial" w:hAnsi="Arial"/>
          <w:sz w:val="16"/>
          <w:szCs w:val="16"/>
          <w:u w:val="single" w:color="auto"/>
          <w:color w:val="auto"/>
        </w:rPr>
        <w:t>/s/ Michael W. Metcalf</w:t>
      </w:r>
    </w:p>
    <w:p>
      <w:pPr>
        <w:ind w:left="5640"/>
        <w:spacing w:after="0" w:line="211" w:lineRule="auto"/>
        <w:rPr>
          <w:sz w:val="20"/>
          <w:szCs w:val="20"/>
          <w:color w:val="auto"/>
        </w:rPr>
      </w:pPr>
      <w:r>
        <w:rPr>
          <w:rFonts w:ascii="Arial" w:cs="Arial" w:eastAsia="Arial" w:hAnsi="Arial"/>
          <w:sz w:val="16"/>
          <w:szCs w:val="16"/>
          <w:color w:val="auto"/>
        </w:rPr>
        <w:t>Michael W. Metcalf</w:t>
      </w:r>
    </w:p>
    <w:p>
      <w:pPr>
        <w:ind w:left="5640"/>
        <w:spacing w:after="0" w:line="211" w:lineRule="auto"/>
        <w:rPr>
          <w:sz w:val="20"/>
          <w:szCs w:val="20"/>
          <w:color w:val="auto"/>
        </w:rPr>
      </w:pPr>
      <w:r>
        <w:rPr>
          <w:rFonts w:ascii="Arial" w:cs="Arial" w:eastAsia="Arial" w:hAnsi="Arial"/>
          <w:sz w:val="16"/>
          <w:szCs w:val="16"/>
          <w:color w:val="auto"/>
        </w:rPr>
        <w:t>Executive Vice President</w:t>
      </w:r>
    </w:p>
    <w:p>
      <w:pPr>
        <w:ind w:left="5640"/>
        <w:spacing w:after="0" w:line="211" w:lineRule="auto"/>
        <w:rPr>
          <w:sz w:val="20"/>
          <w:szCs w:val="20"/>
          <w:color w:val="auto"/>
        </w:rPr>
      </w:pPr>
      <w:r>
        <w:rPr>
          <w:rFonts w:ascii="Arial" w:cs="Arial" w:eastAsia="Arial" w:hAnsi="Arial"/>
          <w:sz w:val="16"/>
          <w:szCs w:val="16"/>
          <w:color w:val="auto"/>
        </w:rPr>
        <w:t>Chief Financial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2023</w:t>
      </w:r>
    </w:p>
    <w:p>
      <w:pPr>
        <w:sectPr>
          <w:pgSz w:w="11900" w:h="16838" w:orient="portrait"/>
          <w:cols w:equalWidth="0" w:num="1">
            <w:col w:w="11240"/>
          </w:cols>
          <w:pgMar w:left="320" w:top="89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94"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In connection with this Quarterly Report (the “Report”) on Form 10-Q of Powell Industries, Inc. (the “Company”) for the quarter ended June 30, 2023, as filed with the Securities and Exchange Commission on the date hereof, I, Brett A. Cope, Chief Executive Officer of the Company, certify, pursuant to 18 U.S.C. Section 1350, as adopted pursuant to Section 906 of the Sarbanes-Oxley Act of 2002, that:</w:t>
      </w:r>
    </w:p>
    <w:p>
      <w:pPr>
        <w:spacing w:after="0" w:line="15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61"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321" w:lineRule="exact"/>
        <w:rPr>
          <w:sz w:val="20"/>
          <w:szCs w:val="20"/>
          <w:color w:val="auto"/>
        </w:rPr>
      </w:pPr>
    </w:p>
    <w:p>
      <w:pPr>
        <w:ind w:left="5640"/>
        <w:spacing w:after="0"/>
        <w:rPr>
          <w:sz w:val="20"/>
          <w:szCs w:val="20"/>
          <w:color w:val="auto"/>
        </w:rPr>
      </w:pPr>
      <w:r>
        <w:rPr>
          <w:rFonts w:ascii="Arial" w:cs="Arial" w:eastAsia="Arial" w:hAnsi="Arial"/>
          <w:sz w:val="16"/>
          <w:szCs w:val="16"/>
          <w:u w:val="single" w:color="auto"/>
          <w:color w:val="auto"/>
        </w:rPr>
        <w:t>/s/ Brett A. Cope</w:t>
      </w:r>
    </w:p>
    <w:p>
      <w:pPr>
        <w:ind w:left="5640"/>
        <w:spacing w:after="0" w:line="211" w:lineRule="auto"/>
        <w:rPr>
          <w:sz w:val="20"/>
          <w:szCs w:val="20"/>
          <w:color w:val="auto"/>
        </w:rPr>
      </w:pPr>
      <w:r>
        <w:rPr>
          <w:rFonts w:ascii="Arial" w:cs="Arial" w:eastAsia="Arial" w:hAnsi="Arial"/>
          <w:sz w:val="16"/>
          <w:szCs w:val="16"/>
          <w:color w:val="auto"/>
        </w:rPr>
        <w:t>Brett A. Cope</w:t>
      </w:r>
    </w:p>
    <w:p>
      <w:pPr>
        <w:ind w:left="5640"/>
        <w:spacing w:after="0"/>
        <w:rPr>
          <w:sz w:val="20"/>
          <w:szCs w:val="20"/>
          <w:color w:val="auto"/>
        </w:rPr>
      </w:pPr>
      <w:r>
        <w:rPr>
          <w:rFonts w:ascii="Arial" w:cs="Arial" w:eastAsia="Arial" w:hAnsi="Arial"/>
          <w:sz w:val="16"/>
          <w:szCs w:val="16"/>
          <w:color w:val="auto"/>
        </w:rPr>
        <w:t>President and Chief Executive Officer</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2023</w:t>
      </w:r>
    </w:p>
    <w:p>
      <w:pPr>
        <w:sectPr>
          <w:pgSz w:w="11900" w:h="16838" w:orient="portrait"/>
          <w:cols w:equalWidth="0" w:num="1">
            <w:col w:w="11240"/>
          </w:cols>
          <w:pgMar w:left="320" w:top="89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In connection with this Quarterly Report (the “Report”) on Form 10-Q of Powell Industries, Inc. (the “Company”) for the quarter ended June 30, 2023,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4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represents, in all material respects, the financial condition and results of operations of the Company.</w:t>
      </w:r>
    </w:p>
    <w:p>
      <w:pPr>
        <w:spacing w:after="0" w:line="200" w:lineRule="exact"/>
        <w:rPr>
          <w:sz w:val="20"/>
          <w:szCs w:val="20"/>
          <w:color w:val="auto"/>
        </w:rPr>
      </w:pP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6"/>
          <w:szCs w:val="16"/>
          <w:u w:val="single" w:color="auto"/>
          <w:color w:val="auto"/>
        </w:rPr>
        <w:t>/s/ Michael W. Metcalf</w:t>
      </w:r>
    </w:p>
    <w:p>
      <w:pPr>
        <w:ind w:left="5620"/>
        <w:spacing w:after="0" w:line="211" w:lineRule="auto"/>
        <w:rPr>
          <w:sz w:val="20"/>
          <w:szCs w:val="20"/>
          <w:color w:val="auto"/>
        </w:rPr>
      </w:pPr>
      <w:r>
        <w:rPr>
          <w:rFonts w:ascii="Arial" w:cs="Arial" w:eastAsia="Arial" w:hAnsi="Arial"/>
          <w:sz w:val="16"/>
          <w:szCs w:val="16"/>
          <w:color w:val="auto"/>
        </w:rPr>
        <w:t>Michael W. Metcalf</w:t>
      </w:r>
    </w:p>
    <w:p>
      <w:pPr>
        <w:ind w:left="5620"/>
        <w:spacing w:after="0" w:line="211" w:lineRule="auto"/>
        <w:rPr>
          <w:sz w:val="20"/>
          <w:szCs w:val="20"/>
          <w:color w:val="auto"/>
        </w:rPr>
      </w:pPr>
      <w:r>
        <w:rPr>
          <w:rFonts w:ascii="Arial" w:cs="Arial" w:eastAsia="Arial" w:hAnsi="Arial"/>
          <w:sz w:val="16"/>
          <w:szCs w:val="16"/>
          <w:color w:val="auto"/>
        </w:rPr>
        <w:t>Executive Vice President</w:t>
      </w:r>
    </w:p>
    <w:p>
      <w:pPr>
        <w:ind w:left="5620"/>
        <w:spacing w:after="0"/>
        <w:rPr>
          <w:sz w:val="20"/>
          <w:szCs w:val="20"/>
          <w:color w:val="auto"/>
        </w:rPr>
      </w:pPr>
      <w:r>
        <w:rPr>
          <w:rFonts w:ascii="Arial" w:cs="Arial" w:eastAsia="Arial" w:hAnsi="Arial"/>
          <w:sz w:val="16"/>
          <w:szCs w:val="16"/>
          <w:color w:val="auto"/>
        </w:rPr>
        <w:t>Chief Financial Officer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Date: August 2, 2023</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47" Type="http://schemas.openxmlformats.org/officeDocument/2006/relationships/hyperlink" Target="http://www.sec.gov/Archives/edgar/data/80420/000008042004000044/exhibit3_1.htm" TargetMode="External"/><Relationship Id="rId49" Type="http://schemas.openxmlformats.org/officeDocument/2006/relationships/hyperlink" Target="http://www.sec.gov/Archives/edgar/data/80420/000119312512421889/d424375dex31.htm" TargetMode="External"/><Relationship Id="rId50" Type="http://schemas.openxmlformats.org/officeDocument/2006/relationships/hyperlink" Target="http://www.sec.gov/Archives/edgar/data/80420/000008042021000018/ex31-amendmentno1toamend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2023-08-02T11:37:45Z</dcterms:created>
  <dcterms:modified xsi:type="dcterms:W3CDTF">2023-08-02T11:37:45Z</dcterms:modified>
</cp:coreProperties>
</file>